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29" w:rsidRDefault="00597CB6" w:rsidP="007743A2">
      <w:pPr>
        <w:jc w:val="center"/>
        <w:rPr>
          <w:rFonts w:ascii="Times New Roman" w:hAnsi="Times New Roman" w:cs="Times New Roman"/>
          <w:b/>
          <w:sz w:val="28"/>
          <w:szCs w:val="28"/>
          <w:u w:val="single"/>
        </w:rPr>
      </w:pPr>
      <w:r>
        <w:rPr>
          <w:rFonts w:ascii="Times New Roman" w:hAnsi="Times New Roman" w:cs="Times New Roman"/>
          <w:b/>
          <w:sz w:val="28"/>
          <w:szCs w:val="28"/>
          <w:u w:val="single"/>
        </w:rPr>
        <w:t>Flash : L</w:t>
      </w:r>
      <w:r w:rsidR="007743A2" w:rsidRPr="007743A2">
        <w:rPr>
          <w:rFonts w:ascii="Times New Roman" w:hAnsi="Times New Roman" w:cs="Times New Roman"/>
          <w:b/>
          <w:sz w:val="28"/>
          <w:szCs w:val="28"/>
          <w:u w:val="single"/>
        </w:rPr>
        <w:t>’arrêt de la Cour de cassation du 24 novembre 2016</w:t>
      </w:r>
      <w:r>
        <w:rPr>
          <w:rFonts w:ascii="Times New Roman" w:hAnsi="Times New Roman" w:cs="Times New Roman"/>
          <w:b/>
          <w:sz w:val="28"/>
          <w:szCs w:val="28"/>
          <w:u w:val="single"/>
        </w:rPr>
        <w:t xml:space="preserve"> en matière de </w:t>
      </w:r>
      <w:proofErr w:type="spellStart"/>
      <w:r w:rsidRPr="00597CB6">
        <w:rPr>
          <w:rFonts w:ascii="Times New Roman" w:hAnsi="Times New Roman" w:cs="Times New Roman"/>
          <w:b/>
          <w:i/>
          <w:sz w:val="28"/>
          <w:szCs w:val="28"/>
          <w:u w:val="single"/>
        </w:rPr>
        <w:t>funding</w:t>
      </w:r>
      <w:proofErr w:type="spellEnd"/>
      <w:r w:rsidRPr="00597CB6">
        <w:rPr>
          <w:rFonts w:ascii="Times New Roman" w:hAnsi="Times New Roman" w:cs="Times New Roman"/>
          <w:b/>
          <w:i/>
          <w:sz w:val="28"/>
          <w:szCs w:val="28"/>
          <w:u w:val="single"/>
        </w:rPr>
        <w:t xml:space="preserve"> </w:t>
      </w:r>
      <w:proofErr w:type="spellStart"/>
      <w:r w:rsidRPr="00597CB6">
        <w:rPr>
          <w:rFonts w:ascii="Times New Roman" w:hAnsi="Times New Roman" w:cs="Times New Roman"/>
          <w:b/>
          <w:i/>
          <w:sz w:val="28"/>
          <w:szCs w:val="28"/>
          <w:u w:val="single"/>
        </w:rPr>
        <w:t>loss</w:t>
      </w:r>
      <w:proofErr w:type="spellEnd"/>
    </w:p>
    <w:p w:rsidR="00597CB6" w:rsidRPr="00597CB6" w:rsidRDefault="00597CB6" w:rsidP="00597CB6">
      <w:pPr>
        <w:jc w:val="center"/>
        <w:rPr>
          <w:rFonts w:ascii="Times New Roman" w:hAnsi="Times New Roman" w:cs="Times New Roman"/>
          <w:b/>
          <w:u w:val="single"/>
        </w:rPr>
      </w:pPr>
      <w:r w:rsidRPr="00597CB6">
        <w:rPr>
          <w:rFonts w:ascii="Times New Roman" w:hAnsi="Times New Roman" w:cs="Times New Roman"/>
          <w:b/>
          <w:u w:val="single"/>
        </w:rPr>
        <w:t xml:space="preserve">Par Cécile DELFORGE, </w:t>
      </w:r>
      <w:r w:rsidR="005C6BAE">
        <w:rPr>
          <w:rFonts w:ascii="Times New Roman" w:hAnsi="Times New Roman" w:cs="Times New Roman"/>
          <w:b/>
          <w:u w:val="single"/>
        </w:rPr>
        <w:t xml:space="preserve">assistante à l’Université de Liège et avocate au barreau de Liège, sous </w:t>
      </w:r>
      <w:r w:rsidR="003D1E71">
        <w:rPr>
          <w:rFonts w:ascii="Times New Roman" w:hAnsi="Times New Roman" w:cs="Times New Roman"/>
          <w:b/>
          <w:u w:val="single"/>
        </w:rPr>
        <w:t xml:space="preserve">la direction </w:t>
      </w:r>
      <w:r w:rsidR="005C6BAE">
        <w:rPr>
          <w:rFonts w:ascii="Times New Roman" w:hAnsi="Times New Roman" w:cs="Times New Roman"/>
          <w:b/>
          <w:u w:val="single"/>
        </w:rPr>
        <w:t>de</w:t>
      </w:r>
      <w:r w:rsidRPr="00597CB6">
        <w:rPr>
          <w:rFonts w:ascii="Times New Roman" w:hAnsi="Times New Roman" w:cs="Times New Roman"/>
          <w:b/>
          <w:u w:val="single"/>
        </w:rPr>
        <w:t xml:space="preserve"> Christine BIQUET-MATHIEU</w:t>
      </w:r>
      <w:r w:rsidR="005C6BAE">
        <w:rPr>
          <w:rFonts w:ascii="Times New Roman" w:hAnsi="Times New Roman" w:cs="Times New Roman"/>
          <w:b/>
          <w:u w:val="single"/>
        </w:rPr>
        <w:t>, Professeur ordinaire à l’Université de Liège</w:t>
      </w:r>
    </w:p>
    <w:p w:rsidR="007743A2" w:rsidRPr="007743A2" w:rsidRDefault="007743A2" w:rsidP="007743A2">
      <w:pPr>
        <w:rPr>
          <w:rFonts w:ascii="Times New Roman" w:hAnsi="Times New Roman" w:cs="Times New Roman"/>
          <w:b/>
          <w:sz w:val="28"/>
          <w:szCs w:val="28"/>
          <w:u w:val="single"/>
        </w:rPr>
      </w:pPr>
    </w:p>
    <w:p w:rsidR="005C6BAE" w:rsidRPr="005C6BAE" w:rsidRDefault="005C6BAE" w:rsidP="005C6BAE">
      <w:pPr>
        <w:jc w:val="both"/>
        <w:rPr>
          <w:rFonts w:ascii="Times New Roman" w:hAnsi="Times New Roman" w:cs="Times New Roman"/>
          <w:sz w:val="24"/>
          <w:szCs w:val="24"/>
        </w:rPr>
      </w:pPr>
      <w:r>
        <w:rPr>
          <w:rFonts w:ascii="Times New Roman" w:hAnsi="Times New Roman" w:cs="Times New Roman"/>
          <w:b/>
          <w:i/>
          <w:sz w:val="24"/>
          <w:szCs w:val="24"/>
        </w:rPr>
        <w:t>1.</w:t>
      </w:r>
      <w:r w:rsidRPr="005C6BAE">
        <w:rPr>
          <w:rFonts w:ascii="Times New Roman" w:hAnsi="Times New Roman" w:cs="Times New Roman"/>
          <w:b/>
          <w:i/>
          <w:sz w:val="24"/>
          <w:szCs w:val="24"/>
        </w:rPr>
        <w:t xml:space="preserve"> L’article 1907bis</w:t>
      </w:r>
      <w:r w:rsidR="00597CB6" w:rsidRPr="005C6BAE">
        <w:rPr>
          <w:rFonts w:ascii="Times New Roman" w:hAnsi="Times New Roman" w:cs="Times New Roman"/>
          <w:b/>
          <w:i/>
          <w:sz w:val="24"/>
          <w:szCs w:val="24"/>
        </w:rPr>
        <w:t>.</w:t>
      </w:r>
      <w:r w:rsidR="00597CB6" w:rsidRPr="005C6BAE">
        <w:rPr>
          <w:rFonts w:ascii="Times New Roman" w:hAnsi="Times New Roman" w:cs="Times New Roman"/>
          <w:sz w:val="24"/>
          <w:szCs w:val="24"/>
        </w:rPr>
        <w:t xml:space="preserve"> On a</w:t>
      </w:r>
      <w:r w:rsidR="003725E1" w:rsidRPr="005C6BAE">
        <w:rPr>
          <w:rFonts w:ascii="Times New Roman" w:hAnsi="Times New Roman" w:cs="Times New Roman"/>
          <w:sz w:val="24"/>
          <w:szCs w:val="24"/>
        </w:rPr>
        <w:t>ssiste, depuis plusieurs années</w:t>
      </w:r>
      <w:r w:rsidR="00E408CF" w:rsidRPr="005C6BAE">
        <w:rPr>
          <w:rFonts w:ascii="Times New Roman" w:hAnsi="Times New Roman" w:cs="Times New Roman"/>
          <w:sz w:val="24"/>
          <w:szCs w:val="24"/>
        </w:rPr>
        <w:t>,</w:t>
      </w:r>
      <w:r w:rsidR="00597CB6" w:rsidRPr="005C6BAE">
        <w:rPr>
          <w:rFonts w:ascii="Times New Roman" w:hAnsi="Times New Roman" w:cs="Times New Roman"/>
          <w:sz w:val="24"/>
          <w:szCs w:val="24"/>
        </w:rPr>
        <w:t xml:space="preserve"> à une multiplication des litiges opposant les entreprises aux organismes de crédit au sujet de l’indemnité de remploi – rebaptisée </w:t>
      </w:r>
      <w:proofErr w:type="spellStart"/>
      <w:r w:rsidR="00597CB6" w:rsidRPr="005C6BAE">
        <w:rPr>
          <w:rFonts w:ascii="Times New Roman" w:hAnsi="Times New Roman" w:cs="Times New Roman"/>
          <w:i/>
          <w:sz w:val="24"/>
          <w:szCs w:val="24"/>
        </w:rPr>
        <w:t>funding</w:t>
      </w:r>
      <w:proofErr w:type="spellEnd"/>
      <w:r w:rsidR="00597CB6" w:rsidRPr="005C6BAE">
        <w:rPr>
          <w:rFonts w:ascii="Times New Roman" w:hAnsi="Times New Roman" w:cs="Times New Roman"/>
          <w:i/>
          <w:sz w:val="24"/>
          <w:szCs w:val="24"/>
        </w:rPr>
        <w:t xml:space="preserve"> </w:t>
      </w:r>
      <w:proofErr w:type="spellStart"/>
      <w:r w:rsidR="00597CB6" w:rsidRPr="005C6BAE">
        <w:rPr>
          <w:rFonts w:ascii="Times New Roman" w:hAnsi="Times New Roman" w:cs="Times New Roman"/>
          <w:i/>
          <w:sz w:val="24"/>
          <w:szCs w:val="24"/>
        </w:rPr>
        <w:t>loss</w:t>
      </w:r>
      <w:proofErr w:type="spellEnd"/>
      <w:r w:rsidR="00597CB6" w:rsidRPr="005C6BAE">
        <w:rPr>
          <w:rFonts w:ascii="Times New Roman" w:hAnsi="Times New Roman" w:cs="Times New Roman"/>
          <w:sz w:val="24"/>
          <w:szCs w:val="24"/>
        </w:rPr>
        <w:t xml:space="preserve"> – exigée par les prêteurs en </w:t>
      </w:r>
      <w:r>
        <w:rPr>
          <w:rFonts w:ascii="Times New Roman" w:hAnsi="Times New Roman" w:cs="Times New Roman"/>
          <w:sz w:val="24"/>
          <w:szCs w:val="24"/>
        </w:rPr>
        <w:t>cas de remboursement anticipé d’un crédit d’investissement</w:t>
      </w:r>
      <w:r w:rsidR="00597CB6" w:rsidRPr="005C6BAE">
        <w:rPr>
          <w:rFonts w:ascii="Times New Roman" w:hAnsi="Times New Roman" w:cs="Times New Roman"/>
          <w:sz w:val="24"/>
          <w:szCs w:val="24"/>
        </w:rPr>
        <w:t xml:space="preserve">. </w:t>
      </w:r>
      <w:r w:rsidR="003725E1" w:rsidRPr="005C6BAE">
        <w:rPr>
          <w:rFonts w:ascii="Times New Roman" w:hAnsi="Times New Roman" w:cs="Times New Roman"/>
          <w:sz w:val="24"/>
          <w:szCs w:val="24"/>
        </w:rPr>
        <w:t xml:space="preserve">L’indemnité dite de </w:t>
      </w:r>
      <w:proofErr w:type="spellStart"/>
      <w:r w:rsidR="003725E1" w:rsidRPr="005C6BAE">
        <w:rPr>
          <w:rFonts w:ascii="Times New Roman" w:hAnsi="Times New Roman" w:cs="Times New Roman"/>
          <w:i/>
          <w:sz w:val="24"/>
          <w:szCs w:val="24"/>
        </w:rPr>
        <w:t>funding</w:t>
      </w:r>
      <w:proofErr w:type="spellEnd"/>
      <w:r w:rsidR="003725E1" w:rsidRPr="005C6BAE">
        <w:rPr>
          <w:rFonts w:ascii="Times New Roman" w:hAnsi="Times New Roman" w:cs="Times New Roman"/>
          <w:i/>
          <w:sz w:val="24"/>
          <w:szCs w:val="24"/>
        </w:rPr>
        <w:t xml:space="preserve"> </w:t>
      </w:r>
      <w:proofErr w:type="spellStart"/>
      <w:r w:rsidR="003725E1" w:rsidRPr="005C6BAE">
        <w:rPr>
          <w:rFonts w:ascii="Times New Roman" w:hAnsi="Times New Roman" w:cs="Times New Roman"/>
          <w:i/>
          <w:sz w:val="24"/>
          <w:szCs w:val="24"/>
        </w:rPr>
        <w:t>loss</w:t>
      </w:r>
      <w:proofErr w:type="spellEnd"/>
      <w:r w:rsidR="003725E1" w:rsidRPr="005C6BAE">
        <w:rPr>
          <w:rFonts w:ascii="Times New Roman" w:hAnsi="Times New Roman" w:cs="Times New Roman"/>
          <w:sz w:val="24"/>
          <w:szCs w:val="24"/>
        </w:rPr>
        <w:t xml:space="preserve"> vise à compenser le préjudice subi par le prêteur lorsque les fonds prêtés sont remboursés ava</w:t>
      </w:r>
      <w:r w:rsidR="00C066A4" w:rsidRPr="005C6BAE">
        <w:rPr>
          <w:rFonts w:ascii="Times New Roman" w:hAnsi="Times New Roman" w:cs="Times New Roman"/>
          <w:sz w:val="24"/>
          <w:szCs w:val="24"/>
        </w:rPr>
        <w:t xml:space="preserve">nt terme. Elle est destinée à </w:t>
      </w:r>
      <w:r w:rsidR="003725E1" w:rsidRPr="005C6BAE">
        <w:rPr>
          <w:rFonts w:ascii="Times New Roman" w:hAnsi="Times New Roman" w:cs="Times New Roman"/>
          <w:sz w:val="24"/>
          <w:szCs w:val="24"/>
        </w:rPr>
        <w:t>indemniser le préjudice résultant de « la différence entre les intérêts qui aurai</w:t>
      </w:r>
      <w:r w:rsidR="00C066A4" w:rsidRPr="005C6BAE">
        <w:rPr>
          <w:rFonts w:ascii="Times New Roman" w:hAnsi="Times New Roman" w:cs="Times New Roman"/>
          <w:sz w:val="24"/>
          <w:szCs w:val="24"/>
        </w:rPr>
        <w:t>ent été perçus si le crédit avai</w:t>
      </w:r>
      <w:r w:rsidR="003725E1" w:rsidRPr="005C6BAE">
        <w:rPr>
          <w:rFonts w:ascii="Times New Roman" w:hAnsi="Times New Roman" w:cs="Times New Roman"/>
          <w:sz w:val="24"/>
          <w:szCs w:val="24"/>
        </w:rPr>
        <w:t>t suivi son cours normal et ceux qui pourront être perçus en replaçant le capital remboursé aux conditions du marché »</w:t>
      </w:r>
      <w:r w:rsidR="003725E1">
        <w:rPr>
          <w:rStyle w:val="Appelnotedebasdep"/>
          <w:rFonts w:ascii="Times New Roman" w:hAnsi="Times New Roman" w:cs="Times New Roman"/>
          <w:sz w:val="24"/>
          <w:szCs w:val="24"/>
        </w:rPr>
        <w:footnoteReference w:id="1"/>
      </w:r>
      <w:r w:rsidR="003725E1" w:rsidRPr="005C6BAE">
        <w:rPr>
          <w:rFonts w:ascii="Times New Roman" w:hAnsi="Times New Roman" w:cs="Times New Roman"/>
          <w:sz w:val="24"/>
          <w:szCs w:val="24"/>
        </w:rPr>
        <w:t>.</w:t>
      </w:r>
      <w:r w:rsidR="00C066A4" w:rsidRPr="005C6BAE">
        <w:rPr>
          <w:rFonts w:ascii="Times New Roman" w:hAnsi="Times New Roman" w:cs="Times New Roman"/>
          <w:sz w:val="24"/>
          <w:szCs w:val="24"/>
        </w:rPr>
        <w:t xml:space="preserve"> </w:t>
      </w:r>
      <w:r w:rsidR="00597CB6" w:rsidRPr="005C6BAE">
        <w:rPr>
          <w:rFonts w:ascii="Times New Roman" w:hAnsi="Times New Roman" w:cs="Times New Roman"/>
          <w:sz w:val="24"/>
          <w:szCs w:val="24"/>
        </w:rPr>
        <w:t xml:space="preserve">Ce contentieux </w:t>
      </w:r>
      <w:r w:rsidR="00E408CF" w:rsidRPr="005C6BAE">
        <w:rPr>
          <w:rFonts w:ascii="Times New Roman" w:hAnsi="Times New Roman" w:cs="Times New Roman"/>
          <w:sz w:val="24"/>
          <w:szCs w:val="24"/>
        </w:rPr>
        <w:t>est exacerbé</w:t>
      </w:r>
      <w:r>
        <w:rPr>
          <w:rFonts w:ascii="Times New Roman" w:hAnsi="Times New Roman" w:cs="Times New Roman"/>
          <w:sz w:val="24"/>
          <w:szCs w:val="24"/>
        </w:rPr>
        <w:t xml:space="preserve"> en raison</w:t>
      </w:r>
      <w:r w:rsidR="003725E1" w:rsidRPr="005C6BAE">
        <w:rPr>
          <w:rFonts w:ascii="Times New Roman" w:hAnsi="Times New Roman" w:cs="Times New Roman"/>
          <w:sz w:val="24"/>
          <w:szCs w:val="24"/>
        </w:rPr>
        <w:t xml:space="preserve"> de la baisse des taux d’intérêt</w:t>
      </w:r>
      <w:r>
        <w:rPr>
          <w:rFonts w:ascii="Times New Roman" w:hAnsi="Times New Roman" w:cs="Times New Roman"/>
          <w:sz w:val="24"/>
          <w:szCs w:val="24"/>
        </w:rPr>
        <w:t>. Il concerne</w:t>
      </w:r>
      <w:r w:rsidR="00E408CF" w:rsidRPr="005C6BAE">
        <w:rPr>
          <w:rFonts w:ascii="Times New Roman" w:hAnsi="Times New Roman" w:cs="Times New Roman"/>
          <w:sz w:val="24"/>
          <w:szCs w:val="24"/>
        </w:rPr>
        <w:t xml:space="preserve"> </w:t>
      </w:r>
      <w:r>
        <w:rPr>
          <w:rFonts w:ascii="Times New Roman" w:hAnsi="Times New Roman" w:cs="Times New Roman"/>
          <w:sz w:val="24"/>
          <w:szCs w:val="24"/>
        </w:rPr>
        <w:t>les crédits non</w:t>
      </w:r>
      <w:r w:rsidR="00597CB6" w:rsidRPr="005C6BAE">
        <w:rPr>
          <w:rFonts w:ascii="Times New Roman" w:hAnsi="Times New Roman" w:cs="Times New Roman"/>
          <w:sz w:val="24"/>
          <w:szCs w:val="24"/>
        </w:rPr>
        <w:t xml:space="preserve"> régis par la loi du 21 décembre 2013 relative au financement des pe</w:t>
      </w:r>
      <w:r>
        <w:rPr>
          <w:rFonts w:ascii="Times New Roman" w:hAnsi="Times New Roman" w:cs="Times New Roman"/>
          <w:sz w:val="24"/>
          <w:szCs w:val="24"/>
        </w:rPr>
        <w:t>tites et moyennes entreprises. Au centre de  ceux-ci, se trouve la question de l’application d</w:t>
      </w:r>
      <w:r w:rsidR="00597CB6" w:rsidRPr="005C6BAE">
        <w:rPr>
          <w:rFonts w:ascii="Times New Roman" w:hAnsi="Times New Roman" w:cs="Times New Roman"/>
          <w:sz w:val="24"/>
          <w:szCs w:val="24"/>
        </w:rPr>
        <w:t>u plafond de l’article 1907</w:t>
      </w:r>
      <w:r w:rsidR="00597CB6" w:rsidRPr="005C6BAE">
        <w:rPr>
          <w:rFonts w:ascii="Times New Roman" w:hAnsi="Times New Roman" w:cs="Times New Roman"/>
          <w:i/>
          <w:sz w:val="24"/>
          <w:szCs w:val="24"/>
        </w:rPr>
        <w:t>bis</w:t>
      </w:r>
      <w:r w:rsidR="00597CB6" w:rsidRPr="005C6BAE">
        <w:rPr>
          <w:rFonts w:ascii="Times New Roman" w:hAnsi="Times New Roman" w:cs="Times New Roman"/>
          <w:sz w:val="24"/>
          <w:szCs w:val="24"/>
        </w:rPr>
        <w:t xml:space="preserve"> du Code civil. </w:t>
      </w:r>
    </w:p>
    <w:p w:rsidR="00CF7D2C" w:rsidRPr="005C6BAE" w:rsidRDefault="00715B53" w:rsidP="005C6BAE">
      <w:pPr>
        <w:jc w:val="both"/>
        <w:rPr>
          <w:rFonts w:ascii="Times New Roman" w:hAnsi="Times New Roman" w:cs="Times New Roman"/>
          <w:sz w:val="24"/>
          <w:szCs w:val="24"/>
        </w:rPr>
      </w:pPr>
      <w:r w:rsidRPr="005C6BAE">
        <w:rPr>
          <w:rFonts w:ascii="Times New Roman" w:hAnsi="Times New Roman" w:cs="Times New Roman"/>
          <w:sz w:val="24"/>
          <w:szCs w:val="24"/>
        </w:rPr>
        <w:t xml:space="preserve"> </w:t>
      </w:r>
      <w:r w:rsidR="005D5E99" w:rsidRPr="005C6BAE">
        <w:rPr>
          <w:rFonts w:ascii="Times New Roman" w:hAnsi="Times New Roman" w:cs="Times New Roman"/>
          <w:sz w:val="24"/>
          <w:szCs w:val="24"/>
        </w:rPr>
        <w:t>L’article 1907</w:t>
      </w:r>
      <w:r w:rsidR="005D5E99" w:rsidRPr="005C6BAE">
        <w:rPr>
          <w:rFonts w:ascii="Times New Roman" w:hAnsi="Times New Roman" w:cs="Times New Roman"/>
          <w:i/>
          <w:sz w:val="24"/>
          <w:szCs w:val="24"/>
        </w:rPr>
        <w:t>bis</w:t>
      </w:r>
      <w:r w:rsidR="007743A2" w:rsidRPr="005C6BAE">
        <w:rPr>
          <w:rFonts w:ascii="Times New Roman" w:hAnsi="Times New Roman" w:cs="Times New Roman"/>
          <w:sz w:val="24"/>
          <w:szCs w:val="24"/>
        </w:rPr>
        <w:t xml:space="preserve"> du Code civil, inséré</w:t>
      </w:r>
      <w:r w:rsidRPr="005C6BAE">
        <w:rPr>
          <w:rFonts w:ascii="Times New Roman" w:hAnsi="Times New Roman" w:cs="Times New Roman"/>
          <w:sz w:val="24"/>
          <w:szCs w:val="24"/>
        </w:rPr>
        <w:t xml:space="preserve"> consécutivement à la crise des années trente</w:t>
      </w:r>
      <w:r w:rsidR="005D5E99" w:rsidRPr="005C6BAE">
        <w:rPr>
          <w:rFonts w:ascii="Times New Roman" w:hAnsi="Times New Roman" w:cs="Times New Roman"/>
          <w:sz w:val="24"/>
          <w:szCs w:val="24"/>
        </w:rPr>
        <w:t xml:space="preserve"> dans le chapitre intitulé « Du prêt à intérêt », dispose :</w:t>
      </w:r>
    </w:p>
    <w:p w:rsidR="005D5E99" w:rsidRDefault="005D5E99" w:rsidP="00B726E3">
      <w:pPr>
        <w:jc w:val="both"/>
        <w:rPr>
          <w:rFonts w:ascii="Times New Roman" w:hAnsi="Times New Roman" w:cs="Times New Roman"/>
          <w:sz w:val="24"/>
          <w:szCs w:val="24"/>
        </w:rPr>
      </w:pPr>
      <w:r>
        <w:rPr>
          <w:rFonts w:ascii="Times New Roman" w:hAnsi="Times New Roman" w:cs="Times New Roman"/>
          <w:sz w:val="24"/>
          <w:szCs w:val="24"/>
        </w:rPr>
        <w:t>« </w:t>
      </w:r>
      <w:r w:rsidRPr="003D1E71">
        <w:rPr>
          <w:rFonts w:ascii="Times New Roman" w:hAnsi="Times New Roman" w:cs="Times New Roman"/>
          <w:sz w:val="24"/>
          <w:szCs w:val="24"/>
        </w:rPr>
        <w:t>Lors du remboursement total ou partiel d’un prêt à intérêt, il ne peut en aucun cas être réclamé au débiteur, indépendamment du capital remboursé et des intérêts échus, une indemnité de remploi d’un montant supérieur à six mois d’intérêts calculés sur la somme remboursée au taux fixé par la convention</w:t>
      </w:r>
      <w:r>
        <w:rPr>
          <w:rFonts w:ascii="Times New Roman" w:hAnsi="Times New Roman" w:cs="Times New Roman"/>
          <w:sz w:val="24"/>
          <w:szCs w:val="24"/>
        </w:rPr>
        <w:t> ».</w:t>
      </w:r>
    </w:p>
    <w:p w:rsidR="00DF2816" w:rsidRDefault="005D5E99" w:rsidP="00B726E3">
      <w:pPr>
        <w:jc w:val="both"/>
        <w:rPr>
          <w:rFonts w:ascii="Times New Roman" w:hAnsi="Times New Roman" w:cs="Times New Roman"/>
          <w:sz w:val="24"/>
          <w:szCs w:val="24"/>
        </w:rPr>
      </w:pPr>
      <w:r>
        <w:rPr>
          <w:rFonts w:ascii="Times New Roman" w:hAnsi="Times New Roman" w:cs="Times New Roman"/>
          <w:sz w:val="24"/>
          <w:szCs w:val="24"/>
        </w:rPr>
        <w:t>Cette disposition a fait couler beaucoup d’encre et est au cœur de</w:t>
      </w:r>
      <w:r w:rsidR="00E408CF">
        <w:rPr>
          <w:rFonts w:ascii="Times New Roman" w:hAnsi="Times New Roman" w:cs="Times New Roman"/>
          <w:sz w:val="24"/>
          <w:szCs w:val="24"/>
        </w:rPr>
        <w:t xml:space="preserve"> deux</w:t>
      </w:r>
      <w:r>
        <w:rPr>
          <w:rFonts w:ascii="Times New Roman" w:hAnsi="Times New Roman" w:cs="Times New Roman"/>
          <w:sz w:val="24"/>
          <w:szCs w:val="24"/>
        </w:rPr>
        <w:t xml:space="preserve"> </w:t>
      </w:r>
      <w:r w:rsidR="001F412C">
        <w:rPr>
          <w:rFonts w:ascii="Times New Roman" w:hAnsi="Times New Roman" w:cs="Times New Roman"/>
          <w:sz w:val="24"/>
          <w:szCs w:val="24"/>
        </w:rPr>
        <w:t xml:space="preserve">controverses dont l’une </w:t>
      </w:r>
      <w:r w:rsidR="00715B53">
        <w:rPr>
          <w:rFonts w:ascii="Times New Roman" w:hAnsi="Times New Roman" w:cs="Times New Roman"/>
          <w:sz w:val="24"/>
          <w:szCs w:val="24"/>
        </w:rPr>
        <w:t xml:space="preserve"> a donné lieu à </w:t>
      </w:r>
      <w:r>
        <w:rPr>
          <w:rFonts w:ascii="Times New Roman" w:hAnsi="Times New Roman" w:cs="Times New Roman"/>
          <w:sz w:val="24"/>
          <w:szCs w:val="24"/>
        </w:rPr>
        <w:t>l’arrêt de la Cour de cassation du 24 novembre 2016</w:t>
      </w:r>
      <w:r w:rsidR="00DF2816">
        <w:rPr>
          <w:rFonts w:ascii="Times New Roman" w:hAnsi="Times New Roman" w:cs="Times New Roman"/>
          <w:sz w:val="24"/>
          <w:szCs w:val="24"/>
        </w:rPr>
        <w:t>.</w:t>
      </w:r>
      <w:r w:rsidR="00E408CF">
        <w:rPr>
          <w:rFonts w:ascii="Times New Roman" w:hAnsi="Times New Roman" w:cs="Times New Roman"/>
          <w:sz w:val="24"/>
          <w:szCs w:val="24"/>
        </w:rPr>
        <w:t xml:space="preserve"> Par cet arrêt, la Cour de cassation s’est prononcée sur les types d’indemnités visés par cette disposition. Elle n’</w:t>
      </w:r>
      <w:r w:rsidR="0020512E">
        <w:rPr>
          <w:rFonts w:ascii="Times New Roman" w:hAnsi="Times New Roman" w:cs="Times New Roman"/>
          <w:sz w:val="24"/>
          <w:szCs w:val="24"/>
        </w:rPr>
        <w:t>a, en revanche, pas tran</w:t>
      </w:r>
      <w:r w:rsidR="00E408CF">
        <w:rPr>
          <w:rFonts w:ascii="Times New Roman" w:hAnsi="Times New Roman" w:cs="Times New Roman"/>
          <w:sz w:val="24"/>
          <w:szCs w:val="24"/>
        </w:rPr>
        <w:t>ché la question des critères de qualification du prêt à intérêt.</w:t>
      </w:r>
    </w:p>
    <w:p w:rsidR="006C1D10" w:rsidRDefault="005C6BAE" w:rsidP="00B726E3">
      <w:pPr>
        <w:jc w:val="both"/>
        <w:rPr>
          <w:rFonts w:ascii="Times New Roman" w:hAnsi="Times New Roman" w:cs="Times New Roman"/>
          <w:sz w:val="24"/>
          <w:szCs w:val="24"/>
        </w:rPr>
      </w:pPr>
      <w:r>
        <w:rPr>
          <w:rFonts w:ascii="Times New Roman" w:hAnsi="Times New Roman" w:cs="Times New Roman"/>
          <w:b/>
          <w:i/>
          <w:sz w:val="24"/>
          <w:szCs w:val="24"/>
        </w:rPr>
        <w:t>2</w:t>
      </w:r>
      <w:r w:rsidR="00B26D19" w:rsidRPr="00E408CF">
        <w:rPr>
          <w:rFonts w:ascii="Times New Roman" w:hAnsi="Times New Roman" w:cs="Times New Roman"/>
          <w:b/>
          <w:i/>
          <w:sz w:val="24"/>
          <w:szCs w:val="24"/>
        </w:rPr>
        <w:t>. L’application de l’article 1907bis aux prêts à intér</w:t>
      </w:r>
      <w:r w:rsidR="007743A2" w:rsidRPr="00E408CF">
        <w:rPr>
          <w:rFonts w:ascii="Times New Roman" w:hAnsi="Times New Roman" w:cs="Times New Roman"/>
          <w:b/>
          <w:i/>
          <w:sz w:val="24"/>
          <w:szCs w:val="24"/>
        </w:rPr>
        <w:t>êt</w:t>
      </w:r>
      <w:r w:rsidR="00B26D19" w:rsidRPr="00E408CF">
        <w:rPr>
          <w:rFonts w:ascii="Times New Roman" w:hAnsi="Times New Roman" w:cs="Times New Roman"/>
          <w:b/>
          <w:i/>
          <w:sz w:val="24"/>
          <w:szCs w:val="24"/>
        </w:rPr>
        <w:t xml:space="preserve"> et non aux autres crédits</w:t>
      </w:r>
      <w:r w:rsidR="006C1D10" w:rsidRPr="00E408CF">
        <w:rPr>
          <w:rFonts w:ascii="Times New Roman" w:hAnsi="Times New Roman" w:cs="Times New Roman"/>
          <w:b/>
          <w:i/>
          <w:sz w:val="24"/>
          <w:szCs w:val="24"/>
        </w:rPr>
        <w:t>.</w:t>
      </w:r>
      <w:r w:rsidR="006C1D10">
        <w:rPr>
          <w:rFonts w:ascii="Times New Roman" w:hAnsi="Times New Roman" w:cs="Times New Roman"/>
          <w:sz w:val="24"/>
          <w:szCs w:val="24"/>
        </w:rPr>
        <w:t xml:space="preserve"> </w:t>
      </w:r>
      <w:r w:rsidR="005D5E99">
        <w:rPr>
          <w:rFonts w:ascii="Times New Roman" w:hAnsi="Times New Roman" w:cs="Times New Roman"/>
          <w:sz w:val="24"/>
          <w:szCs w:val="24"/>
        </w:rPr>
        <w:t>Il ne fait pas de doute que l’article 1907</w:t>
      </w:r>
      <w:r w:rsidR="005D5E99" w:rsidRPr="001F412C">
        <w:rPr>
          <w:rFonts w:ascii="Times New Roman" w:hAnsi="Times New Roman" w:cs="Times New Roman"/>
          <w:i/>
          <w:sz w:val="24"/>
          <w:szCs w:val="24"/>
        </w:rPr>
        <w:t>bis</w:t>
      </w:r>
      <w:r w:rsidR="005D5E99">
        <w:rPr>
          <w:rFonts w:ascii="Times New Roman" w:hAnsi="Times New Roman" w:cs="Times New Roman"/>
          <w:sz w:val="24"/>
          <w:szCs w:val="24"/>
        </w:rPr>
        <w:t xml:space="preserve"> ne trouve à s’appliquer qu’aux c</w:t>
      </w:r>
      <w:r w:rsidR="00B26D19">
        <w:rPr>
          <w:rFonts w:ascii="Times New Roman" w:hAnsi="Times New Roman" w:cs="Times New Roman"/>
          <w:sz w:val="24"/>
          <w:szCs w:val="24"/>
        </w:rPr>
        <w:t>ontrats de prêts à intérêt</w:t>
      </w:r>
      <w:r w:rsidR="00AC4A2C">
        <w:rPr>
          <w:rStyle w:val="Appelnotedebasdep"/>
          <w:rFonts w:ascii="Times New Roman" w:hAnsi="Times New Roman" w:cs="Times New Roman"/>
          <w:sz w:val="24"/>
          <w:szCs w:val="24"/>
        </w:rPr>
        <w:footnoteReference w:id="2"/>
      </w:r>
      <w:r w:rsidR="005D5E99">
        <w:rPr>
          <w:rFonts w:ascii="Times New Roman" w:hAnsi="Times New Roman" w:cs="Times New Roman"/>
          <w:sz w:val="24"/>
          <w:szCs w:val="24"/>
        </w:rPr>
        <w:t>, à l’exclu</w:t>
      </w:r>
      <w:r w:rsidR="00B26D19">
        <w:rPr>
          <w:rFonts w:ascii="Times New Roman" w:hAnsi="Times New Roman" w:cs="Times New Roman"/>
          <w:sz w:val="24"/>
          <w:szCs w:val="24"/>
        </w:rPr>
        <w:t xml:space="preserve">sion des autres types de crédit qui ne peuvent être assimilés à des prêts à intérêt. On sait à cet égard que </w:t>
      </w:r>
      <w:r w:rsidR="00E408CF">
        <w:rPr>
          <w:rFonts w:ascii="Times New Roman" w:hAnsi="Times New Roman" w:cs="Times New Roman"/>
          <w:sz w:val="24"/>
          <w:szCs w:val="24"/>
        </w:rPr>
        <w:t xml:space="preserve">le fait pour les parties de qualifier un prêt </w:t>
      </w:r>
      <w:r w:rsidR="005D5E99">
        <w:rPr>
          <w:rFonts w:ascii="Times New Roman" w:hAnsi="Times New Roman" w:cs="Times New Roman"/>
          <w:sz w:val="24"/>
          <w:szCs w:val="24"/>
        </w:rPr>
        <w:t>d’</w:t>
      </w:r>
      <w:r w:rsidR="00B26D19">
        <w:rPr>
          <w:rFonts w:ascii="Times New Roman" w:hAnsi="Times New Roman" w:cs="Times New Roman"/>
          <w:sz w:val="24"/>
          <w:szCs w:val="24"/>
        </w:rPr>
        <w:t>ouverture</w:t>
      </w:r>
      <w:r w:rsidR="00B726E3">
        <w:rPr>
          <w:rFonts w:ascii="Times New Roman" w:hAnsi="Times New Roman" w:cs="Times New Roman"/>
          <w:sz w:val="24"/>
          <w:szCs w:val="24"/>
        </w:rPr>
        <w:t xml:space="preserve"> de crédit </w:t>
      </w:r>
      <w:r w:rsidR="006C1D10">
        <w:rPr>
          <w:rFonts w:ascii="Times New Roman" w:hAnsi="Times New Roman" w:cs="Times New Roman"/>
          <w:sz w:val="24"/>
          <w:szCs w:val="24"/>
        </w:rPr>
        <w:t>est en principe sans incidence sur l’application éventuelle de l’article 1907</w:t>
      </w:r>
      <w:r w:rsidR="006C1D10" w:rsidRPr="001F412C">
        <w:rPr>
          <w:rFonts w:ascii="Times New Roman" w:hAnsi="Times New Roman" w:cs="Times New Roman"/>
          <w:i/>
          <w:sz w:val="24"/>
          <w:szCs w:val="24"/>
        </w:rPr>
        <w:t>bis</w:t>
      </w:r>
      <w:r w:rsidR="00E408CF">
        <w:rPr>
          <w:rFonts w:ascii="Times New Roman" w:hAnsi="Times New Roman" w:cs="Times New Roman"/>
          <w:sz w:val="24"/>
          <w:szCs w:val="24"/>
        </w:rPr>
        <w:t>. L</w:t>
      </w:r>
      <w:r w:rsidR="006C1D10">
        <w:rPr>
          <w:rFonts w:ascii="Times New Roman" w:hAnsi="Times New Roman" w:cs="Times New Roman"/>
          <w:sz w:val="24"/>
          <w:szCs w:val="24"/>
        </w:rPr>
        <w:t xml:space="preserve">a qualification que les parties ont donnée à la convention ne lie pas le juge </w:t>
      </w:r>
      <w:r w:rsidR="001F412C">
        <w:rPr>
          <w:rFonts w:ascii="Times New Roman" w:hAnsi="Times New Roman" w:cs="Times New Roman"/>
          <w:sz w:val="24"/>
          <w:szCs w:val="24"/>
        </w:rPr>
        <w:t xml:space="preserve">qui connaîtrait d’un litige survenu par la </w:t>
      </w:r>
      <w:r w:rsidR="006C1D10">
        <w:rPr>
          <w:rFonts w:ascii="Times New Roman" w:hAnsi="Times New Roman" w:cs="Times New Roman"/>
          <w:sz w:val="24"/>
          <w:szCs w:val="24"/>
        </w:rPr>
        <w:t>suite. La q</w:t>
      </w:r>
      <w:r w:rsidR="00B726E3">
        <w:rPr>
          <w:rFonts w:ascii="Times New Roman" w:hAnsi="Times New Roman" w:cs="Times New Roman"/>
          <w:sz w:val="24"/>
          <w:szCs w:val="24"/>
        </w:rPr>
        <w:t>ualification d</w:t>
      </w:r>
      <w:r w:rsidR="001F412C">
        <w:rPr>
          <w:rFonts w:ascii="Times New Roman" w:hAnsi="Times New Roman" w:cs="Times New Roman"/>
          <w:sz w:val="24"/>
          <w:szCs w:val="24"/>
        </w:rPr>
        <w:t>’ouverture de crédit d’une convention qui s’avèrerait être, en réalité,</w:t>
      </w:r>
      <w:r w:rsidR="006C1D10">
        <w:rPr>
          <w:rFonts w:ascii="Times New Roman" w:hAnsi="Times New Roman" w:cs="Times New Roman"/>
          <w:sz w:val="24"/>
          <w:szCs w:val="24"/>
        </w:rPr>
        <w:t xml:space="preserve"> </w:t>
      </w:r>
      <w:r w:rsidR="006C1D10">
        <w:rPr>
          <w:rFonts w:ascii="Times New Roman" w:hAnsi="Times New Roman" w:cs="Times New Roman"/>
          <w:sz w:val="24"/>
          <w:szCs w:val="24"/>
        </w:rPr>
        <w:lastRenderedPageBreak/>
        <w:t xml:space="preserve">un prêt </w:t>
      </w:r>
      <w:r w:rsidR="001F412C">
        <w:rPr>
          <w:rFonts w:ascii="Times New Roman" w:hAnsi="Times New Roman" w:cs="Times New Roman"/>
          <w:sz w:val="24"/>
          <w:szCs w:val="24"/>
        </w:rPr>
        <w:t xml:space="preserve">à intérêt </w:t>
      </w:r>
      <w:r w:rsidR="006C1D10">
        <w:rPr>
          <w:rFonts w:ascii="Times New Roman" w:hAnsi="Times New Roman" w:cs="Times New Roman"/>
          <w:sz w:val="24"/>
          <w:szCs w:val="24"/>
        </w:rPr>
        <w:t>n’exclut aucunement une r</w:t>
      </w:r>
      <w:r w:rsidR="00B26D19">
        <w:rPr>
          <w:rFonts w:ascii="Times New Roman" w:hAnsi="Times New Roman" w:cs="Times New Roman"/>
          <w:sz w:val="24"/>
          <w:szCs w:val="24"/>
        </w:rPr>
        <w:t>equalification par le juge</w:t>
      </w:r>
      <w:r w:rsidR="006C1D10">
        <w:rPr>
          <w:rFonts w:ascii="Times New Roman" w:hAnsi="Times New Roman" w:cs="Times New Roman"/>
          <w:sz w:val="24"/>
          <w:szCs w:val="24"/>
        </w:rPr>
        <w:t xml:space="preserve"> et l’applicati</w:t>
      </w:r>
      <w:r w:rsidR="0031692A">
        <w:rPr>
          <w:rFonts w:ascii="Times New Roman" w:hAnsi="Times New Roman" w:cs="Times New Roman"/>
          <w:sz w:val="24"/>
          <w:szCs w:val="24"/>
        </w:rPr>
        <w:t>on consécutive</w:t>
      </w:r>
      <w:r w:rsidR="001F412C">
        <w:rPr>
          <w:rFonts w:ascii="Times New Roman" w:hAnsi="Times New Roman" w:cs="Times New Roman"/>
          <w:sz w:val="24"/>
          <w:szCs w:val="24"/>
        </w:rPr>
        <w:t>, en cas de remboursement anticipé,</w:t>
      </w:r>
      <w:r w:rsidR="0031692A">
        <w:rPr>
          <w:rFonts w:ascii="Times New Roman" w:hAnsi="Times New Roman" w:cs="Times New Roman"/>
          <w:sz w:val="24"/>
          <w:szCs w:val="24"/>
        </w:rPr>
        <w:t xml:space="preserve"> de l’article 1907</w:t>
      </w:r>
      <w:r w:rsidR="006C1D10" w:rsidRPr="001F412C">
        <w:rPr>
          <w:rFonts w:ascii="Times New Roman" w:hAnsi="Times New Roman" w:cs="Times New Roman"/>
          <w:i/>
          <w:sz w:val="24"/>
          <w:szCs w:val="24"/>
        </w:rPr>
        <w:t>bis</w:t>
      </w:r>
      <w:r w:rsidR="003725E1">
        <w:rPr>
          <w:rStyle w:val="Appelnotedebasdep"/>
          <w:rFonts w:ascii="Times New Roman" w:hAnsi="Times New Roman" w:cs="Times New Roman"/>
          <w:i/>
          <w:sz w:val="24"/>
          <w:szCs w:val="24"/>
        </w:rPr>
        <w:footnoteReference w:id="3"/>
      </w:r>
      <w:r w:rsidR="006C1D10">
        <w:rPr>
          <w:rFonts w:ascii="Times New Roman" w:hAnsi="Times New Roman" w:cs="Times New Roman"/>
          <w:sz w:val="24"/>
          <w:szCs w:val="24"/>
        </w:rPr>
        <w:t xml:space="preserve">. </w:t>
      </w:r>
    </w:p>
    <w:p w:rsidR="00B26D19" w:rsidRDefault="00B26D19" w:rsidP="00B726E3">
      <w:pPr>
        <w:jc w:val="both"/>
        <w:rPr>
          <w:rFonts w:ascii="Times New Roman" w:hAnsi="Times New Roman" w:cs="Times New Roman"/>
          <w:sz w:val="24"/>
          <w:szCs w:val="24"/>
        </w:rPr>
      </w:pPr>
      <w:r>
        <w:rPr>
          <w:rFonts w:ascii="Times New Roman" w:hAnsi="Times New Roman" w:cs="Times New Roman"/>
          <w:sz w:val="24"/>
          <w:szCs w:val="24"/>
        </w:rPr>
        <w:t>Pour c</w:t>
      </w:r>
      <w:r w:rsidR="005C6BAE">
        <w:rPr>
          <w:rFonts w:ascii="Times New Roman" w:hAnsi="Times New Roman" w:cs="Times New Roman"/>
          <w:sz w:val="24"/>
          <w:szCs w:val="24"/>
        </w:rPr>
        <w:t>ertains auteurs et</w:t>
      </w:r>
      <w:r>
        <w:rPr>
          <w:rFonts w:ascii="Times New Roman" w:hAnsi="Times New Roman" w:cs="Times New Roman"/>
          <w:sz w:val="24"/>
          <w:szCs w:val="24"/>
        </w:rPr>
        <w:t xml:space="preserve"> magistrats, la simple qualification d’ouverture de crédit exclurait en elle-même la qualification de prêt à intérêt et donc le jeu de l’article 1907</w:t>
      </w:r>
      <w:r w:rsidRPr="00AF6A5A">
        <w:rPr>
          <w:rFonts w:ascii="Times New Roman" w:hAnsi="Times New Roman" w:cs="Times New Roman"/>
          <w:i/>
          <w:sz w:val="24"/>
          <w:szCs w:val="24"/>
        </w:rPr>
        <w:t>bis</w:t>
      </w:r>
      <w:r w:rsidR="00AF6A5A">
        <w:rPr>
          <w:rStyle w:val="Appelnotedebasdep"/>
          <w:rFonts w:ascii="Times New Roman" w:hAnsi="Times New Roman" w:cs="Times New Roman"/>
          <w:i/>
          <w:sz w:val="24"/>
          <w:szCs w:val="24"/>
        </w:rPr>
        <w:footnoteReference w:id="4"/>
      </w:r>
      <w:r>
        <w:rPr>
          <w:rFonts w:ascii="Times New Roman" w:hAnsi="Times New Roman" w:cs="Times New Roman"/>
          <w:sz w:val="24"/>
          <w:szCs w:val="24"/>
        </w:rPr>
        <w:t>. Pour d’autres, en revanche, il ne fau</w:t>
      </w:r>
      <w:r w:rsidR="007743A2">
        <w:rPr>
          <w:rFonts w:ascii="Times New Roman" w:hAnsi="Times New Roman" w:cs="Times New Roman"/>
          <w:sz w:val="24"/>
          <w:szCs w:val="24"/>
        </w:rPr>
        <w:t>drai</w:t>
      </w:r>
      <w:r>
        <w:rPr>
          <w:rFonts w:ascii="Times New Roman" w:hAnsi="Times New Roman" w:cs="Times New Roman"/>
          <w:sz w:val="24"/>
          <w:szCs w:val="24"/>
        </w:rPr>
        <w:t xml:space="preserve">t pas s’arrêter aux termes de la convention et à la </w:t>
      </w:r>
      <w:r w:rsidR="007743A2">
        <w:rPr>
          <w:rFonts w:ascii="Times New Roman" w:hAnsi="Times New Roman" w:cs="Times New Roman"/>
          <w:sz w:val="24"/>
          <w:szCs w:val="24"/>
        </w:rPr>
        <w:t>qualification retenue par</w:t>
      </w:r>
      <w:r>
        <w:rPr>
          <w:rFonts w:ascii="Times New Roman" w:hAnsi="Times New Roman" w:cs="Times New Roman"/>
          <w:sz w:val="24"/>
          <w:szCs w:val="24"/>
        </w:rPr>
        <w:t xml:space="preserve"> les parties mais rechercher, dans chaque cas d’espèce, les caractéristiques propres au</w:t>
      </w:r>
      <w:r w:rsidR="007743A2">
        <w:rPr>
          <w:rFonts w:ascii="Times New Roman" w:hAnsi="Times New Roman" w:cs="Times New Roman"/>
          <w:sz w:val="24"/>
          <w:szCs w:val="24"/>
        </w:rPr>
        <w:t>x différents contrats pour ensuite</w:t>
      </w:r>
      <w:r>
        <w:rPr>
          <w:rFonts w:ascii="Times New Roman" w:hAnsi="Times New Roman" w:cs="Times New Roman"/>
          <w:sz w:val="24"/>
          <w:szCs w:val="24"/>
        </w:rPr>
        <w:t xml:space="preserve"> les qualifier</w:t>
      </w:r>
      <w:r w:rsidR="007743A2">
        <w:rPr>
          <w:rFonts w:ascii="Times New Roman" w:hAnsi="Times New Roman" w:cs="Times New Roman"/>
          <w:sz w:val="24"/>
          <w:szCs w:val="24"/>
        </w:rPr>
        <w:t xml:space="preserve"> de prêt ou de crédit</w:t>
      </w:r>
      <w:r>
        <w:rPr>
          <w:rFonts w:ascii="Times New Roman" w:hAnsi="Times New Roman" w:cs="Times New Roman"/>
          <w:sz w:val="24"/>
          <w:szCs w:val="24"/>
        </w:rPr>
        <w:t xml:space="preserve"> et déterminer leur régime juridique</w:t>
      </w:r>
      <w:r w:rsidR="0020512E">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w:t>
      </w:r>
    </w:p>
    <w:p w:rsidR="00DE6033" w:rsidRDefault="00E408CF" w:rsidP="00B726E3">
      <w:pPr>
        <w:jc w:val="both"/>
        <w:rPr>
          <w:rFonts w:ascii="Times New Roman" w:hAnsi="Times New Roman" w:cs="Times New Roman"/>
          <w:sz w:val="24"/>
          <w:szCs w:val="24"/>
        </w:rPr>
      </w:pPr>
      <w:r w:rsidRPr="00E408CF">
        <w:rPr>
          <w:rFonts w:ascii="Times New Roman" w:hAnsi="Times New Roman" w:cs="Times New Roman"/>
          <w:b/>
          <w:i/>
          <w:sz w:val="24"/>
          <w:szCs w:val="24"/>
        </w:rPr>
        <w:t>3</w:t>
      </w:r>
      <w:r w:rsidR="000338EC" w:rsidRPr="00E408CF">
        <w:rPr>
          <w:rFonts w:ascii="Times New Roman" w:hAnsi="Times New Roman" w:cs="Times New Roman"/>
          <w:b/>
          <w:i/>
          <w:sz w:val="24"/>
          <w:szCs w:val="24"/>
        </w:rPr>
        <w:t>.</w:t>
      </w:r>
      <w:r w:rsidRPr="00E408CF">
        <w:rPr>
          <w:rFonts w:ascii="Times New Roman" w:hAnsi="Times New Roman" w:cs="Times New Roman"/>
          <w:b/>
          <w:i/>
          <w:sz w:val="24"/>
          <w:szCs w:val="24"/>
        </w:rPr>
        <w:t xml:space="preserve"> La </w:t>
      </w:r>
      <w:r>
        <w:rPr>
          <w:rFonts w:ascii="Times New Roman" w:hAnsi="Times New Roman" w:cs="Times New Roman"/>
          <w:b/>
          <w:i/>
          <w:sz w:val="24"/>
          <w:szCs w:val="24"/>
        </w:rPr>
        <w:t>position de la Cour constitutionnelle</w:t>
      </w:r>
      <w:r w:rsidRPr="00E408CF">
        <w:rPr>
          <w:rFonts w:ascii="Times New Roman" w:hAnsi="Times New Roman" w:cs="Times New Roman"/>
          <w:b/>
          <w:i/>
          <w:sz w:val="24"/>
          <w:szCs w:val="24"/>
        </w:rPr>
        <w:t>.</w:t>
      </w:r>
      <w:r w:rsidR="000338EC" w:rsidRPr="005161E4">
        <w:rPr>
          <w:rFonts w:ascii="Times New Roman" w:hAnsi="Times New Roman" w:cs="Times New Roman"/>
          <w:b/>
          <w:sz w:val="24"/>
          <w:szCs w:val="24"/>
        </w:rPr>
        <w:t xml:space="preserve"> </w:t>
      </w:r>
      <w:r w:rsidR="00B26D19">
        <w:rPr>
          <w:rFonts w:ascii="Times New Roman" w:hAnsi="Times New Roman" w:cs="Times New Roman"/>
          <w:sz w:val="24"/>
          <w:szCs w:val="24"/>
        </w:rPr>
        <w:t xml:space="preserve">C’est dans ce </w:t>
      </w:r>
      <w:r w:rsidR="005A0B6A">
        <w:rPr>
          <w:rFonts w:ascii="Times New Roman" w:hAnsi="Times New Roman" w:cs="Times New Roman"/>
          <w:sz w:val="24"/>
          <w:szCs w:val="24"/>
        </w:rPr>
        <w:t>contexte</w:t>
      </w:r>
      <w:r w:rsidR="00B26D19">
        <w:rPr>
          <w:rFonts w:ascii="Times New Roman" w:hAnsi="Times New Roman" w:cs="Times New Roman"/>
          <w:sz w:val="24"/>
          <w:szCs w:val="24"/>
        </w:rPr>
        <w:t xml:space="preserve"> que la Cour constitutionnelle </w:t>
      </w:r>
      <w:r w:rsidR="005C7BFA">
        <w:rPr>
          <w:rFonts w:ascii="Times New Roman" w:hAnsi="Times New Roman" w:cs="Times New Roman"/>
          <w:sz w:val="24"/>
          <w:szCs w:val="24"/>
        </w:rPr>
        <w:t xml:space="preserve">a </w:t>
      </w:r>
      <w:r>
        <w:rPr>
          <w:rFonts w:ascii="Times New Roman" w:hAnsi="Times New Roman" w:cs="Times New Roman"/>
          <w:sz w:val="24"/>
          <w:szCs w:val="24"/>
        </w:rPr>
        <w:t xml:space="preserve">rendu </w:t>
      </w:r>
      <w:r w:rsidR="00213F2E">
        <w:rPr>
          <w:rFonts w:ascii="Times New Roman" w:hAnsi="Times New Roman" w:cs="Times New Roman"/>
          <w:sz w:val="24"/>
          <w:szCs w:val="24"/>
        </w:rPr>
        <w:t>son arrêt du 7 août 2013</w:t>
      </w:r>
      <w:r>
        <w:rPr>
          <w:rFonts w:ascii="Times New Roman" w:hAnsi="Times New Roman" w:cs="Times New Roman"/>
          <w:sz w:val="24"/>
          <w:szCs w:val="24"/>
        </w:rPr>
        <w:t>. E</w:t>
      </w:r>
      <w:r w:rsidR="00D44EB7">
        <w:rPr>
          <w:rFonts w:ascii="Times New Roman" w:hAnsi="Times New Roman" w:cs="Times New Roman"/>
          <w:sz w:val="24"/>
          <w:szCs w:val="24"/>
        </w:rPr>
        <w:t>lle</w:t>
      </w:r>
      <w:r w:rsidR="00213F2E">
        <w:rPr>
          <w:rFonts w:ascii="Times New Roman" w:hAnsi="Times New Roman" w:cs="Times New Roman"/>
          <w:sz w:val="24"/>
          <w:szCs w:val="24"/>
        </w:rPr>
        <w:t xml:space="preserve"> a jugé </w:t>
      </w:r>
      <w:r w:rsidR="00B26D19">
        <w:rPr>
          <w:rFonts w:ascii="Times New Roman" w:hAnsi="Times New Roman" w:cs="Times New Roman"/>
          <w:sz w:val="24"/>
          <w:szCs w:val="24"/>
        </w:rPr>
        <w:t>que l’article 1907</w:t>
      </w:r>
      <w:r w:rsidR="00B26D19" w:rsidRPr="00B26D19">
        <w:rPr>
          <w:rFonts w:ascii="Times New Roman" w:hAnsi="Times New Roman" w:cs="Times New Roman"/>
          <w:i/>
          <w:sz w:val="24"/>
          <w:szCs w:val="24"/>
        </w:rPr>
        <w:t>bis</w:t>
      </w:r>
      <w:r w:rsidR="00B26D19">
        <w:rPr>
          <w:rFonts w:ascii="Times New Roman" w:hAnsi="Times New Roman" w:cs="Times New Roman"/>
          <w:sz w:val="24"/>
          <w:szCs w:val="24"/>
        </w:rPr>
        <w:t xml:space="preserve">, </w:t>
      </w:r>
      <w:r w:rsidR="003120B7">
        <w:rPr>
          <w:rFonts w:ascii="Times New Roman" w:hAnsi="Times New Roman" w:cs="Times New Roman"/>
          <w:sz w:val="24"/>
          <w:szCs w:val="24"/>
        </w:rPr>
        <w:t>interprété comme ne s’appliquant pas aux ouvertures de crédit</w:t>
      </w:r>
      <w:r w:rsidR="003747E3">
        <w:rPr>
          <w:rFonts w:ascii="Times New Roman" w:hAnsi="Times New Roman" w:cs="Times New Roman"/>
          <w:sz w:val="24"/>
          <w:szCs w:val="24"/>
        </w:rPr>
        <w:t xml:space="preserve"> non réutilisables</w:t>
      </w:r>
      <w:r w:rsidR="003120B7">
        <w:rPr>
          <w:rFonts w:ascii="Times New Roman" w:hAnsi="Times New Roman" w:cs="Times New Roman"/>
          <w:sz w:val="24"/>
          <w:szCs w:val="24"/>
        </w:rPr>
        <w:t>, ne viole pas les principes d’égalité et de non-discrimination visés aux articles 10 et 11 de la Constitution</w:t>
      </w:r>
      <w:r w:rsidR="003120B7">
        <w:rPr>
          <w:rStyle w:val="Appelnotedebasdep"/>
          <w:rFonts w:ascii="Times New Roman" w:hAnsi="Times New Roman" w:cs="Times New Roman"/>
          <w:sz w:val="24"/>
          <w:szCs w:val="24"/>
        </w:rPr>
        <w:footnoteReference w:id="6"/>
      </w:r>
      <w:r w:rsidR="003120B7">
        <w:rPr>
          <w:rFonts w:ascii="Times New Roman" w:hAnsi="Times New Roman" w:cs="Times New Roman"/>
          <w:sz w:val="24"/>
          <w:szCs w:val="24"/>
        </w:rPr>
        <w:t>. Toutefois, dans ce même arrêt, la Cour constitutionnelle a admis</w:t>
      </w:r>
      <w:r>
        <w:rPr>
          <w:rFonts w:ascii="Times New Roman" w:hAnsi="Times New Roman" w:cs="Times New Roman"/>
          <w:sz w:val="24"/>
          <w:szCs w:val="24"/>
        </w:rPr>
        <w:t xml:space="preserve"> la conformité auxdits principes d’</w:t>
      </w:r>
      <w:r w:rsidR="003120B7">
        <w:rPr>
          <w:rFonts w:ascii="Times New Roman" w:hAnsi="Times New Roman" w:cs="Times New Roman"/>
          <w:sz w:val="24"/>
          <w:szCs w:val="24"/>
        </w:rPr>
        <w:t xml:space="preserve">« une extension de </w:t>
      </w:r>
      <w:r w:rsidR="003120B7" w:rsidRPr="00DE6033">
        <w:rPr>
          <w:rFonts w:ascii="Times New Roman" w:hAnsi="Times New Roman" w:cs="Times New Roman"/>
          <w:i/>
          <w:sz w:val="24"/>
          <w:szCs w:val="24"/>
        </w:rPr>
        <w:t xml:space="preserve">lege </w:t>
      </w:r>
      <w:proofErr w:type="spellStart"/>
      <w:r w:rsidR="003120B7" w:rsidRPr="00DE6033">
        <w:rPr>
          <w:rFonts w:ascii="Times New Roman" w:hAnsi="Times New Roman" w:cs="Times New Roman"/>
          <w:i/>
          <w:sz w:val="24"/>
          <w:szCs w:val="24"/>
        </w:rPr>
        <w:t>ferenda</w:t>
      </w:r>
      <w:proofErr w:type="spellEnd"/>
      <w:r w:rsidR="003120B7">
        <w:rPr>
          <w:rFonts w:ascii="Times New Roman" w:hAnsi="Times New Roman" w:cs="Times New Roman"/>
          <w:sz w:val="24"/>
          <w:szCs w:val="24"/>
        </w:rPr>
        <w:t xml:space="preserve"> de l’article 1907</w:t>
      </w:r>
      <w:r w:rsidR="003120B7" w:rsidRPr="001F412C">
        <w:rPr>
          <w:rFonts w:ascii="Times New Roman" w:hAnsi="Times New Roman" w:cs="Times New Roman"/>
          <w:i/>
          <w:sz w:val="24"/>
          <w:szCs w:val="24"/>
        </w:rPr>
        <w:t>bis</w:t>
      </w:r>
      <w:r w:rsidR="003120B7">
        <w:rPr>
          <w:rFonts w:ascii="Times New Roman" w:hAnsi="Times New Roman" w:cs="Times New Roman"/>
          <w:sz w:val="24"/>
          <w:szCs w:val="24"/>
        </w:rPr>
        <w:t xml:space="preserve"> aux contrats d’ouverture de crédit »</w:t>
      </w:r>
      <w:r w:rsidR="003120B7">
        <w:rPr>
          <w:rStyle w:val="Appelnotedebasdep"/>
          <w:rFonts w:ascii="Times New Roman" w:hAnsi="Times New Roman" w:cs="Times New Roman"/>
          <w:sz w:val="24"/>
          <w:szCs w:val="24"/>
        </w:rPr>
        <w:footnoteReference w:id="7"/>
      </w:r>
      <w:r w:rsidR="003120B7">
        <w:rPr>
          <w:rFonts w:ascii="Times New Roman" w:hAnsi="Times New Roman" w:cs="Times New Roman"/>
          <w:sz w:val="24"/>
          <w:szCs w:val="24"/>
        </w:rPr>
        <w:t xml:space="preserve">. </w:t>
      </w:r>
      <w:r w:rsidR="00B26D19">
        <w:rPr>
          <w:rFonts w:ascii="Times New Roman" w:hAnsi="Times New Roman" w:cs="Times New Roman"/>
          <w:sz w:val="24"/>
          <w:szCs w:val="24"/>
        </w:rPr>
        <w:t>Elle n’a condamné aucune interprétation ni option législative au regard de la Constitution</w:t>
      </w:r>
      <w:r w:rsidR="005C6BAE">
        <w:rPr>
          <w:rFonts w:ascii="Times New Roman" w:hAnsi="Times New Roman" w:cs="Times New Roman"/>
          <w:sz w:val="24"/>
          <w:szCs w:val="24"/>
        </w:rPr>
        <w:t>, s’agissant notamment de la question</w:t>
      </w:r>
      <w:r w:rsidR="00B26D19">
        <w:rPr>
          <w:rFonts w:ascii="Times New Roman" w:hAnsi="Times New Roman" w:cs="Times New Roman"/>
          <w:sz w:val="24"/>
          <w:szCs w:val="24"/>
        </w:rPr>
        <w:t xml:space="preserve"> si la qualification d’ouverture de crédit est réellement exclusive de celle de prêt à intérêt. </w:t>
      </w:r>
      <w:r w:rsidR="005A0B6A">
        <w:rPr>
          <w:rFonts w:ascii="Times New Roman" w:hAnsi="Times New Roman" w:cs="Times New Roman"/>
          <w:sz w:val="24"/>
          <w:szCs w:val="24"/>
        </w:rPr>
        <w:t>La controverse demeure et il</w:t>
      </w:r>
      <w:r w:rsidR="00DE6033">
        <w:rPr>
          <w:rFonts w:ascii="Times New Roman" w:hAnsi="Times New Roman" w:cs="Times New Roman"/>
          <w:sz w:val="24"/>
          <w:szCs w:val="24"/>
        </w:rPr>
        <w:t xml:space="preserve"> appartient en définitive à l</w:t>
      </w:r>
      <w:r w:rsidR="00B726E3">
        <w:rPr>
          <w:rFonts w:ascii="Times New Roman" w:hAnsi="Times New Roman" w:cs="Times New Roman"/>
          <w:sz w:val="24"/>
          <w:szCs w:val="24"/>
        </w:rPr>
        <w:t xml:space="preserve">a Cour de cassation </w:t>
      </w:r>
      <w:r w:rsidR="00DE6033">
        <w:rPr>
          <w:rFonts w:ascii="Times New Roman" w:hAnsi="Times New Roman" w:cs="Times New Roman"/>
          <w:sz w:val="24"/>
          <w:szCs w:val="24"/>
        </w:rPr>
        <w:t>de se prononcer  sur le ou les critères</w:t>
      </w:r>
      <w:r w:rsidR="00DE6033" w:rsidRPr="00DE6033">
        <w:rPr>
          <w:rFonts w:ascii="Times New Roman" w:hAnsi="Times New Roman" w:cs="Times New Roman"/>
          <w:sz w:val="24"/>
          <w:szCs w:val="24"/>
        </w:rPr>
        <w:t xml:space="preserve"> </w:t>
      </w:r>
      <w:r w:rsidR="00DE6033">
        <w:rPr>
          <w:rFonts w:ascii="Times New Roman" w:hAnsi="Times New Roman" w:cs="Times New Roman"/>
          <w:sz w:val="24"/>
          <w:szCs w:val="24"/>
        </w:rPr>
        <w:t>permettant de distinguer la figure contractuelle du prêt à intérêt de celle de</w:t>
      </w:r>
      <w:r w:rsidR="00B26D19">
        <w:rPr>
          <w:rFonts w:ascii="Times New Roman" w:hAnsi="Times New Roman" w:cs="Times New Roman"/>
          <w:sz w:val="24"/>
          <w:szCs w:val="24"/>
        </w:rPr>
        <w:t>s autres types</w:t>
      </w:r>
      <w:r w:rsidR="00DE6033">
        <w:rPr>
          <w:rFonts w:ascii="Times New Roman" w:hAnsi="Times New Roman" w:cs="Times New Roman"/>
          <w:sz w:val="24"/>
          <w:szCs w:val="24"/>
        </w:rPr>
        <w:t xml:space="preserve"> de crédit</w:t>
      </w:r>
      <w:r>
        <w:rPr>
          <w:rFonts w:ascii="Times New Roman" w:hAnsi="Times New Roman" w:cs="Times New Roman"/>
          <w:sz w:val="24"/>
          <w:szCs w:val="24"/>
        </w:rPr>
        <w:t>,</w:t>
      </w:r>
      <w:r w:rsidR="00DE6033">
        <w:rPr>
          <w:rFonts w:ascii="Times New Roman" w:hAnsi="Times New Roman" w:cs="Times New Roman"/>
          <w:sz w:val="24"/>
          <w:szCs w:val="24"/>
        </w:rPr>
        <w:t xml:space="preserve"> ce qu’elle </w:t>
      </w:r>
      <w:r w:rsidR="007743A2">
        <w:rPr>
          <w:rFonts w:ascii="Times New Roman" w:hAnsi="Times New Roman" w:cs="Times New Roman"/>
          <w:sz w:val="24"/>
          <w:szCs w:val="24"/>
        </w:rPr>
        <w:t>n’a</w:t>
      </w:r>
      <w:r w:rsidR="00B726E3">
        <w:rPr>
          <w:rFonts w:ascii="Times New Roman" w:hAnsi="Times New Roman" w:cs="Times New Roman"/>
          <w:sz w:val="24"/>
          <w:szCs w:val="24"/>
        </w:rPr>
        <w:t>, à notre connaissance,</w:t>
      </w:r>
      <w:r w:rsidR="007743A2">
        <w:rPr>
          <w:rFonts w:ascii="Times New Roman" w:hAnsi="Times New Roman" w:cs="Times New Roman"/>
          <w:sz w:val="24"/>
          <w:szCs w:val="24"/>
        </w:rPr>
        <w:t xml:space="preserve"> pas</w:t>
      </w:r>
      <w:r w:rsidR="00DE6033">
        <w:rPr>
          <w:rFonts w:ascii="Times New Roman" w:hAnsi="Times New Roman" w:cs="Times New Roman"/>
          <w:sz w:val="24"/>
          <w:szCs w:val="24"/>
        </w:rPr>
        <w:t xml:space="preserve"> encore fait.</w:t>
      </w:r>
    </w:p>
    <w:p w:rsidR="00DE6033" w:rsidRDefault="00CA1BE5" w:rsidP="00B726E3">
      <w:pPr>
        <w:jc w:val="both"/>
        <w:rPr>
          <w:rFonts w:ascii="Times New Roman" w:hAnsi="Times New Roman" w:cs="Times New Roman"/>
          <w:sz w:val="24"/>
          <w:szCs w:val="24"/>
        </w:rPr>
      </w:pPr>
      <w:r>
        <w:rPr>
          <w:rFonts w:ascii="Times New Roman" w:hAnsi="Times New Roman" w:cs="Times New Roman"/>
          <w:sz w:val="24"/>
          <w:szCs w:val="24"/>
        </w:rPr>
        <w:t>Doctrine et jurisprudence ont</w:t>
      </w:r>
      <w:r w:rsidR="00DE6033">
        <w:rPr>
          <w:rFonts w:ascii="Times New Roman" w:hAnsi="Times New Roman" w:cs="Times New Roman"/>
          <w:sz w:val="24"/>
          <w:szCs w:val="24"/>
        </w:rPr>
        <w:t>, pour leur part,</w:t>
      </w:r>
      <w:r>
        <w:rPr>
          <w:rFonts w:ascii="Times New Roman" w:hAnsi="Times New Roman" w:cs="Times New Roman"/>
          <w:sz w:val="24"/>
          <w:szCs w:val="24"/>
        </w:rPr>
        <w:t xml:space="preserve"> tenté de proposer de tels critères sans qu’une unanimité puisse se dégager. Parmi les critères généralement avancés, </w:t>
      </w:r>
      <w:r w:rsidR="00145BA5">
        <w:rPr>
          <w:rFonts w:ascii="Times New Roman" w:hAnsi="Times New Roman" w:cs="Times New Roman"/>
          <w:sz w:val="24"/>
          <w:szCs w:val="24"/>
        </w:rPr>
        <w:t>celui de la libe</w:t>
      </w:r>
      <w:r w:rsidR="00DE6033">
        <w:rPr>
          <w:rFonts w:ascii="Times New Roman" w:hAnsi="Times New Roman" w:cs="Times New Roman"/>
          <w:sz w:val="24"/>
          <w:szCs w:val="24"/>
        </w:rPr>
        <w:t xml:space="preserve">rté de prélèvement pourrait </w:t>
      </w:r>
      <w:r w:rsidR="001F412C">
        <w:rPr>
          <w:rFonts w:ascii="Times New Roman" w:hAnsi="Times New Roman" w:cs="Times New Roman"/>
          <w:sz w:val="24"/>
          <w:szCs w:val="24"/>
        </w:rPr>
        <w:t>faire l’objet d’</w:t>
      </w:r>
      <w:r w:rsidR="00145BA5">
        <w:rPr>
          <w:rFonts w:ascii="Times New Roman" w:hAnsi="Times New Roman" w:cs="Times New Roman"/>
          <w:sz w:val="24"/>
          <w:szCs w:val="24"/>
        </w:rPr>
        <w:t>un certain consensus</w:t>
      </w:r>
      <w:r w:rsidR="00DE6033">
        <w:rPr>
          <w:rFonts w:ascii="Times New Roman" w:hAnsi="Times New Roman" w:cs="Times New Roman"/>
          <w:sz w:val="24"/>
          <w:szCs w:val="24"/>
        </w:rPr>
        <w:t>. Selon ce critère, on différencierait l’ouverture de crédit du prêt en ce que</w:t>
      </w:r>
      <w:r w:rsidR="001F412C">
        <w:rPr>
          <w:rFonts w:ascii="Times New Roman" w:hAnsi="Times New Roman" w:cs="Times New Roman"/>
          <w:sz w:val="24"/>
          <w:szCs w:val="24"/>
        </w:rPr>
        <w:t>,</w:t>
      </w:r>
      <w:r w:rsidR="00145BA5">
        <w:rPr>
          <w:rFonts w:ascii="Times New Roman" w:hAnsi="Times New Roman" w:cs="Times New Roman"/>
          <w:sz w:val="24"/>
          <w:szCs w:val="24"/>
        </w:rPr>
        <w:t xml:space="preserve"> dans une ouverture de crédit, « le crédité se voit octroyer une mise à disposition de fonds qu’il peut utiliser au moment et dans la mesure où il le juge nécessaire, voire ne pas utiliser du tout, alors que dans le [prêt], le crédité ne dispose d’aucune latitude quant au prélèvement des fonds »</w:t>
      </w:r>
      <w:r w:rsidR="00145BA5">
        <w:rPr>
          <w:rStyle w:val="Appelnotedebasdep"/>
          <w:rFonts w:ascii="Times New Roman" w:hAnsi="Times New Roman" w:cs="Times New Roman"/>
          <w:sz w:val="24"/>
          <w:szCs w:val="24"/>
        </w:rPr>
        <w:footnoteReference w:id="8"/>
      </w:r>
      <w:r w:rsidR="0031692A">
        <w:rPr>
          <w:rFonts w:ascii="Times New Roman" w:hAnsi="Times New Roman" w:cs="Times New Roman"/>
          <w:sz w:val="24"/>
          <w:szCs w:val="24"/>
        </w:rPr>
        <w:t>.</w:t>
      </w:r>
    </w:p>
    <w:p w:rsidR="00DF2816" w:rsidRDefault="00E408CF" w:rsidP="00B726E3">
      <w:pPr>
        <w:jc w:val="both"/>
        <w:rPr>
          <w:rFonts w:ascii="Times New Roman" w:hAnsi="Times New Roman" w:cs="Times New Roman"/>
          <w:sz w:val="24"/>
          <w:szCs w:val="24"/>
        </w:rPr>
      </w:pPr>
      <w:r w:rsidRPr="00AF6A5A">
        <w:rPr>
          <w:rFonts w:ascii="Times New Roman" w:hAnsi="Times New Roman" w:cs="Times New Roman"/>
          <w:b/>
          <w:i/>
          <w:sz w:val="24"/>
          <w:szCs w:val="24"/>
        </w:rPr>
        <w:t>4</w:t>
      </w:r>
      <w:r w:rsidR="005161E4" w:rsidRPr="005161E4">
        <w:rPr>
          <w:rFonts w:ascii="Times New Roman" w:hAnsi="Times New Roman" w:cs="Times New Roman"/>
          <w:b/>
          <w:sz w:val="24"/>
          <w:szCs w:val="24"/>
        </w:rPr>
        <w:t>.</w:t>
      </w:r>
      <w:r w:rsidR="0002288E">
        <w:rPr>
          <w:rFonts w:ascii="Times New Roman" w:hAnsi="Times New Roman" w:cs="Times New Roman"/>
          <w:b/>
          <w:sz w:val="24"/>
          <w:szCs w:val="24"/>
        </w:rPr>
        <w:t xml:space="preserve"> </w:t>
      </w:r>
      <w:r w:rsidR="0002288E" w:rsidRPr="00E408CF">
        <w:rPr>
          <w:rFonts w:ascii="Times New Roman" w:hAnsi="Times New Roman" w:cs="Times New Roman"/>
          <w:b/>
          <w:i/>
          <w:sz w:val="24"/>
          <w:szCs w:val="24"/>
        </w:rPr>
        <w:t>Absence de droit légal au remboursement anticipé.</w:t>
      </w:r>
      <w:r w:rsidR="005161E4">
        <w:rPr>
          <w:rFonts w:ascii="Times New Roman" w:hAnsi="Times New Roman" w:cs="Times New Roman"/>
          <w:sz w:val="24"/>
          <w:szCs w:val="24"/>
        </w:rPr>
        <w:t xml:space="preserve"> </w:t>
      </w:r>
      <w:r w:rsidR="00DF2816">
        <w:rPr>
          <w:rFonts w:ascii="Times New Roman" w:hAnsi="Times New Roman" w:cs="Times New Roman"/>
          <w:sz w:val="24"/>
          <w:szCs w:val="24"/>
        </w:rPr>
        <w:t>Une fois réglée la question de la qualification ou de la requalification du contrat en pr</w:t>
      </w:r>
      <w:r w:rsidR="00692529">
        <w:rPr>
          <w:rFonts w:ascii="Times New Roman" w:hAnsi="Times New Roman" w:cs="Times New Roman"/>
          <w:sz w:val="24"/>
          <w:szCs w:val="24"/>
        </w:rPr>
        <w:t>êt à intérêt, se pose encore</w:t>
      </w:r>
      <w:r w:rsidR="00DF2816">
        <w:rPr>
          <w:rFonts w:ascii="Times New Roman" w:hAnsi="Times New Roman" w:cs="Times New Roman"/>
          <w:sz w:val="24"/>
          <w:szCs w:val="24"/>
        </w:rPr>
        <w:t xml:space="preserve"> la question de la possibilité, pour l’emprunteur, d’effectuer un remboursement anticipé du montant prêté. </w:t>
      </w:r>
      <w:r w:rsidR="00DF2816">
        <w:rPr>
          <w:rFonts w:ascii="Times New Roman" w:hAnsi="Times New Roman" w:cs="Times New Roman"/>
          <w:sz w:val="24"/>
          <w:szCs w:val="24"/>
        </w:rPr>
        <w:lastRenderedPageBreak/>
        <w:t>Aucune disposition légale ne fonde, en droit commun</w:t>
      </w:r>
      <w:r w:rsidR="00692529">
        <w:rPr>
          <w:rStyle w:val="Appelnotedebasdep"/>
          <w:rFonts w:ascii="Times New Roman" w:hAnsi="Times New Roman" w:cs="Times New Roman"/>
          <w:sz w:val="24"/>
          <w:szCs w:val="24"/>
        </w:rPr>
        <w:footnoteReference w:id="9"/>
      </w:r>
      <w:r w:rsidR="00DF2816">
        <w:rPr>
          <w:rFonts w:ascii="Times New Roman" w:hAnsi="Times New Roman" w:cs="Times New Roman"/>
          <w:sz w:val="24"/>
          <w:szCs w:val="24"/>
        </w:rPr>
        <w:t>, un droit général de l’emprunteur de rembourser anticipativement les fond</w:t>
      </w:r>
      <w:r w:rsidR="005A0B6A">
        <w:rPr>
          <w:rFonts w:ascii="Times New Roman" w:hAnsi="Times New Roman" w:cs="Times New Roman"/>
          <w:sz w:val="24"/>
          <w:szCs w:val="24"/>
        </w:rPr>
        <w:t xml:space="preserve">s mis à sa disposition. </w:t>
      </w:r>
      <w:r w:rsidR="003B2236">
        <w:rPr>
          <w:rFonts w:ascii="Times New Roman" w:hAnsi="Times New Roman" w:cs="Times New Roman"/>
          <w:sz w:val="24"/>
          <w:szCs w:val="24"/>
        </w:rPr>
        <w:t>Un droit au remboursement anticipé</w:t>
      </w:r>
      <w:r w:rsidR="005A0B6A">
        <w:rPr>
          <w:rFonts w:ascii="Times New Roman" w:hAnsi="Times New Roman" w:cs="Times New Roman"/>
          <w:sz w:val="24"/>
          <w:szCs w:val="24"/>
        </w:rPr>
        <w:t xml:space="preserve"> pourrait, certes, découler de l’article 1187 du Code civil, lequel dispose que</w:t>
      </w:r>
      <w:r w:rsidR="007743A2">
        <w:rPr>
          <w:rFonts w:ascii="Times New Roman" w:hAnsi="Times New Roman" w:cs="Times New Roman"/>
          <w:sz w:val="24"/>
          <w:szCs w:val="24"/>
        </w:rPr>
        <w:t> :</w:t>
      </w:r>
      <w:r w:rsidR="005A0B6A">
        <w:rPr>
          <w:rFonts w:ascii="Times New Roman" w:hAnsi="Times New Roman" w:cs="Times New Roman"/>
          <w:sz w:val="24"/>
          <w:szCs w:val="24"/>
        </w:rPr>
        <w:t xml:space="preserve"> « Le terme est toujours stipulé en faveur du débiteur, à moins qu’il n</w:t>
      </w:r>
      <w:r w:rsidR="007743A2">
        <w:rPr>
          <w:rFonts w:ascii="Times New Roman" w:hAnsi="Times New Roman" w:cs="Times New Roman"/>
          <w:sz w:val="24"/>
          <w:szCs w:val="24"/>
        </w:rPr>
        <w:t>e résulte de la stipulation, ou</w:t>
      </w:r>
      <w:r w:rsidR="005A0B6A">
        <w:rPr>
          <w:rFonts w:ascii="Times New Roman" w:hAnsi="Times New Roman" w:cs="Times New Roman"/>
          <w:sz w:val="24"/>
          <w:szCs w:val="24"/>
        </w:rPr>
        <w:t xml:space="preserve"> des circonstances, qu’il a aussi été convenu en faveur du créancier ». </w:t>
      </w:r>
      <w:r w:rsidR="003B2236">
        <w:rPr>
          <w:rFonts w:ascii="Times New Roman" w:hAnsi="Times New Roman" w:cs="Times New Roman"/>
          <w:sz w:val="24"/>
          <w:szCs w:val="24"/>
        </w:rPr>
        <w:t xml:space="preserve">Toutefois, à n’en pas douter, rares seront les cas dans lesquels il </w:t>
      </w:r>
      <w:r w:rsidR="007743A2">
        <w:rPr>
          <w:rFonts w:ascii="Times New Roman" w:hAnsi="Times New Roman" w:cs="Times New Roman"/>
          <w:sz w:val="24"/>
          <w:szCs w:val="24"/>
        </w:rPr>
        <w:t>ne découlera pas soit</w:t>
      </w:r>
      <w:r w:rsidR="003B2236">
        <w:rPr>
          <w:rFonts w:ascii="Times New Roman" w:hAnsi="Times New Roman" w:cs="Times New Roman"/>
          <w:sz w:val="24"/>
          <w:szCs w:val="24"/>
        </w:rPr>
        <w:t xml:space="preserve"> du contrat soit des circonstances que le terme est également convenu au profit du prêteur</w:t>
      </w:r>
      <w:r w:rsidR="000E1316">
        <w:rPr>
          <w:rFonts w:ascii="Times New Roman" w:hAnsi="Times New Roman" w:cs="Times New Roman"/>
          <w:sz w:val="24"/>
          <w:szCs w:val="24"/>
        </w:rPr>
        <w:t xml:space="preserve"> qui, en allouant les fonds</w:t>
      </w:r>
      <w:r w:rsidR="00570054">
        <w:rPr>
          <w:rFonts w:ascii="Times New Roman" w:hAnsi="Times New Roman" w:cs="Times New Roman"/>
          <w:sz w:val="24"/>
          <w:szCs w:val="24"/>
        </w:rPr>
        <w:t>,</w:t>
      </w:r>
      <w:r w:rsidR="000E1316">
        <w:rPr>
          <w:rFonts w:ascii="Times New Roman" w:hAnsi="Times New Roman" w:cs="Times New Roman"/>
          <w:sz w:val="24"/>
          <w:szCs w:val="24"/>
        </w:rPr>
        <w:t xml:space="preserve"> effectue indéniablement un placement à plus ou moins long terme</w:t>
      </w:r>
      <w:r w:rsidR="000E1316">
        <w:rPr>
          <w:rStyle w:val="Appelnotedebasdep"/>
          <w:rFonts w:ascii="Times New Roman" w:hAnsi="Times New Roman" w:cs="Times New Roman"/>
          <w:sz w:val="24"/>
          <w:szCs w:val="24"/>
        </w:rPr>
        <w:footnoteReference w:id="10"/>
      </w:r>
      <w:r w:rsidR="003B2236">
        <w:rPr>
          <w:rFonts w:ascii="Times New Roman" w:hAnsi="Times New Roman" w:cs="Times New Roman"/>
          <w:sz w:val="24"/>
          <w:szCs w:val="24"/>
        </w:rPr>
        <w:t xml:space="preserve">. </w:t>
      </w:r>
      <w:r w:rsidR="005A0B6A">
        <w:rPr>
          <w:rFonts w:ascii="Times New Roman" w:hAnsi="Times New Roman" w:cs="Times New Roman"/>
          <w:sz w:val="24"/>
          <w:szCs w:val="24"/>
        </w:rPr>
        <w:t>Dès lors</w:t>
      </w:r>
      <w:r w:rsidR="00DF2816">
        <w:rPr>
          <w:rFonts w:ascii="Times New Roman" w:hAnsi="Times New Roman" w:cs="Times New Roman"/>
          <w:sz w:val="24"/>
          <w:szCs w:val="24"/>
        </w:rPr>
        <w:t>, d</w:t>
      </w:r>
      <w:r>
        <w:rPr>
          <w:rFonts w:ascii="Times New Roman" w:hAnsi="Times New Roman" w:cs="Times New Roman"/>
          <w:sz w:val="24"/>
          <w:szCs w:val="24"/>
        </w:rPr>
        <w:t>e deux choses l’une. S</w:t>
      </w:r>
      <w:r w:rsidR="007743A2">
        <w:rPr>
          <w:rFonts w:ascii="Times New Roman" w:hAnsi="Times New Roman" w:cs="Times New Roman"/>
          <w:sz w:val="24"/>
          <w:szCs w:val="24"/>
        </w:rPr>
        <w:t>oit la</w:t>
      </w:r>
      <w:r w:rsidR="00DF2816">
        <w:rPr>
          <w:rFonts w:ascii="Times New Roman" w:hAnsi="Times New Roman" w:cs="Times New Roman"/>
          <w:sz w:val="24"/>
          <w:szCs w:val="24"/>
        </w:rPr>
        <w:t xml:space="preserve"> faculté </w:t>
      </w:r>
      <w:r w:rsidR="007743A2">
        <w:rPr>
          <w:rFonts w:ascii="Times New Roman" w:hAnsi="Times New Roman" w:cs="Times New Roman"/>
          <w:sz w:val="24"/>
          <w:szCs w:val="24"/>
        </w:rPr>
        <w:t xml:space="preserve">de remboursement anticipé </w:t>
      </w:r>
      <w:r w:rsidR="00DF2816">
        <w:rPr>
          <w:rFonts w:ascii="Times New Roman" w:hAnsi="Times New Roman" w:cs="Times New Roman"/>
          <w:sz w:val="24"/>
          <w:szCs w:val="24"/>
        </w:rPr>
        <w:t>est prévue initialement par les parties</w:t>
      </w:r>
      <w:r>
        <w:rPr>
          <w:rFonts w:ascii="Times New Roman" w:hAnsi="Times New Roman" w:cs="Times New Roman"/>
          <w:sz w:val="24"/>
          <w:szCs w:val="24"/>
        </w:rPr>
        <w:t xml:space="preserve"> et le prêteur est tenu d’accepter le remboursement anticipé.</w:t>
      </w:r>
      <w:r w:rsidR="00DF2816">
        <w:rPr>
          <w:rFonts w:ascii="Times New Roman" w:hAnsi="Times New Roman" w:cs="Times New Roman"/>
          <w:sz w:val="24"/>
          <w:szCs w:val="24"/>
        </w:rPr>
        <w:t xml:space="preserve"> </w:t>
      </w:r>
      <w:r>
        <w:rPr>
          <w:rFonts w:ascii="Times New Roman" w:hAnsi="Times New Roman" w:cs="Times New Roman"/>
          <w:sz w:val="24"/>
          <w:szCs w:val="24"/>
        </w:rPr>
        <w:t>Soit</w:t>
      </w:r>
      <w:r w:rsidR="00DF2816">
        <w:rPr>
          <w:rFonts w:ascii="Times New Roman" w:hAnsi="Times New Roman" w:cs="Times New Roman"/>
          <w:sz w:val="24"/>
          <w:szCs w:val="24"/>
        </w:rPr>
        <w:t xml:space="preserve"> elle ne l’est pas et le prêteur est fondé à refuser – sous réserve toutefois d’un abus de droit - le remboursement anticipé souhaité par l’emprunteur ou à l’accepter, ce qui constitue alors une renonciation </w:t>
      </w:r>
      <w:r w:rsidR="00DF2816" w:rsidRPr="000338EC">
        <w:rPr>
          <w:rFonts w:ascii="Times New Roman" w:hAnsi="Times New Roman" w:cs="Times New Roman"/>
          <w:i/>
          <w:sz w:val="24"/>
          <w:szCs w:val="24"/>
        </w:rPr>
        <w:t>a posteriori</w:t>
      </w:r>
      <w:r w:rsidR="00DF2816">
        <w:rPr>
          <w:rFonts w:ascii="Times New Roman" w:hAnsi="Times New Roman" w:cs="Times New Roman"/>
          <w:sz w:val="24"/>
          <w:szCs w:val="24"/>
        </w:rPr>
        <w:t xml:space="preserve"> à son droit de refuser ledit remboursement.</w:t>
      </w:r>
    </w:p>
    <w:p w:rsidR="007743A2" w:rsidRDefault="00E408CF" w:rsidP="00B726E3">
      <w:pPr>
        <w:jc w:val="both"/>
        <w:rPr>
          <w:rFonts w:ascii="Times New Roman" w:hAnsi="Times New Roman" w:cs="Times New Roman"/>
          <w:sz w:val="24"/>
          <w:szCs w:val="24"/>
        </w:rPr>
      </w:pPr>
      <w:r w:rsidRPr="00AF6A5A">
        <w:rPr>
          <w:rFonts w:ascii="Times New Roman" w:hAnsi="Times New Roman" w:cs="Times New Roman"/>
          <w:b/>
          <w:i/>
          <w:sz w:val="24"/>
          <w:szCs w:val="24"/>
        </w:rPr>
        <w:t>5</w:t>
      </w:r>
      <w:r w:rsidR="00361210" w:rsidRPr="00AF6A5A">
        <w:rPr>
          <w:rFonts w:ascii="Times New Roman" w:hAnsi="Times New Roman" w:cs="Times New Roman"/>
          <w:b/>
          <w:i/>
          <w:sz w:val="24"/>
          <w:szCs w:val="24"/>
        </w:rPr>
        <w:t>. Types</w:t>
      </w:r>
      <w:r w:rsidR="0002288E" w:rsidRPr="00AF6A5A">
        <w:rPr>
          <w:rFonts w:ascii="Times New Roman" w:hAnsi="Times New Roman" w:cs="Times New Roman"/>
          <w:b/>
          <w:i/>
          <w:sz w:val="24"/>
          <w:szCs w:val="24"/>
        </w:rPr>
        <w:t xml:space="preserve"> de remboursement</w:t>
      </w:r>
      <w:r w:rsidR="00361210" w:rsidRPr="00AF6A5A">
        <w:rPr>
          <w:rFonts w:ascii="Times New Roman" w:hAnsi="Times New Roman" w:cs="Times New Roman"/>
          <w:b/>
          <w:i/>
          <w:sz w:val="24"/>
          <w:szCs w:val="24"/>
        </w:rPr>
        <w:t>s</w:t>
      </w:r>
      <w:r w:rsidR="0002288E" w:rsidRPr="00AF6A5A">
        <w:rPr>
          <w:rFonts w:ascii="Times New Roman" w:hAnsi="Times New Roman" w:cs="Times New Roman"/>
          <w:b/>
          <w:i/>
          <w:sz w:val="24"/>
          <w:szCs w:val="24"/>
        </w:rPr>
        <w:t xml:space="preserve"> anticipé</w:t>
      </w:r>
      <w:r w:rsidR="00361210" w:rsidRPr="00AF6A5A">
        <w:rPr>
          <w:rFonts w:ascii="Times New Roman" w:hAnsi="Times New Roman" w:cs="Times New Roman"/>
          <w:b/>
          <w:i/>
          <w:sz w:val="24"/>
          <w:szCs w:val="24"/>
        </w:rPr>
        <w:t xml:space="preserve">s visés par </w:t>
      </w:r>
      <w:r w:rsidR="0002288E" w:rsidRPr="00AF6A5A">
        <w:rPr>
          <w:rFonts w:ascii="Times New Roman" w:hAnsi="Times New Roman" w:cs="Times New Roman"/>
          <w:b/>
          <w:i/>
          <w:sz w:val="24"/>
          <w:szCs w:val="24"/>
        </w:rPr>
        <w:t>l’art</w:t>
      </w:r>
      <w:r w:rsidR="00361210" w:rsidRPr="00AF6A5A">
        <w:rPr>
          <w:rFonts w:ascii="Times New Roman" w:hAnsi="Times New Roman" w:cs="Times New Roman"/>
          <w:b/>
          <w:i/>
          <w:sz w:val="24"/>
          <w:szCs w:val="24"/>
        </w:rPr>
        <w:t>icle 1907bis</w:t>
      </w:r>
      <w:r w:rsidR="00361210">
        <w:rPr>
          <w:rFonts w:ascii="Times New Roman" w:hAnsi="Times New Roman" w:cs="Times New Roman"/>
          <w:b/>
          <w:sz w:val="24"/>
          <w:szCs w:val="24"/>
        </w:rPr>
        <w:t>.</w:t>
      </w:r>
      <w:r w:rsidR="0002288E">
        <w:rPr>
          <w:rFonts w:ascii="Times New Roman" w:hAnsi="Times New Roman" w:cs="Times New Roman"/>
          <w:sz w:val="24"/>
          <w:szCs w:val="24"/>
        </w:rPr>
        <w:t xml:space="preserve"> </w:t>
      </w:r>
      <w:r w:rsidR="005161E4">
        <w:rPr>
          <w:rFonts w:ascii="Times New Roman" w:hAnsi="Times New Roman" w:cs="Times New Roman"/>
          <w:sz w:val="24"/>
          <w:szCs w:val="24"/>
        </w:rPr>
        <w:t>Dans ces différents cas de figure, se pose la question si la limitation prévue par l’article 1907</w:t>
      </w:r>
      <w:r w:rsidR="005161E4" w:rsidRPr="005161E4">
        <w:rPr>
          <w:rFonts w:ascii="Times New Roman" w:hAnsi="Times New Roman" w:cs="Times New Roman"/>
          <w:i/>
          <w:sz w:val="24"/>
          <w:szCs w:val="24"/>
        </w:rPr>
        <w:t>bis</w:t>
      </w:r>
      <w:r w:rsidR="005161E4">
        <w:rPr>
          <w:rFonts w:ascii="Times New Roman" w:hAnsi="Times New Roman" w:cs="Times New Roman"/>
          <w:sz w:val="24"/>
          <w:szCs w:val="24"/>
        </w:rPr>
        <w:t xml:space="preserve"> du Code civil est applicable à</w:t>
      </w:r>
      <w:r w:rsidR="00361210">
        <w:rPr>
          <w:rFonts w:ascii="Times New Roman" w:hAnsi="Times New Roman" w:cs="Times New Roman"/>
          <w:sz w:val="24"/>
          <w:szCs w:val="24"/>
        </w:rPr>
        <w:t xml:space="preserve"> toutes les hypothèses de remboursement anticipé</w:t>
      </w:r>
      <w:r w:rsidR="005161E4">
        <w:rPr>
          <w:rFonts w:ascii="Times New Roman" w:hAnsi="Times New Roman" w:cs="Times New Roman"/>
          <w:sz w:val="24"/>
          <w:szCs w:val="24"/>
        </w:rPr>
        <w:t xml:space="preserve">. </w:t>
      </w:r>
      <w:r w:rsidR="0002288E">
        <w:rPr>
          <w:rFonts w:ascii="Times New Roman" w:hAnsi="Times New Roman" w:cs="Times New Roman"/>
          <w:sz w:val="24"/>
          <w:szCs w:val="24"/>
        </w:rPr>
        <w:t>Il ne fait pas de doute que cette disposition s’applique en ca</w:t>
      </w:r>
      <w:r w:rsidR="00361210">
        <w:rPr>
          <w:rFonts w:ascii="Times New Roman" w:hAnsi="Times New Roman" w:cs="Times New Roman"/>
          <w:sz w:val="24"/>
          <w:szCs w:val="24"/>
        </w:rPr>
        <w:t>s de remboursement anticipé du</w:t>
      </w:r>
      <w:r w:rsidR="0002288E">
        <w:rPr>
          <w:rFonts w:ascii="Times New Roman" w:hAnsi="Times New Roman" w:cs="Times New Roman"/>
          <w:sz w:val="24"/>
          <w:szCs w:val="24"/>
        </w:rPr>
        <w:t xml:space="preserve"> prêt à intérêt lorsque le contrat prévoit</w:t>
      </w:r>
      <w:r w:rsidR="00361210">
        <w:rPr>
          <w:rFonts w:ascii="Times New Roman" w:hAnsi="Times New Roman" w:cs="Times New Roman"/>
          <w:sz w:val="24"/>
          <w:szCs w:val="24"/>
        </w:rPr>
        <w:t xml:space="preserve">, </w:t>
      </w:r>
      <w:r w:rsidR="00361210" w:rsidRPr="00361210">
        <w:rPr>
          <w:rFonts w:ascii="Times New Roman" w:hAnsi="Times New Roman" w:cs="Times New Roman"/>
          <w:i/>
          <w:sz w:val="24"/>
          <w:szCs w:val="24"/>
        </w:rPr>
        <w:t>ex ante</w:t>
      </w:r>
      <w:r w:rsidR="00361210">
        <w:rPr>
          <w:rFonts w:ascii="Times New Roman" w:hAnsi="Times New Roman" w:cs="Times New Roman"/>
          <w:sz w:val="24"/>
          <w:szCs w:val="24"/>
        </w:rPr>
        <w:t>,</w:t>
      </w:r>
      <w:r w:rsidR="0002288E">
        <w:rPr>
          <w:rFonts w:ascii="Times New Roman" w:hAnsi="Times New Roman" w:cs="Times New Roman"/>
          <w:sz w:val="24"/>
          <w:szCs w:val="24"/>
        </w:rPr>
        <w:t xml:space="preserve"> la faculté, pour l’emprunteur, d’opérer ce remboursement avant terme. </w:t>
      </w:r>
      <w:r w:rsidR="00D44EB7">
        <w:rPr>
          <w:rFonts w:ascii="Times New Roman" w:hAnsi="Times New Roman" w:cs="Times New Roman"/>
          <w:sz w:val="24"/>
          <w:szCs w:val="24"/>
        </w:rPr>
        <w:t>Dans les autres cas, la quest</w:t>
      </w:r>
      <w:r w:rsidR="00570054">
        <w:rPr>
          <w:rFonts w:ascii="Times New Roman" w:hAnsi="Times New Roman" w:cs="Times New Roman"/>
          <w:sz w:val="24"/>
          <w:szCs w:val="24"/>
        </w:rPr>
        <w:t>ion est controversée</w:t>
      </w:r>
      <w:r w:rsidR="00D44EB7">
        <w:rPr>
          <w:rFonts w:ascii="Times New Roman" w:hAnsi="Times New Roman" w:cs="Times New Roman"/>
          <w:sz w:val="24"/>
          <w:szCs w:val="24"/>
        </w:rPr>
        <w:t xml:space="preserve">. Ainsi, lorsque la convention n’autorise pas le remboursement anticipé, il arrive que l’emprunteur sollicite de pouvoir rembourser les fonds avant terme et que le prêteur accède à cette demande moyennant le paiement d’une indemnité de remploi. </w:t>
      </w:r>
      <w:r w:rsidR="007743A2">
        <w:rPr>
          <w:rFonts w:ascii="Times New Roman" w:hAnsi="Times New Roman" w:cs="Times New Roman"/>
          <w:sz w:val="24"/>
          <w:szCs w:val="24"/>
        </w:rPr>
        <w:t>On peut alors se demander</w:t>
      </w:r>
      <w:r w:rsidR="00D44EB7">
        <w:rPr>
          <w:rFonts w:ascii="Times New Roman" w:hAnsi="Times New Roman" w:cs="Times New Roman"/>
          <w:sz w:val="24"/>
          <w:szCs w:val="24"/>
        </w:rPr>
        <w:t xml:space="preserve"> si l’article 1907</w:t>
      </w:r>
      <w:r w:rsidR="00D44EB7" w:rsidRPr="005C6BAE">
        <w:rPr>
          <w:rFonts w:ascii="Times New Roman" w:hAnsi="Times New Roman" w:cs="Times New Roman"/>
          <w:i/>
          <w:sz w:val="24"/>
          <w:szCs w:val="24"/>
        </w:rPr>
        <w:t>bis</w:t>
      </w:r>
      <w:r w:rsidR="00D44EB7">
        <w:rPr>
          <w:rFonts w:ascii="Times New Roman" w:hAnsi="Times New Roman" w:cs="Times New Roman"/>
          <w:sz w:val="24"/>
          <w:szCs w:val="24"/>
        </w:rPr>
        <w:t xml:space="preserve"> s’applique à cette indemnité de remploi réclamée </w:t>
      </w:r>
      <w:r w:rsidR="00D44EB7" w:rsidRPr="00D44EB7">
        <w:rPr>
          <w:rFonts w:ascii="Times New Roman" w:hAnsi="Times New Roman" w:cs="Times New Roman"/>
          <w:i/>
          <w:sz w:val="24"/>
          <w:szCs w:val="24"/>
        </w:rPr>
        <w:t>ex post</w:t>
      </w:r>
      <w:r w:rsidR="00D44EB7">
        <w:rPr>
          <w:rFonts w:ascii="Times New Roman" w:hAnsi="Times New Roman" w:cs="Times New Roman"/>
          <w:sz w:val="24"/>
          <w:szCs w:val="24"/>
        </w:rPr>
        <w:t xml:space="preserve">. </w:t>
      </w:r>
    </w:p>
    <w:p w:rsidR="00D44EB7" w:rsidRPr="005C7BFA" w:rsidRDefault="00E408CF" w:rsidP="00B726E3">
      <w:pPr>
        <w:jc w:val="both"/>
        <w:rPr>
          <w:rFonts w:ascii="Times New Roman" w:hAnsi="Times New Roman" w:cs="Times New Roman"/>
          <w:sz w:val="24"/>
          <w:szCs w:val="24"/>
        </w:rPr>
      </w:pPr>
      <w:r w:rsidRPr="00AF6A5A">
        <w:rPr>
          <w:rFonts w:ascii="Times New Roman" w:hAnsi="Times New Roman" w:cs="Times New Roman"/>
          <w:b/>
          <w:i/>
          <w:sz w:val="24"/>
          <w:szCs w:val="24"/>
        </w:rPr>
        <w:t>6. Remboursement anticipé ex post ?</w:t>
      </w:r>
      <w:r>
        <w:rPr>
          <w:rFonts w:ascii="Times New Roman" w:hAnsi="Times New Roman" w:cs="Times New Roman"/>
          <w:sz w:val="24"/>
          <w:szCs w:val="24"/>
        </w:rPr>
        <w:t xml:space="preserve"> </w:t>
      </w:r>
      <w:r w:rsidR="00E46769">
        <w:rPr>
          <w:rFonts w:ascii="Times New Roman" w:hAnsi="Times New Roman" w:cs="Times New Roman"/>
          <w:sz w:val="24"/>
          <w:szCs w:val="24"/>
        </w:rPr>
        <w:t>La</w:t>
      </w:r>
      <w:r w:rsidR="00D44EB7">
        <w:rPr>
          <w:rFonts w:ascii="Times New Roman" w:hAnsi="Times New Roman" w:cs="Times New Roman"/>
          <w:sz w:val="24"/>
          <w:szCs w:val="24"/>
        </w:rPr>
        <w:t xml:space="preserve"> Cour d’appel de Bruxelles </w:t>
      </w:r>
      <w:r w:rsidR="005C7BFA">
        <w:rPr>
          <w:rFonts w:ascii="Times New Roman" w:hAnsi="Times New Roman" w:cs="Times New Roman"/>
          <w:sz w:val="24"/>
          <w:szCs w:val="24"/>
        </w:rPr>
        <w:t>fut amenée</w:t>
      </w:r>
      <w:r w:rsidR="00D338FC">
        <w:rPr>
          <w:rFonts w:ascii="Times New Roman" w:hAnsi="Times New Roman" w:cs="Times New Roman"/>
          <w:sz w:val="24"/>
          <w:szCs w:val="24"/>
        </w:rPr>
        <w:t xml:space="preserve"> à se prononcer</w:t>
      </w:r>
      <w:r w:rsidR="00E46769">
        <w:rPr>
          <w:rFonts w:ascii="Times New Roman" w:hAnsi="Times New Roman" w:cs="Times New Roman"/>
          <w:sz w:val="24"/>
          <w:szCs w:val="24"/>
        </w:rPr>
        <w:t xml:space="preserve"> sur cette question</w:t>
      </w:r>
      <w:r w:rsidR="005C7BFA">
        <w:rPr>
          <w:rFonts w:ascii="Times New Roman" w:hAnsi="Times New Roman" w:cs="Times New Roman"/>
          <w:sz w:val="24"/>
          <w:szCs w:val="24"/>
        </w:rPr>
        <w:t>. Elle a refusé</w:t>
      </w:r>
      <w:r w:rsidR="00D338FC">
        <w:rPr>
          <w:rFonts w:ascii="Times New Roman" w:hAnsi="Times New Roman" w:cs="Times New Roman"/>
          <w:sz w:val="24"/>
          <w:szCs w:val="24"/>
        </w:rPr>
        <w:t>, dans un arrêt du 24 avril 2015,</w:t>
      </w:r>
      <w:r w:rsidR="005C7BFA">
        <w:rPr>
          <w:rFonts w:ascii="Times New Roman" w:hAnsi="Times New Roman" w:cs="Times New Roman"/>
          <w:sz w:val="24"/>
          <w:szCs w:val="24"/>
        </w:rPr>
        <w:t xml:space="preserve"> d’appliquer l’article 1907</w:t>
      </w:r>
      <w:r w:rsidR="005C7BFA" w:rsidRPr="005C7BFA">
        <w:rPr>
          <w:rFonts w:ascii="Times New Roman" w:hAnsi="Times New Roman" w:cs="Times New Roman"/>
          <w:i/>
          <w:sz w:val="24"/>
          <w:szCs w:val="24"/>
        </w:rPr>
        <w:t>bis</w:t>
      </w:r>
      <w:r w:rsidR="005C7BFA">
        <w:rPr>
          <w:rFonts w:ascii="Times New Roman" w:hAnsi="Times New Roman" w:cs="Times New Roman"/>
          <w:i/>
          <w:sz w:val="24"/>
          <w:szCs w:val="24"/>
        </w:rPr>
        <w:t xml:space="preserve"> </w:t>
      </w:r>
      <w:r w:rsidR="005C7BFA">
        <w:rPr>
          <w:rFonts w:ascii="Times New Roman" w:hAnsi="Times New Roman" w:cs="Times New Roman"/>
          <w:sz w:val="24"/>
          <w:szCs w:val="24"/>
        </w:rPr>
        <w:t>à l’indemnité de remploi postulée par la banque</w:t>
      </w:r>
      <w:r w:rsidR="00756093">
        <w:rPr>
          <w:rFonts w:ascii="Times New Roman" w:hAnsi="Times New Roman" w:cs="Times New Roman"/>
          <w:sz w:val="24"/>
          <w:szCs w:val="24"/>
        </w:rPr>
        <w:t xml:space="preserve"> en contrepartie de « la renonciation de sa part au ter</w:t>
      </w:r>
      <w:r w:rsidR="00C066A4">
        <w:rPr>
          <w:rFonts w:ascii="Times New Roman" w:hAnsi="Times New Roman" w:cs="Times New Roman"/>
          <w:sz w:val="24"/>
          <w:szCs w:val="24"/>
        </w:rPr>
        <w:t xml:space="preserve">me convenu du contrat » </w:t>
      </w:r>
      <w:r w:rsidR="005C6BAE">
        <w:rPr>
          <w:rFonts w:ascii="Times New Roman" w:hAnsi="Times New Roman" w:cs="Times New Roman"/>
          <w:sz w:val="24"/>
          <w:szCs w:val="24"/>
        </w:rPr>
        <w:t xml:space="preserve">dès lors </w:t>
      </w:r>
      <w:r w:rsidR="00756093">
        <w:rPr>
          <w:rFonts w:ascii="Times New Roman" w:hAnsi="Times New Roman" w:cs="Times New Roman"/>
          <w:sz w:val="24"/>
          <w:szCs w:val="24"/>
        </w:rPr>
        <w:t>qu’ « aucun remboursement total ou partiel n’était autorisé » dans le contrat de crédit</w:t>
      </w:r>
      <w:r w:rsidR="00756093">
        <w:rPr>
          <w:rStyle w:val="Appelnotedebasdep"/>
          <w:rFonts w:ascii="Times New Roman" w:hAnsi="Times New Roman" w:cs="Times New Roman"/>
          <w:sz w:val="24"/>
          <w:szCs w:val="24"/>
        </w:rPr>
        <w:footnoteReference w:id="11"/>
      </w:r>
      <w:r w:rsidR="00756093">
        <w:rPr>
          <w:rFonts w:ascii="Times New Roman" w:hAnsi="Times New Roman" w:cs="Times New Roman"/>
          <w:sz w:val="24"/>
          <w:szCs w:val="24"/>
        </w:rPr>
        <w:t>.</w:t>
      </w:r>
    </w:p>
    <w:p w:rsidR="001424D3" w:rsidRPr="00B22FFF" w:rsidRDefault="00E46769" w:rsidP="00B726E3">
      <w:pPr>
        <w:jc w:val="both"/>
        <w:rPr>
          <w:rFonts w:ascii="Times New Roman" w:hAnsi="Times New Roman" w:cs="Times New Roman"/>
          <w:sz w:val="24"/>
          <w:szCs w:val="24"/>
        </w:rPr>
      </w:pPr>
      <w:r>
        <w:rPr>
          <w:rFonts w:ascii="Times New Roman" w:hAnsi="Times New Roman" w:cs="Times New Roman"/>
          <w:sz w:val="24"/>
          <w:szCs w:val="24"/>
        </w:rPr>
        <w:t>Par son arrêt du 24 novembre 2016, la Cour de cassation casse</w:t>
      </w:r>
      <w:r w:rsidR="001424D3">
        <w:rPr>
          <w:rFonts w:ascii="Times New Roman" w:hAnsi="Times New Roman" w:cs="Times New Roman"/>
          <w:sz w:val="24"/>
          <w:szCs w:val="24"/>
        </w:rPr>
        <w:t xml:space="preserve"> cette décision au motif que la « </w:t>
      </w:r>
      <w:r w:rsidR="001424D3" w:rsidRPr="00B22FFF">
        <w:rPr>
          <w:rFonts w:ascii="Times New Roman" w:hAnsi="Times New Roman" w:cs="Times New Roman"/>
          <w:sz w:val="24"/>
          <w:szCs w:val="24"/>
        </w:rPr>
        <w:t xml:space="preserve">limitation </w:t>
      </w:r>
      <w:r w:rsidR="001424D3">
        <w:rPr>
          <w:rFonts w:ascii="Times New Roman" w:hAnsi="Times New Roman" w:cs="Times New Roman"/>
          <w:sz w:val="24"/>
          <w:szCs w:val="24"/>
        </w:rPr>
        <w:t>[visée à l’article 1907</w:t>
      </w:r>
      <w:r w:rsidR="001424D3" w:rsidRPr="007743A2">
        <w:rPr>
          <w:rFonts w:ascii="Times New Roman" w:hAnsi="Times New Roman" w:cs="Times New Roman"/>
          <w:i/>
          <w:sz w:val="24"/>
          <w:szCs w:val="24"/>
        </w:rPr>
        <w:t>bis</w:t>
      </w:r>
      <w:r w:rsidR="001424D3">
        <w:rPr>
          <w:rFonts w:ascii="Times New Roman" w:hAnsi="Times New Roman" w:cs="Times New Roman"/>
          <w:sz w:val="24"/>
          <w:szCs w:val="24"/>
        </w:rPr>
        <w:t xml:space="preserve"> du Code civil] </w:t>
      </w:r>
      <w:r w:rsidR="001424D3" w:rsidRPr="00B22FFF">
        <w:rPr>
          <w:rFonts w:ascii="Times New Roman" w:hAnsi="Times New Roman" w:cs="Times New Roman"/>
          <w:sz w:val="24"/>
          <w:szCs w:val="24"/>
        </w:rPr>
        <w:t>s’applique à tout</w:t>
      </w:r>
      <w:r w:rsidR="003D1E71">
        <w:rPr>
          <w:rFonts w:ascii="Times New Roman" w:hAnsi="Times New Roman" w:cs="Times New Roman"/>
          <w:sz w:val="24"/>
          <w:szCs w:val="24"/>
        </w:rPr>
        <w:t>e</w:t>
      </w:r>
      <w:r w:rsidR="001424D3" w:rsidRPr="00B22FFF">
        <w:rPr>
          <w:rFonts w:ascii="Times New Roman" w:hAnsi="Times New Roman" w:cs="Times New Roman"/>
          <w:sz w:val="24"/>
          <w:szCs w:val="24"/>
        </w:rPr>
        <w:t xml:space="preserve"> indemnité réclamée par le prêteur en cas de remboursement anticipé total ou partiel d’un prêt à intérêt</w:t>
      </w:r>
      <w:r w:rsidR="001424D3">
        <w:rPr>
          <w:rFonts w:ascii="Times New Roman" w:hAnsi="Times New Roman" w:cs="Times New Roman"/>
          <w:sz w:val="24"/>
          <w:szCs w:val="24"/>
        </w:rPr>
        <w:t xml:space="preserve"> ». Selon la Cour de cassation, </w:t>
      </w:r>
      <w:r w:rsidR="00570054">
        <w:rPr>
          <w:rFonts w:ascii="Times New Roman" w:hAnsi="Times New Roman" w:cs="Times New Roman"/>
          <w:i/>
          <w:sz w:val="24"/>
          <w:szCs w:val="24"/>
        </w:rPr>
        <w:t>«</w:t>
      </w:r>
      <w:r w:rsidR="001424D3" w:rsidRPr="00B22FFF">
        <w:rPr>
          <w:rFonts w:ascii="Times New Roman" w:hAnsi="Times New Roman" w:cs="Times New Roman"/>
          <w:sz w:val="24"/>
          <w:szCs w:val="24"/>
        </w:rPr>
        <w:t xml:space="preserve">en décidant que l’indemnité réclamée ne devait pas </w:t>
      </w:r>
      <w:r>
        <w:rPr>
          <w:rFonts w:ascii="Times New Roman" w:hAnsi="Times New Roman" w:cs="Times New Roman"/>
          <w:sz w:val="24"/>
          <w:szCs w:val="24"/>
        </w:rPr>
        <w:t>‘</w:t>
      </w:r>
      <w:r w:rsidR="001424D3" w:rsidRPr="00B22FFF">
        <w:rPr>
          <w:rFonts w:ascii="Times New Roman" w:hAnsi="Times New Roman" w:cs="Times New Roman"/>
          <w:sz w:val="24"/>
          <w:szCs w:val="24"/>
        </w:rPr>
        <w:t>être soumise à la limitation du plafond instauré par l’article 1907</w:t>
      </w:r>
      <w:r w:rsidR="001424D3" w:rsidRPr="00B22FFF">
        <w:rPr>
          <w:rFonts w:ascii="Times New Roman" w:hAnsi="Times New Roman" w:cs="Times New Roman"/>
          <w:i/>
          <w:sz w:val="24"/>
          <w:szCs w:val="24"/>
        </w:rPr>
        <w:t>bis</w:t>
      </w:r>
      <w:r>
        <w:rPr>
          <w:rFonts w:ascii="Times New Roman" w:hAnsi="Times New Roman" w:cs="Times New Roman"/>
          <w:sz w:val="24"/>
          <w:szCs w:val="24"/>
        </w:rPr>
        <w:t xml:space="preserve"> du Code civil’</w:t>
      </w:r>
      <w:r w:rsidR="009D1E34">
        <w:rPr>
          <w:rFonts w:ascii="Times New Roman" w:hAnsi="Times New Roman" w:cs="Times New Roman"/>
          <w:sz w:val="24"/>
          <w:szCs w:val="24"/>
        </w:rPr>
        <w:t xml:space="preserve"> au motif qu’ ‘</w:t>
      </w:r>
      <w:r w:rsidR="001424D3" w:rsidRPr="00B22FFF">
        <w:rPr>
          <w:rFonts w:ascii="Times New Roman" w:hAnsi="Times New Roman" w:cs="Times New Roman"/>
          <w:sz w:val="24"/>
          <w:szCs w:val="24"/>
        </w:rPr>
        <w:t>aucun remboursement tot</w:t>
      </w:r>
      <w:r w:rsidR="009D1E34">
        <w:rPr>
          <w:rFonts w:ascii="Times New Roman" w:hAnsi="Times New Roman" w:cs="Times New Roman"/>
          <w:sz w:val="24"/>
          <w:szCs w:val="24"/>
        </w:rPr>
        <w:t>al ou partiel n’était autorisé’</w:t>
      </w:r>
      <w:r w:rsidR="001424D3" w:rsidRPr="00B22FFF">
        <w:rPr>
          <w:rFonts w:ascii="Times New Roman" w:hAnsi="Times New Roman" w:cs="Times New Roman"/>
          <w:sz w:val="24"/>
          <w:szCs w:val="24"/>
        </w:rPr>
        <w:t>, l’arrêt viole la disposition légale précitée ».</w:t>
      </w:r>
    </w:p>
    <w:p w:rsidR="00FD4DB7" w:rsidRDefault="00FD4DB7" w:rsidP="00B726E3">
      <w:pPr>
        <w:jc w:val="both"/>
        <w:rPr>
          <w:rFonts w:ascii="Times New Roman" w:hAnsi="Times New Roman" w:cs="Times New Roman"/>
          <w:sz w:val="24"/>
          <w:szCs w:val="24"/>
        </w:rPr>
      </w:pPr>
      <w:r>
        <w:rPr>
          <w:rFonts w:ascii="Times New Roman" w:hAnsi="Times New Roman" w:cs="Times New Roman"/>
          <w:sz w:val="24"/>
          <w:szCs w:val="24"/>
        </w:rPr>
        <w:lastRenderedPageBreak/>
        <w:t>Selon un premier commentateur de l’arrêt, cet arrêt doit être qualifié d’ « arrêt de principe »</w:t>
      </w:r>
      <w:r>
        <w:rPr>
          <w:rStyle w:val="Appelnotedebasdep"/>
          <w:rFonts w:ascii="Times New Roman" w:hAnsi="Times New Roman" w:cs="Times New Roman"/>
          <w:sz w:val="24"/>
          <w:szCs w:val="24"/>
        </w:rPr>
        <w:footnoteReference w:id="12"/>
      </w:r>
      <w:r>
        <w:rPr>
          <w:rFonts w:ascii="Times New Roman" w:hAnsi="Times New Roman" w:cs="Times New Roman"/>
          <w:sz w:val="24"/>
          <w:szCs w:val="24"/>
        </w:rPr>
        <w:t>.</w:t>
      </w:r>
      <w:r w:rsidR="009D1E34">
        <w:rPr>
          <w:rFonts w:ascii="Times New Roman" w:hAnsi="Times New Roman" w:cs="Times New Roman"/>
          <w:sz w:val="24"/>
          <w:szCs w:val="24"/>
        </w:rPr>
        <w:t xml:space="preserve"> Il consacre l’application de l’article 1907</w:t>
      </w:r>
      <w:r w:rsidR="009D1E34" w:rsidRPr="007743A2">
        <w:rPr>
          <w:rFonts w:ascii="Times New Roman" w:hAnsi="Times New Roman" w:cs="Times New Roman"/>
          <w:i/>
          <w:sz w:val="24"/>
          <w:szCs w:val="24"/>
        </w:rPr>
        <w:t>bis</w:t>
      </w:r>
      <w:r w:rsidR="009D1E34">
        <w:rPr>
          <w:rFonts w:ascii="Times New Roman" w:hAnsi="Times New Roman" w:cs="Times New Roman"/>
          <w:sz w:val="24"/>
          <w:szCs w:val="24"/>
        </w:rPr>
        <w:t xml:space="preserve"> à l’indemnité de remploi réclamée </w:t>
      </w:r>
      <w:r w:rsidR="009D1E34" w:rsidRPr="009D1E34">
        <w:rPr>
          <w:rFonts w:ascii="Times New Roman" w:hAnsi="Times New Roman" w:cs="Times New Roman"/>
          <w:i/>
          <w:sz w:val="24"/>
          <w:szCs w:val="24"/>
        </w:rPr>
        <w:t>ex post</w:t>
      </w:r>
      <w:r w:rsidR="009D1E34">
        <w:rPr>
          <w:rFonts w:ascii="Times New Roman" w:hAnsi="Times New Roman" w:cs="Times New Roman"/>
          <w:sz w:val="24"/>
          <w:szCs w:val="24"/>
        </w:rPr>
        <w:t xml:space="preserve"> lors d’un remboursement anticipé.</w:t>
      </w:r>
    </w:p>
    <w:p w:rsidR="00277930" w:rsidRDefault="00277930" w:rsidP="00B726E3">
      <w:pPr>
        <w:jc w:val="both"/>
        <w:rPr>
          <w:rFonts w:ascii="Times New Roman" w:hAnsi="Times New Roman" w:cs="Times New Roman"/>
          <w:sz w:val="24"/>
          <w:szCs w:val="24"/>
        </w:rPr>
      </w:pPr>
      <w:r>
        <w:rPr>
          <w:rFonts w:ascii="Times New Roman" w:hAnsi="Times New Roman" w:cs="Times New Roman"/>
          <w:sz w:val="24"/>
          <w:szCs w:val="24"/>
        </w:rPr>
        <w:t>L’interprétation que la Cour de cassation fait ici de l’article 1907</w:t>
      </w:r>
      <w:r w:rsidRPr="00B22FFF">
        <w:rPr>
          <w:rFonts w:ascii="Times New Roman" w:hAnsi="Times New Roman" w:cs="Times New Roman"/>
          <w:i/>
          <w:sz w:val="24"/>
          <w:szCs w:val="24"/>
        </w:rPr>
        <w:t>bis</w:t>
      </w:r>
      <w:r>
        <w:rPr>
          <w:rFonts w:ascii="Times New Roman" w:hAnsi="Times New Roman" w:cs="Times New Roman"/>
          <w:sz w:val="24"/>
          <w:szCs w:val="24"/>
        </w:rPr>
        <w:t xml:space="preserve"> </w:t>
      </w:r>
      <w:r w:rsidR="00071F4C">
        <w:rPr>
          <w:rFonts w:ascii="Times New Roman" w:hAnsi="Times New Roman" w:cs="Times New Roman"/>
          <w:sz w:val="24"/>
          <w:szCs w:val="24"/>
        </w:rPr>
        <w:t>a</w:t>
      </w:r>
      <w:r>
        <w:rPr>
          <w:rFonts w:ascii="Times New Roman" w:hAnsi="Times New Roman" w:cs="Times New Roman"/>
          <w:sz w:val="24"/>
          <w:szCs w:val="24"/>
        </w:rPr>
        <w:t xml:space="preserve"> déjà été proposée en doctrine. </w:t>
      </w:r>
      <w:r w:rsidR="007743A2">
        <w:rPr>
          <w:rFonts w:ascii="Times New Roman" w:hAnsi="Times New Roman" w:cs="Times New Roman"/>
          <w:sz w:val="24"/>
          <w:szCs w:val="24"/>
        </w:rPr>
        <w:t>Le Professeur</w:t>
      </w:r>
      <w:r w:rsidR="00071F4C">
        <w:rPr>
          <w:rFonts w:ascii="Times New Roman" w:hAnsi="Times New Roman" w:cs="Times New Roman"/>
          <w:sz w:val="24"/>
          <w:szCs w:val="24"/>
        </w:rPr>
        <w:t xml:space="preserve"> Biquet-Mathieu la justifie tant en raison du libellé même du texte légal – et spécialement des termes généraux qu’il renferme (« réclamée », « en aucun cas ») - qu’en raison de sa </w:t>
      </w:r>
      <w:r w:rsidR="00071F4C" w:rsidRPr="00071F4C">
        <w:rPr>
          <w:rFonts w:ascii="Times New Roman" w:hAnsi="Times New Roman" w:cs="Times New Roman"/>
          <w:i/>
          <w:sz w:val="24"/>
          <w:szCs w:val="24"/>
        </w:rPr>
        <w:t xml:space="preserve">ratio </w:t>
      </w:r>
      <w:proofErr w:type="spellStart"/>
      <w:r w:rsidR="00071F4C" w:rsidRPr="00071F4C">
        <w:rPr>
          <w:rFonts w:ascii="Times New Roman" w:hAnsi="Times New Roman" w:cs="Times New Roman"/>
          <w:i/>
          <w:sz w:val="24"/>
          <w:szCs w:val="24"/>
        </w:rPr>
        <w:t>legis</w:t>
      </w:r>
      <w:proofErr w:type="spellEnd"/>
      <w:r w:rsidR="00071F4C">
        <w:rPr>
          <w:rFonts w:ascii="Times New Roman" w:hAnsi="Times New Roman" w:cs="Times New Roman"/>
          <w:i/>
          <w:sz w:val="24"/>
          <w:szCs w:val="24"/>
        </w:rPr>
        <w:t xml:space="preserve">, </w:t>
      </w:r>
      <w:r w:rsidR="00071F4C">
        <w:rPr>
          <w:rFonts w:ascii="Times New Roman" w:hAnsi="Times New Roman" w:cs="Times New Roman"/>
          <w:sz w:val="24"/>
          <w:szCs w:val="24"/>
        </w:rPr>
        <w:t>à savoir la volonté du législateur de l’époque d’empêcher les indemnités de remploi prohibitives</w:t>
      </w:r>
      <w:r w:rsidR="00071F4C">
        <w:rPr>
          <w:rStyle w:val="Appelnotedebasdep"/>
          <w:rFonts w:ascii="Times New Roman" w:hAnsi="Times New Roman" w:cs="Times New Roman"/>
          <w:sz w:val="24"/>
          <w:szCs w:val="24"/>
        </w:rPr>
        <w:footnoteReference w:id="13"/>
      </w:r>
      <w:r w:rsidR="00071F4C">
        <w:rPr>
          <w:rFonts w:ascii="Times New Roman" w:hAnsi="Times New Roman" w:cs="Times New Roman"/>
          <w:sz w:val="24"/>
          <w:szCs w:val="24"/>
        </w:rPr>
        <w:t>.</w:t>
      </w:r>
      <w:r w:rsidR="00701168">
        <w:rPr>
          <w:rFonts w:ascii="Times New Roman" w:hAnsi="Times New Roman" w:cs="Times New Roman"/>
          <w:sz w:val="24"/>
          <w:szCs w:val="24"/>
        </w:rPr>
        <w:t xml:space="preserve"> Il doit en être déduit</w:t>
      </w:r>
      <w:r w:rsidR="007743A2">
        <w:rPr>
          <w:rFonts w:ascii="Times New Roman" w:hAnsi="Times New Roman" w:cs="Times New Roman"/>
          <w:sz w:val="24"/>
          <w:szCs w:val="24"/>
        </w:rPr>
        <w:t>, selon Madame Biquet-Mathieu</w:t>
      </w:r>
      <w:r w:rsidR="00B22FFF">
        <w:rPr>
          <w:rFonts w:ascii="Times New Roman" w:hAnsi="Times New Roman" w:cs="Times New Roman"/>
          <w:sz w:val="24"/>
          <w:szCs w:val="24"/>
        </w:rPr>
        <w:t>,</w:t>
      </w:r>
      <w:r w:rsidR="00701168">
        <w:rPr>
          <w:rFonts w:ascii="Times New Roman" w:hAnsi="Times New Roman" w:cs="Times New Roman"/>
          <w:sz w:val="24"/>
          <w:szCs w:val="24"/>
        </w:rPr>
        <w:t xml:space="preserve"> que « la limite établie par l’article 1907</w:t>
      </w:r>
      <w:r w:rsidR="00701168" w:rsidRPr="00B22FFF">
        <w:rPr>
          <w:rFonts w:ascii="Times New Roman" w:hAnsi="Times New Roman" w:cs="Times New Roman"/>
          <w:i/>
          <w:sz w:val="24"/>
          <w:szCs w:val="24"/>
        </w:rPr>
        <w:t>bis</w:t>
      </w:r>
      <w:r w:rsidR="00701168">
        <w:rPr>
          <w:rFonts w:ascii="Times New Roman" w:hAnsi="Times New Roman" w:cs="Times New Roman"/>
          <w:sz w:val="24"/>
          <w:szCs w:val="24"/>
        </w:rPr>
        <w:t xml:space="preserve"> concerne, […], non seulement l’indemnité de remploi qui est stipulée de façon forfaitaire et préalable dans la convention de prêt mais aussi plus généralement toute indemnité de remploi qui est « réclamée » à l’emprunteur lors du remboursement anticipé de son prêt »</w:t>
      </w:r>
      <w:r w:rsidR="00701168">
        <w:rPr>
          <w:rStyle w:val="Appelnotedebasdep"/>
          <w:rFonts w:ascii="Times New Roman" w:hAnsi="Times New Roman" w:cs="Times New Roman"/>
          <w:sz w:val="24"/>
          <w:szCs w:val="24"/>
        </w:rPr>
        <w:footnoteReference w:id="14"/>
      </w:r>
      <w:r w:rsidR="00701168">
        <w:rPr>
          <w:rFonts w:ascii="Times New Roman" w:hAnsi="Times New Roman" w:cs="Times New Roman"/>
          <w:sz w:val="24"/>
          <w:szCs w:val="24"/>
        </w:rPr>
        <w:t>. Tel qu’interprété, l’article 1907</w:t>
      </w:r>
      <w:r w:rsidR="00701168" w:rsidRPr="00B22FFF">
        <w:rPr>
          <w:rFonts w:ascii="Times New Roman" w:hAnsi="Times New Roman" w:cs="Times New Roman"/>
          <w:i/>
          <w:sz w:val="24"/>
          <w:szCs w:val="24"/>
        </w:rPr>
        <w:t>bis</w:t>
      </w:r>
      <w:r w:rsidR="00B22FFF">
        <w:rPr>
          <w:rFonts w:ascii="Times New Roman" w:hAnsi="Times New Roman" w:cs="Times New Roman"/>
          <w:sz w:val="24"/>
          <w:szCs w:val="24"/>
        </w:rPr>
        <w:t xml:space="preserve"> doit</w:t>
      </w:r>
      <w:r w:rsidR="00701168">
        <w:rPr>
          <w:rFonts w:ascii="Times New Roman" w:hAnsi="Times New Roman" w:cs="Times New Roman"/>
          <w:sz w:val="24"/>
          <w:szCs w:val="24"/>
        </w:rPr>
        <w:t xml:space="preserve"> également </w:t>
      </w:r>
      <w:r w:rsidR="00B22FFF">
        <w:rPr>
          <w:rFonts w:ascii="Times New Roman" w:hAnsi="Times New Roman" w:cs="Times New Roman"/>
          <w:sz w:val="24"/>
          <w:szCs w:val="24"/>
        </w:rPr>
        <w:t xml:space="preserve">recevoir application dans les </w:t>
      </w:r>
      <w:r w:rsidR="00701168">
        <w:rPr>
          <w:rFonts w:ascii="Times New Roman" w:hAnsi="Times New Roman" w:cs="Times New Roman"/>
          <w:sz w:val="24"/>
          <w:szCs w:val="24"/>
        </w:rPr>
        <w:t xml:space="preserve">hypothèses </w:t>
      </w:r>
      <w:r w:rsidR="00B22FFF">
        <w:rPr>
          <w:rFonts w:ascii="Times New Roman" w:hAnsi="Times New Roman" w:cs="Times New Roman"/>
          <w:sz w:val="24"/>
          <w:szCs w:val="24"/>
        </w:rPr>
        <w:t xml:space="preserve">où </w:t>
      </w:r>
      <w:r w:rsidR="00701168">
        <w:rPr>
          <w:rFonts w:ascii="Times New Roman" w:hAnsi="Times New Roman" w:cs="Times New Roman"/>
          <w:sz w:val="24"/>
          <w:szCs w:val="24"/>
        </w:rPr>
        <w:t>le prêteur consent au remboursement anticipé du prêt malgré l’interdiction contractuelle de ce faire</w:t>
      </w:r>
      <w:r w:rsidR="00701168">
        <w:rPr>
          <w:rStyle w:val="Appelnotedebasdep"/>
          <w:rFonts w:ascii="Times New Roman" w:hAnsi="Times New Roman" w:cs="Times New Roman"/>
          <w:sz w:val="24"/>
          <w:szCs w:val="24"/>
        </w:rPr>
        <w:footnoteReference w:id="15"/>
      </w:r>
      <w:r w:rsidR="00701168">
        <w:rPr>
          <w:rFonts w:ascii="Times New Roman" w:hAnsi="Times New Roman" w:cs="Times New Roman"/>
          <w:sz w:val="24"/>
          <w:szCs w:val="24"/>
        </w:rPr>
        <w:t xml:space="preserve">. </w:t>
      </w:r>
      <w:r w:rsidR="001B54A2">
        <w:rPr>
          <w:rFonts w:ascii="Times New Roman" w:hAnsi="Times New Roman" w:cs="Times New Roman"/>
          <w:sz w:val="24"/>
          <w:szCs w:val="24"/>
        </w:rPr>
        <w:t>La Cour d’appel de Bruxelles a</w:t>
      </w:r>
      <w:r w:rsidR="009D1E34">
        <w:rPr>
          <w:rFonts w:ascii="Times New Roman" w:hAnsi="Times New Roman" w:cs="Times New Roman"/>
          <w:sz w:val="24"/>
          <w:szCs w:val="24"/>
        </w:rPr>
        <w:t>vait</w:t>
      </w:r>
      <w:r w:rsidR="001B54A2">
        <w:rPr>
          <w:rFonts w:ascii="Times New Roman" w:hAnsi="Times New Roman" w:cs="Times New Roman"/>
          <w:sz w:val="24"/>
          <w:szCs w:val="24"/>
        </w:rPr>
        <w:t xml:space="preserve">  fait sienne cette lecture de l’article 1907</w:t>
      </w:r>
      <w:r w:rsidR="001B54A2" w:rsidRPr="00B22FFF">
        <w:rPr>
          <w:rFonts w:ascii="Times New Roman" w:hAnsi="Times New Roman" w:cs="Times New Roman"/>
          <w:i/>
          <w:sz w:val="24"/>
          <w:szCs w:val="24"/>
        </w:rPr>
        <w:t>bis</w:t>
      </w:r>
      <w:r w:rsidR="001B54A2">
        <w:rPr>
          <w:rFonts w:ascii="Times New Roman" w:hAnsi="Times New Roman" w:cs="Times New Roman"/>
          <w:sz w:val="24"/>
          <w:szCs w:val="24"/>
        </w:rPr>
        <w:t xml:space="preserve"> dans deux arrêts rendus en 2012</w:t>
      </w:r>
      <w:r w:rsidR="001B54A2">
        <w:rPr>
          <w:rStyle w:val="Appelnotedebasdep"/>
          <w:rFonts w:ascii="Times New Roman" w:hAnsi="Times New Roman" w:cs="Times New Roman"/>
          <w:sz w:val="24"/>
          <w:szCs w:val="24"/>
        </w:rPr>
        <w:footnoteReference w:id="16"/>
      </w:r>
      <w:r w:rsidR="00AC4A2C">
        <w:rPr>
          <w:rFonts w:ascii="Times New Roman" w:hAnsi="Times New Roman" w:cs="Times New Roman"/>
          <w:sz w:val="24"/>
          <w:szCs w:val="24"/>
        </w:rPr>
        <w:t>.</w:t>
      </w:r>
    </w:p>
    <w:p w:rsidR="00D338FC" w:rsidRPr="00E46769" w:rsidRDefault="00E46769" w:rsidP="00F914C5">
      <w:pPr>
        <w:jc w:val="both"/>
        <w:rPr>
          <w:rFonts w:ascii="Times New Roman" w:hAnsi="Times New Roman" w:cs="Times New Roman"/>
          <w:b/>
          <w:sz w:val="24"/>
          <w:szCs w:val="24"/>
        </w:rPr>
      </w:pPr>
      <w:r>
        <w:rPr>
          <w:rFonts w:ascii="Times New Roman" w:hAnsi="Times New Roman" w:cs="Times New Roman"/>
          <w:b/>
          <w:i/>
          <w:sz w:val="24"/>
          <w:szCs w:val="24"/>
        </w:rPr>
        <w:t>7. U</w:t>
      </w:r>
      <w:r w:rsidRPr="00E46769">
        <w:rPr>
          <w:rFonts w:ascii="Times New Roman" w:hAnsi="Times New Roman" w:cs="Times New Roman"/>
          <w:b/>
          <w:i/>
          <w:sz w:val="24"/>
          <w:szCs w:val="24"/>
        </w:rPr>
        <w:t>n arrêt purement formel ?</w:t>
      </w:r>
      <w:r w:rsidR="00F914C5" w:rsidRPr="005161E4">
        <w:rPr>
          <w:rFonts w:ascii="Times New Roman" w:hAnsi="Times New Roman" w:cs="Times New Roman"/>
          <w:b/>
          <w:sz w:val="24"/>
          <w:szCs w:val="24"/>
        </w:rPr>
        <w:t xml:space="preserve"> </w:t>
      </w:r>
      <w:r w:rsidR="00F914C5">
        <w:rPr>
          <w:rFonts w:ascii="Times New Roman" w:hAnsi="Times New Roman" w:cs="Times New Roman"/>
          <w:sz w:val="24"/>
          <w:szCs w:val="24"/>
        </w:rPr>
        <w:t>Pour d’autres auteurs, l’arrêt de la Cour de cassation du 24 novembre 2016, loin d’être une décision de principe serait un arrêt « purement formel, pour motivation inadéquate »</w:t>
      </w:r>
      <w:r w:rsidR="007743A2">
        <w:rPr>
          <w:rStyle w:val="Appelnotedebasdep"/>
          <w:rFonts w:ascii="Times New Roman" w:hAnsi="Times New Roman" w:cs="Times New Roman"/>
          <w:sz w:val="24"/>
          <w:szCs w:val="24"/>
        </w:rPr>
        <w:footnoteReference w:id="17"/>
      </w:r>
      <w:r w:rsidR="00F914C5">
        <w:rPr>
          <w:rFonts w:ascii="Times New Roman" w:hAnsi="Times New Roman" w:cs="Times New Roman"/>
          <w:sz w:val="24"/>
          <w:szCs w:val="24"/>
        </w:rPr>
        <w:t>.</w:t>
      </w:r>
    </w:p>
    <w:p w:rsidR="00D338FC" w:rsidRDefault="00F914C5" w:rsidP="007743A2">
      <w:pPr>
        <w:spacing w:line="240" w:lineRule="auto"/>
        <w:jc w:val="both"/>
        <w:rPr>
          <w:rFonts w:ascii="Times New Roman" w:hAnsi="Times New Roman" w:cs="Times New Roman"/>
          <w:sz w:val="24"/>
          <w:szCs w:val="24"/>
        </w:rPr>
      </w:pPr>
      <w:r>
        <w:rPr>
          <w:rFonts w:ascii="Times New Roman" w:hAnsi="Times New Roman" w:cs="Times New Roman"/>
          <w:sz w:val="24"/>
          <w:szCs w:val="24"/>
        </w:rPr>
        <w:t>La Cour de cassation n’y sanctionnerait la Cour d’appel de Bruxelles que pour avoir fondé l’inapplication de l’article 1907</w:t>
      </w:r>
      <w:r w:rsidRPr="00AB3F40">
        <w:rPr>
          <w:rFonts w:ascii="Times New Roman" w:hAnsi="Times New Roman" w:cs="Times New Roman"/>
          <w:i/>
          <w:sz w:val="24"/>
          <w:szCs w:val="24"/>
        </w:rPr>
        <w:t>bis</w:t>
      </w:r>
      <w:r w:rsidR="00E46769">
        <w:rPr>
          <w:rFonts w:ascii="Times New Roman" w:hAnsi="Times New Roman" w:cs="Times New Roman"/>
          <w:sz w:val="24"/>
          <w:szCs w:val="24"/>
        </w:rPr>
        <w:t xml:space="preserve"> sur l’interdiction</w:t>
      </w:r>
      <w:r>
        <w:rPr>
          <w:rFonts w:ascii="Times New Roman" w:hAnsi="Times New Roman" w:cs="Times New Roman"/>
          <w:sz w:val="24"/>
          <w:szCs w:val="24"/>
        </w:rPr>
        <w:t xml:space="preserve"> contractuelle d’opérer un remboursement anticipé alors qu’e</w:t>
      </w:r>
      <w:r w:rsidR="00E46769">
        <w:rPr>
          <w:rFonts w:ascii="Times New Roman" w:hAnsi="Times New Roman" w:cs="Times New Roman"/>
          <w:sz w:val="24"/>
          <w:szCs w:val="24"/>
        </w:rPr>
        <w:t>lle aurait en réalité dû justifier son refus d’appliquer</w:t>
      </w:r>
      <w:r>
        <w:rPr>
          <w:rFonts w:ascii="Times New Roman" w:hAnsi="Times New Roman" w:cs="Times New Roman"/>
          <w:sz w:val="24"/>
          <w:szCs w:val="24"/>
        </w:rPr>
        <w:t xml:space="preserve"> l’article 1907</w:t>
      </w:r>
      <w:r w:rsidRPr="00B22FFF">
        <w:rPr>
          <w:rFonts w:ascii="Times New Roman" w:hAnsi="Times New Roman" w:cs="Times New Roman"/>
          <w:i/>
          <w:sz w:val="24"/>
          <w:szCs w:val="24"/>
        </w:rPr>
        <w:t>bis</w:t>
      </w:r>
      <w:r>
        <w:rPr>
          <w:rFonts w:ascii="Times New Roman" w:hAnsi="Times New Roman" w:cs="Times New Roman"/>
          <w:sz w:val="24"/>
          <w:szCs w:val="24"/>
        </w:rPr>
        <w:t xml:space="preserve"> sur le fait que le crédit en cause n’était pas un prêt à intérêt et n’entrait donc pas dans le champ d’application de l’article 1907</w:t>
      </w:r>
      <w:r w:rsidRPr="00B22FFF">
        <w:rPr>
          <w:rFonts w:ascii="Times New Roman" w:hAnsi="Times New Roman" w:cs="Times New Roman"/>
          <w:i/>
          <w:sz w:val="24"/>
          <w:szCs w:val="24"/>
        </w:rPr>
        <w:t>bis</w:t>
      </w:r>
      <w:r>
        <w:rPr>
          <w:rStyle w:val="Appelnotedebasdep"/>
          <w:rFonts w:ascii="Times New Roman" w:hAnsi="Times New Roman" w:cs="Times New Roman"/>
          <w:sz w:val="24"/>
          <w:szCs w:val="24"/>
        </w:rPr>
        <w:footnoteReference w:id="18"/>
      </w:r>
      <w:r>
        <w:rPr>
          <w:rFonts w:ascii="Times New Roman" w:hAnsi="Times New Roman" w:cs="Times New Roman"/>
          <w:sz w:val="24"/>
          <w:szCs w:val="24"/>
        </w:rPr>
        <w:t>.</w:t>
      </w:r>
      <w:r w:rsidR="00AB3F40">
        <w:rPr>
          <w:rFonts w:ascii="Times New Roman" w:hAnsi="Times New Roman" w:cs="Times New Roman"/>
          <w:sz w:val="24"/>
          <w:szCs w:val="24"/>
        </w:rPr>
        <w:t xml:space="preserve"> </w:t>
      </w:r>
      <w:r w:rsidR="00D338FC">
        <w:rPr>
          <w:rFonts w:ascii="Times New Roman" w:hAnsi="Times New Roman" w:cs="Times New Roman"/>
          <w:sz w:val="24"/>
          <w:szCs w:val="24"/>
        </w:rPr>
        <w:t xml:space="preserve">Ils </w:t>
      </w:r>
      <w:r w:rsidR="00E46769">
        <w:rPr>
          <w:rFonts w:ascii="Times New Roman" w:hAnsi="Times New Roman" w:cs="Times New Roman"/>
          <w:sz w:val="24"/>
          <w:szCs w:val="24"/>
        </w:rPr>
        <w:t>écrivent</w:t>
      </w:r>
      <w:r w:rsidR="00D338FC">
        <w:rPr>
          <w:rFonts w:ascii="Times New Roman" w:hAnsi="Times New Roman" w:cs="Times New Roman"/>
          <w:sz w:val="24"/>
          <w:szCs w:val="24"/>
        </w:rPr>
        <w:t> : « La Cour de</w:t>
      </w:r>
      <w:r w:rsidR="00FB21A5">
        <w:rPr>
          <w:rFonts w:ascii="Times New Roman" w:hAnsi="Times New Roman" w:cs="Times New Roman"/>
          <w:sz w:val="24"/>
          <w:szCs w:val="24"/>
        </w:rPr>
        <w:t xml:space="preserve"> </w:t>
      </w:r>
      <w:r w:rsidR="00D338FC">
        <w:rPr>
          <w:rFonts w:ascii="Times New Roman" w:hAnsi="Times New Roman" w:cs="Times New Roman"/>
          <w:sz w:val="24"/>
          <w:szCs w:val="24"/>
        </w:rPr>
        <w:t>​</w:t>
      </w:r>
      <w:r w:rsidR="00EF2FA8">
        <w:rPr>
          <w:rFonts w:ascii="Times New Roman" w:hAnsi="Times New Roman" w:cs="Times New Roman"/>
          <w:sz w:val="24"/>
          <w:szCs w:val="24"/>
        </w:rPr>
        <w:t>cassation</w:t>
      </w:r>
      <w:r w:rsidR="00D338FC">
        <w:rPr>
          <w:rFonts w:ascii="Times New Roman" w:hAnsi="Times New Roman" w:cs="Times New Roman"/>
          <w:sz w:val="24"/>
          <w:szCs w:val="24"/>
        </w:rPr>
        <w:t xml:space="preserve"> </w:t>
      </w:r>
      <w:proofErr w:type="spellStart"/>
      <w:r w:rsidR="00D338FC">
        <w:rPr>
          <w:rFonts w:ascii="Times New Roman" w:hAnsi="Times New Roman" w:cs="Times New Roman"/>
          <w:sz w:val="24"/>
          <w:szCs w:val="24"/>
        </w:rPr>
        <w:t>re</w:t>
      </w:r>
      <w:proofErr w:type="spellEnd"/>
      <w:r w:rsidR="00D338FC">
        <w:rPr>
          <w:rFonts w:ascii="Times New Roman" w:hAnsi="Times New Roman" w:cs="Times New Roman"/>
          <w:sz w:val="24"/>
          <w:szCs w:val="24"/>
        </w:rPr>
        <w:t xml:space="preserve">​proche à la Cour </w:t>
      </w:r>
      <w:proofErr w:type="spellStart"/>
      <w:r w:rsidR="00D338FC">
        <w:rPr>
          <w:rFonts w:ascii="Times New Roman" w:hAnsi="Times New Roman" w:cs="Times New Roman"/>
          <w:sz w:val="24"/>
          <w:szCs w:val="24"/>
        </w:rPr>
        <w:t>d’ap</w:t>
      </w:r>
      <w:proofErr w:type="spellEnd"/>
      <w:r w:rsidR="00D338FC">
        <w:rPr>
          <w:rFonts w:ascii="Times New Roman" w:hAnsi="Times New Roman" w:cs="Times New Roman"/>
          <w:sz w:val="24"/>
          <w:szCs w:val="24"/>
        </w:rPr>
        <w:t>​</w:t>
      </w:r>
      <w:proofErr w:type="spellStart"/>
      <w:r w:rsidR="00D338FC">
        <w:rPr>
          <w:rFonts w:ascii="Times New Roman" w:hAnsi="Times New Roman" w:cs="Times New Roman"/>
          <w:sz w:val="24"/>
          <w:szCs w:val="24"/>
        </w:rPr>
        <w:t>pel</w:t>
      </w:r>
      <w:proofErr w:type="spellEnd"/>
      <w:r w:rsidR="00D338FC">
        <w:rPr>
          <w:rFonts w:ascii="Times New Roman" w:hAnsi="Times New Roman" w:cs="Times New Roman"/>
          <w:sz w:val="24"/>
          <w:szCs w:val="24"/>
        </w:rPr>
        <w:t xml:space="preserve"> d’avoir écarté </w:t>
      </w:r>
      <w:proofErr w:type="spellStart"/>
      <w:r w:rsidR="00D338FC">
        <w:rPr>
          <w:rFonts w:ascii="Times New Roman" w:hAnsi="Times New Roman" w:cs="Times New Roman"/>
          <w:sz w:val="24"/>
          <w:szCs w:val="24"/>
        </w:rPr>
        <w:t>l’ar</w:t>
      </w:r>
      <w:proofErr w:type="spellEnd"/>
      <w:r w:rsidR="00D338FC">
        <w:rPr>
          <w:rFonts w:ascii="Times New Roman" w:hAnsi="Times New Roman" w:cs="Times New Roman"/>
          <w:sz w:val="24"/>
          <w:szCs w:val="24"/>
        </w:rPr>
        <w:t>​</w:t>
      </w:r>
      <w:proofErr w:type="spellStart"/>
      <w:r w:rsidR="00D338FC">
        <w:rPr>
          <w:rFonts w:ascii="Times New Roman" w:hAnsi="Times New Roman" w:cs="Times New Roman"/>
          <w:sz w:val="24"/>
          <w:szCs w:val="24"/>
        </w:rPr>
        <w:t>ticle</w:t>
      </w:r>
      <w:proofErr w:type="spellEnd"/>
      <w:r w:rsidR="00D338FC">
        <w:rPr>
          <w:rFonts w:ascii="Times New Roman" w:hAnsi="Times New Roman" w:cs="Times New Roman"/>
          <w:sz w:val="24"/>
          <w:szCs w:val="24"/>
        </w:rPr>
        <w:t xml:space="preserve"> 1907​</w:t>
      </w:r>
      <w:r w:rsidR="00D338FC" w:rsidRPr="00D338FC">
        <w:rPr>
          <w:rFonts w:ascii="Times New Roman" w:hAnsi="Times New Roman" w:cs="Times New Roman"/>
          <w:i/>
          <w:sz w:val="24"/>
          <w:szCs w:val="24"/>
        </w:rPr>
        <w:t>bis</w:t>
      </w:r>
      <w:r w:rsidR="00D338FC">
        <w:rPr>
          <w:rFonts w:ascii="Times New Roman" w:hAnsi="Times New Roman" w:cs="Times New Roman"/>
          <w:sz w:val="24"/>
          <w:szCs w:val="24"/>
        </w:rPr>
        <w:t xml:space="preserve"> sur le </w:t>
      </w:r>
      <w:proofErr w:type="spellStart"/>
      <w:r w:rsidR="00D338FC">
        <w:rPr>
          <w:rFonts w:ascii="Times New Roman" w:hAnsi="Times New Roman" w:cs="Times New Roman"/>
          <w:sz w:val="24"/>
          <w:szCs w:val="24"/>
        </w:rPr>
        <w:t>fon</w:t>
      </w:r>
      <w:proofErr w:type="spellEnd"/>
      <w:r w:rsidR="00D338FC">
        <w:rPr>
          <w:rFonts w:ascii="Times New Roman" w:hAnsi="Times New Roman" w:cs="Times New Roman"/>
          <w:sz w:val="24"/>
          <w:szCs w:val="24"/>
        </w:rPr>
        <w:t>​de​</w:t>
      </w:r>
      <w:r w:rsidR="00FB21A5">
        <w:rPr>
          <w:rFonts w:ascii="Times New Roman" w:hAnsi="Times New Roman" w:cs="Times New Roman"/>
          <w:sz w:val="24"/>
          <w:szCs w:val="24"/>
        </w:rPr>
        <w:t>ment de l’in</w:t>
      </w:r>
      <w:r w:rsidR="00D338FC">
        <w:rPr>
          <w:rFonts w:ascii="Times New Roman" w:hAnsi="Times New Roman" w:cs="Times New Roman"/>
          <w:sz w:val="24"/>
          <w:szCs w:val="24"/>
        </w:rPr>
        <w:t>ter​</w:t>
      </w:r>
      <w:proofErr w:type="spellStart"/>
      <w:r w:rsidR="00D338FC">
        <w:rPr>
          <w:rFonts w:ascii="Times New Roman" w:hAnsi="Times New Roman" w:cs="Times New Roman"/>
          <w:sz w:val="24"/>
          <w:szCs w:val="24"/>
        </w:rPr>
        <w:t>dic</w:t>
      </w:r>
      <w:proofErr w:type="spellEnd"/>
      <w:r w:rsidR="00D338FC">
        <w:rPr>
          <w:rFonts w:ascii="Times New Roman" w:hAnsi="Times New Roman" w:cs="Times New Roman"/>
          <w:sz w:val="24"/>
          <w:szCs w:val="24"/>
        </w:rPr>
        <w:t>​</w:t>
      </w:r>
      <w:proofErr w:type="spellStart"/>
      <w:r w:rsidR="00D338FC" w:rsidRPr="00D338FC">
        <w:rPr>
          <w:rFonts w:ascii="Times New Roman" w:hAnsi="Times New Roman" w:cs="Times New Roman"/>
          <w:sz w:val="24"/>
          <w:szCs w:val="24"/>
        </w:rPr>
        <w:t>tion</w:t>
      </w:r>
      <w:proofErr w:type="spellEnd"/>
      <w:r w:rsidR="00D338FC">
        <w:rPr>
          <w:rFonts w:ascii="Times New Roman" w:hAnsi="Times New Roman" w:cs="Times New Roman"/>
          <w:sz w:val="24"/>
          <w:szCs w:val="24"/>
        </w:rPr>
        <w:t xml:space="preserve"> contractuelle du remboursement anticipé du crédit d’investissemen</w:t>
      </w:r>
      <w:r w:rsidR="00E46769">
        <w:rPr>
          <w:rFonts w:ascii="Times New Roman" w:hAnsi="Times New Roman" w:cs="Times New Roman"/>
          <w:sz w:val="24"/>
          <w:szCs w:val="24"/>
        </w:rPr>
        <w:t>t. Or, la Cour d’appel aurait dû</w:t>
      </w:r>
      <w:r w:rsidR="00D338FC">
        <w:rPr>
          <w:rFonts w:ascii="Times New Roman" w:hAnsi="Times New Roman" w:cs="Times New Roman"/>
          <w:sz w:val="24"/>
          <w:szCs w:val="24"/>
        </w:rPr>
        <w:t xml:space="preserve"> rejeter l’article 1907</w:t>
      </w:r>
      <w:r w:rsidR="00D338FC" w:rsidRPr="00D338FC">
        <w:rPr>
          <w:rFonts w:ascii="Times New Roman" w:hAnsi="Times New Roman" w:cs="Times New Roman"/>
          <w:i/>
          <w:sz w:val="24"/>
          <w:szCs w:val="24"/>
        </w:rPr>
        <w:t>bis</w:t>
      </w:r>
      <w:r w:rsidR="00D338FC">
        <w:rPr>
          <w:rFonts w:ascii="Times New Roman" w:hAnsi="Times New Roman" w:cs="Times New Roman"/>
          <w:sz w:val="24"/>
          <w:szCs w:val="24"/>
        </w:rPr>
        <w:t xml:space="preserve"> sur la base de la nature du crédit d’investissement, qui est hors champ d’application de cet article ne visant que les prêts à intérêt »</w:t>
      </w:r>
      <w:r w:rsidR="00D338FC">
        <w:rPr>
          <w:rStyle w:val="Appelnotedebasdep"/>
          <w:rFonts w:ascii="Times New Roman" w:hAnsi="Times New Roman" w:cs="Times New Roman"/>
          <w:sz w:val="24"/>
          <w:szCs w:val="24"/>
        </w:rPr>
        <w:footnoteReference w:id="19"/>
      </w:r>
      <w:r w:rsidR="00D338FC">
        <w:rPr>
          <w:rFonts w:ascii="Times New Roman" w:hAnsi="Times New Roman" w:cs="Times New Roman"/>
          <w:sz w:val="24"/>
          <w:szCs w:val="24"/>
        </w:rPr>
        <w:t>.</w:t>
      </w:r>
      <w:r w:rsidR="00D338FC" w:rsidRPr="00D338FC">
        <w:rPr>
          <w:rFonts w:ascii="Times New Roman" w:hAnsi="Times New Roman" w:cs="Times New Roman"/>
          <w:sz w:val="24"/>
          <w:szCs w:val="24"/>
        </w:rPr>
        <w:t xml:space="preserve"> </w:t>
      </w:r>
    </w:p>
    <w:p w:rsidR="00E46769" w:rsidRDefault="00AB3F40" w:rsidP="00F914C5">
      <w:pPr>
        <w:jc w:val="both"/>
        <w:rPr>
          <w:rFonts w:ascii="Times New Roman" w:hAnsi="Times New Roman" w:cs="Times New Roman"/>
          <w:sz w:val="24"/>
          <w:szCs w:val="24"/>
        </w:rPr>
      </w:pPr>
      <w:r>
        <w:rPr>
          <w:rFonts w:ascii="Times New Roman" w:hAnsi="Times New Roman" w:cs="Times New Roman"/>
          <w:sz w:val="24"/>
          <w:szCs w:val="24"/>
        </w:rPr>
        <w:t xml:space="preserve">Rien toutefois dans le texte de l’arrêt ne permet de </w:t>
      </w:r>
      <w:r w:rsidR="00E46769">
        <w:rPr>
          <w:rFonts w:ascii="Times New Roman" w:hAnsi="Times New Roman" w:cs="Times New Roman"/>
          <w:sz w:val="24"/>
          <w:szCs w:val="24"/>
        </w:rPr>
        <w:t>qualifier celui-ci de « purement formel ». L’attendu de principe est clair : la limitation visée à l’article 1907</w:t>
      </w:r>
      <w:r w:rsidR="00E46769" w:rsidRPr="00E46769">
        <w:rPr>
          <w:rFonts w:ascii="Times New Roman" w:hAnsi="Times New Roman" w:cs="Times New Roman"/>
          <w:i/>
          <w:sz w:val="24"/>
          <w:szCs w:val="24"/>
        </w:rPr>
        <w:t>bis</w:t>
      </w:r>
      <w:r w:rsidR="00E46769">
        <w:rPr>
          <w:rFonts w:ascii="Times New Roman" w:hAnsi="Times New Roman" w:cs="Times New Roman"/>
          <w:sz w:val="24"/>
          <w:szCs w:val="24"/>
        </w:rPr>
        <w:t> « s’applique à toute indemnité réclamée par le prêteur en cas de remboursement total ou partiel d’un prêt à intérêt ».</w:t>
      </w:r>
    </w:p>
    <w:p w:rsidR="00F914C5" w:rsidRPr="00071F4C" w:rsidRDefault="00F914C5" w:rsidP="00B726E3">
      <w:pPr>
        <w:jc w:val="both"/>
        <w:rPr>
          <w:rFonts w:ascii="Times New Roman" w:hAnsi="Times New Roman" w:cs="Times New Roman"/>
          <w:sz w:val="24"/>
          <w:szCs w:val="24"/>
        </w:rPr>
      </w:pPr>
      <w:r>
        <w:rPr>
          <w:rFonts w:ascii="Times New Roman" w:hAnsi="Times New Roman" w:cs="Times New Roman"/>
          <w:sz w:val="24"/>
          <w:szCs w:val="24"/>
        </w:rPr>
        <w:lastRenderedPageBreak/>
        <w:t>Toujours selon ces auteurs, l’arrêt du 24 novembre 2016 serait sans incidence sur les règles admises en la matière</w:t>
      </w:r>
      <w:r w:rsidR="00D338FC">
        <w:rPr>
          <w:rFonts w:ascii="Times New Roman" w:hAnsi="Times New Roman" w:cs="Times New Roman"/>
          <w:sz w:val="24"/>
          <w:szCs w:val="24"/>
        </w:rPr>
        <w:t xml:space="preserve"> pour les contrats de prêt et de crédit</w:t>
      </w:r>
      <w:r>
        <w:rPr>
          <w:rStyle w:val="Appelnotedebasdep"/>
          <w:rFonts w:ascii="Times New Roman" w:hAnsi="Times New Roman" w:cs="Times New Roman"/>
          <w:sz w:val="24"/>
          <w:szCs w:val="24"/>
        </w:rPr>
        <w:footnoteReference w:id="20"/>
      </w:r>
      <w:r w:rsidR="0059631D">
        <w:rPr>
          <w:rFonts w:ascii="Times New Roman" w:hAnsi="Times New Roman" w:cs="Times New Roman"/>
          <w:sz w:val="24"/>
          <w:szCs w:val="24"/>
        </w:rPr>
        <w:t>. Ils estim</w:t>
      </w:r>
      <w:r>
        <w:rPr>
          <w:rFonts w:ascii="Times New Roman" w:hAnsi="Times New Roman" w:cs="Times New Roman"/>
          <w:sz w:val="24"/>
          <w:szCs w:val="24"/>
        </w:rPr>
        <w:t>ent que l’on ne peut déduire de l’arrêt de la Cour de cassation que l’article 1907</w:t>
      </w:r>
      <w:r w:rsidRPr="00B22FFF">
        <w:rPr>
          <w:rFonts w:ascii="Times New Roman" w:hAnsi="Times New Roman" w:cs="Times New Roman"/>
          <w:i/>
          <w:sz w:val="24"/>
          <w:szCs w:val="24"/>
        </w:rPr>
        <w:t>bis</w:t>
      </w:r>
      <w:r>
        <w:rPr>
          <w:rFonts w:ascii="Times New Roman" w:hAnsi="Times New Roman" w:cs="Times New Roman"/>
          <w:sz w:val="24"/>
          <w:szCs w:val="24"/>
        </w:rPr>
        <w:t xml:space="preserve">  - et le plafond de six mois d’intérêts qu’il prévoit pour l’indemnité de remploi - s’applique à tous les contrats de crédit ni que l’article 1907</w:t>
      </w:r>
      <w:r w:rsidRPr="00AB3F40">
        <w:rPr>
          <w:rFonts w:ascii="Times New Roman" w:hAnsi="Times New Roman" w:cs="Times New Roman"/>
          <w:i/>
          <w:sz w:val="24"/>
          <w:szCs w:val="24"/>
        </w:rPr>
        <w:t>bis</w:t>
      </w:r>
      <w:r>
        <w:rPr>
          <w:rFonts w:ascii="Times New Roman" w:hAnsi="Times New Roman" w:cs="Times New Roman"/>
          <w:sz w:val="24"/>
          <w:szCs w:val="24"/>
        </w:rPr>
        <w:t xml:space="preserve"> ferait obstacle à l’interdiction contractuelle de remboursement anticipé</w:t>
      </w:r>
      <w:r>
        <w:rPr>
          <w:rStyle w:val="Appelnotedebasdep"/>
          <w:rFonts w:ascii="Times New Roman" w:hAnsi="Times New Roman" w:cs="Times New Roman"/>
          <w:sz w:val="24"/>
          <w:szCs w:val="24"/>
        </w:rPr>
        <w:footnoteReference w:id="21"/>
      </w:r>
      <w:r>
        <w:rPr>
          <w:rFonts w:ascii="Times New Roman" w:hAnsi="Times New Roman" w:cs="Times New Roman"/>
          <w:sz w:val="24"/>
          <w:szCs w:val="24"/>
        </w:rPr>
        <w:t>. Nous les rejoignons à cet égard</w:t>
      </w:r>
      <w:r>
        <w:rPr>
          <w:rStyle w:val="Appelnotedebasdep"/>
          <w:rFonts w:ascii="Times New Roman" w:hAnsi="Times New Roman" w:cs="Times New Roman"/>
          <w:sz w:val="24"/>
          <w:szCs w:val="24"/>
        </w:rPr>
        <w:footnoteReference w:id="22"/>
      </w:r>
      <w:r>
        <w:rPr>
          <w:rFonts w:ascii="Times New Roman" w:hAnsi="Times New Roman" w:cs="Times New Roman"/>
          <w:sz w:val="24"/>
          <w:szCs w:val="24"/>
        </w:rPr>
        <w:t>. La Cour de cassation ne se pronon</w:t>
      </w:r>
      <w:r w:rsidR="00E46769">
        <w:rPr>
          <w:rFonts w:ascii="Times New Roman" w:hAnsi="Times New Roman" w:cs="Times New Roman"/>
          <w:sz w:val="24"/>
          <w:szCs w:val="24"/>
        </w:rPr>
        <w:t>ce, en effet,  ni sur l’application de l’article 1907bis aux autres crédits que le prêt, ni sur la clause interdisant le remboursement anticipé</w:t>
      </w:r>
      <w:r>
        <w:rPr>
          <w:rFonts w:ascii="Times New Roman" w:hAnsi="Times New Roman" w:cs="Times New Roman"/>
          <w:sz w:val="24"/>
          <w:szCs w:val="24"/>
        </w:rPr>
        <w:t>.</w:t>
      </w:r>
    </w:p>
    <w:p w:rsidR="00277930" w:rsidRDefault="00E46769" w:rsidP="00B726E3">
      <w:pPr>
        <w:jc w:val="both"/>
        <w:rPr>
          <w:rFonts w:ascii="Times New Roman" w:hAnsi="Times New Roman" w:cs="Times New Roman"/>
          <w:sz w:val="24"/>
          <w:szCs w:val="24"/>
        </w:rPr>
      </w:pPr>
      <w:r w:rsidRPr="00E46769">
        <w:rPr>
          <w:rFonts w:ascii="Times New Roman" w:hAnsi="Times New Roman" w:cs="Times New Roman"/>
          <w:b/>
          <w:i/>
          <w:sz w:val="24"/>
          <w:szCs w:val="24"/>
        </w:rPr>
        <w:t>8</w:t>
      </w:r>
      <w:r w:rsidR="009D1E34" w:rsidRPr="00E46769">
        <w:rPr>
          <w:rFonts w:ascii="Times New Roman" w:hAnsi="Times New Roman" w:cs="Times New Roman"/>
          <w:b/>
          <w:i/>
          <w:sz w:val="24"/>
          <w:szCs w:val="24"/>
        </w:rPr>
        <w:t>. Remboursement anticipé à la suite de la déchéance du terme.</w:t>
      </w:r>
      <w:r w:rsidR="009D1E34">
        <w:rPr>
          <w:rFonts w:ascii="Times New Roman" w:hAnsi="Times New Roman" w:cs="Times New Roman"/>
          <w:sz w:val="24"/>
          <w:szCs w:val="24"/>
        </w:rPr>
        <w:t xml:space="preserve"> </w:t>
      </w:r>
      <w:r w:rsidR="001B54A2">
        <w:rPr>
          <w:rFonts w:ascii="Times New Roman" w:hAnsi="Times New Roman" w:cs="Times New Roman"/>
          <w:sz w:val="24"/>
          <w:szCs w:val="24"/>
        </w:rPr>
        <w:t>L’interprétation de l’article 1907</w:t>
      </w:r>
      <w:r w:rsidR="001B54A2" w:rsidRPr="00B22FFF">
        <w:rPr>
          <w:rFonts w:ascii="Times New Roman" w:hAnsi="Times New Roman" w:cs="Times New Roman"/>
          <w:i/>
          <w:sz w:val="24"/>
          <w:szCs w:val="24"/>
        </w:rPr>
        <w:t>bis</w:t>
      </w:r>
      <w:r>
        <w:rPr>
          <w:rFonts w:ascii="Times New Roman" w:hAnsi="Times New Roman" w:cs="Times New Roman"/>
          <w:sz w:val="24"/>
          <w:szCs w:val="24"/>
        </w:rPr>
        <w:t xml:space="preserve"> consacrée par la Cour de cassation </w:t>
      </w:r>
      <w:r w:rsidR="001F412C">
        <w:rPr>
          <w:rFonts w:ascii="Times New Roman" w:hAnsi="Times New Roman" w:cs="Times New Roman"/>
          <w:sz w:val="24"/>
          <w:szCs w:val="24"/>
        </w:rPr>
        <w:t>pourrait-elle,</w:t>
      </w:r>
      <w:r w:rsidR="001B54A2">
        <w:rPr>
          <w:rFonts w:ascii="Times New Roman" w:hAnsi="Times New Roman" w:cs="Times New Roman"/>
          <w:sz w:val="24"/>
          <w:szCs w:val="24"/>
        </w:rPr>
        <w:t xml:space="preserve"> également</w:t>
      </w:r>
      <w:r w:rsidR="0059631D">
        <w:rPr>
          <w:rFonts w:ascii="Times New Roman" w:hAnsi="Times New Roman" w:cs="Times New Roman"/>
          <w:sz w:val="24"/>
          <w:szCs w:val="24"/>
        </w:rPr>
        <w:t>, par</w:t>
      </w:r>
      <w:r w:rsidR="00517BD6">
        <w:rPr>
          <w:rFonts w:ascii="Times New Roman" w:hAnsi="Times New Roman" w:cs="Times New Roman"/>
          <w:sz w:val="24"/>
          <w:szCs w:val="24"/>
        </w:rPr>
        <w:t xml:space="preserve"> identité de motifs,</w:t>
      </w:r>
      <w:r w:rsidR="001B54A2">
        <w:rPr>
          <w:rFonts w:ascii="Times New Roman" w:hAnsi="Times New Roman" w:cs="Times New Roman"/>
          <w:sz w:val="24"/>
          <w:szCs w:val="24"/>
        </w:rPr>
        <w:t xml:space="preserve"> être retenue en cas de déchéance du terme consécutive, notamment, à la défaillance de l’emprunteur</w:t>
      </w:r>
      <w:r w:rsidR="001F412C">
        <w:rPr>
          <w:rFonts w:ascii="Times New Roman" w:hAnsi="Times New Roman" w:cs="Times New Roman"/>
          <w:sz w:val="24"/>
          <w:szCs w:val="24"/>
        </w:rPr>
        <w:t xml:space="preserve"> ? C’est ce que certains soutiennent, </w:t>
      </w:r>
      <w:r w:rsidR="00B22FFF">
        <w:rPr>
          <w:rFonts w:ascii="Times New Roman" w:hAnsi="Times New Roman" w:cs="Times New Roman"/>
          <w:sz w:val="24"/>
          <w:szCs w:val="24"/>
        </w:rPr>
        <w:t xml:space="preserve">toujours </w:t>
      </w:r>
      <w:r w:rsidR="001F412C">
        <w:rPr>
          <w:rFonts w:ascii="Times New Roman" w:hAnsi="Times New Roman" w:cs="Times New Roman"/>
          <w:sz w:val="24"/>
          <w:szCs w:val="24"/>
        </w:rPr>
        <w:t xml:space="preserve">en s’appuyant sur </w:t>
      </w:r>
      <w:proofErr w:type="gramStart"/>
      <w:r w:rsidR="001F412C">
        <w:rPr>
          <w:rFonts w:ascii="Times New Roman" w:hAnsi="Times New Roman" w:cs="Times New Roman"/>
          <w:sz w:val="24"/>
          <w:szCs w:val="24"/>
        </w:rPr>
        <w:t>la</w:t>
      </w:r>
      <w:proofErr w:type="gramEnd"/>
      <w:r w:rsidR="001F412C">
        <w:rPr>
          <w:rFonts w:ascii="Times New Roman" w:hAnsi="Times New Roman" w:cs="Times New Roman"/>
          <w:sz w:val="24"/>
          <w:szCs w:val="24"/>
        </w:rPr>
        <w:t xml:space="preserve"> </w:t>
      </w:r>
      <w:r w:rsidR="001F412C" w:rsidRPr="001F412C">
        <w:rPr>
          <w:rFonts w:ascii="Times New Roman" w:hAnsi="Times New Roman" w:cs="Times New Roman"/>
          <w:i/>
          <w:sz w:val="24"/>
          <w:szCs w:val="24"/>
        </w:rPr>
        <w:t>ratio</w:t>
      </w:r>
      <w:r w:rsidR="001F412C">
        <w:rPr>
          <w:rFonts w:ascii="Times New Roman" w:hAnsi="Times New Roman" w:cs="Times New Roman"/>
          <w:sz w:val="24"/>
          <w:szCs w:val="24"/>
        </w:rPr>
        <w:t xml:space="preserve"> </w:t>
      </w:r>
      <w:proofErr w:type="spellStart"/>
      <w:r w:rsidR="001F412C" w:rsidRPr="001F412C">
        <w:rPr>
          <w:rFonts w:ascii="Times New Roman" w:hAnsi="Times New Roman" w:cs="Times New Roman"/>
          <w:i/>
          <w:sz w:val="24"/>
          <w:szCs w:val="24"/>
        </w:rPr>
        <w:t>legis</w:t>
      </w:r>
      <w:proofErr w:type="spellEnd"/>
      <w:r w:rsidR="001F412C">
        <w:rPr>
          <w:rFonts w:ascii="Times New Roman" w:hAnsi="Times New Roman" w:cs="Times New Roman"/>
          <w:sz w:val="24"/>
          <w:szCs w:val="24"/>
        </w:rPr>
        <w:t xml:space="preserve"> de l’</w:t>
      </w:r>
      <w:r w:rsidR="00B22FFF">
        <w:rPr>
          <w:rFonts w:ascii="Times New Roman" w:hAnsi="Times New Roman" w:cs="Times New Roman"/>
          <w:sz w:val="24"/>
          <w:szCs w:val="24"/>
        </w:rPr>
        <w:t>article 1907</w:t>
      </w:r>
      <w:r w:rsidR="00B22FFF" w:rsidRPr="00B22FFF">
        <w:rPr>
          <w:rFonts w:ascii="Times New Roman" w:hAnsi="Times New Roman" w:cs="Times New Roman"/>
          <w:i/>
          <w:sz w:val="24"/>
          <w:szCs w:val="24"/>
        </w:rPr>
        <w:t>bis</w:t>
      </w:r>
      <w:r w:rsidR="009D1E34">
        <w:rPr>
          <w:rFonts w:ascii="Times New Roman" w:hAnsi="Times New Roman" w:cs="Times New Roman"/>
          <w:sz w:val="24"/>
          <w:szCs w:val="24"/>
        </w:rPr>
        <w:t xml:space="preserve"> et son contexte historique</w:t>
      </w:r>
      <w:r w:rsidR="001B54A2">
        <w:rPr>
          <w:rStyle w:val="Appelnotedebasdep"/>
          <w:rFonts w:ascii="Times New Roman" w:hAnsi="Times New Roman" w:cs="Times New Roman"/>
          <w:sz w:val="24"/>
          <w:szCs w:val="24"/>
        </w:rPr>
        <w:footnoteReference w:id="23"/>
      </w:r>
      <w:r w:rsidR="001B54A2">
        <w:rPr>
          <w:rFonts w:ascii="Times New Roman" w:hAnsi="Times New Roman" w:cs="Times New Roman"/>
          <w:sz w:val="24"/>
          <w:szCs w:val="24"/>
        </w:rPr>
        <w:t>.</w:t>
      </w:r>
      <w:r w:rsidR="00517BD6">
        <w:rPr>
          <w:rFonts w:ascii="Times New Roman" w:hAnsi="Times New Roman" w:cs="Times New Roman"/>
          <w:sz w:val="24"/>
          <w:szCs w:val="24"/>
        </w:rPr>
        <w:t xml:space="preserve"> T</w:t>
      </w:r>
      <w:r w:rsidR="001F412C">
        <w:rPr>
          <w:rFonts w:ascii="Times New Roman" w:hAnsi="Times New Roman" w:cs="Times New Roman"/>
          <w:sz w:val="24"/>
          <w:szCs w:val="24"/>
        </w:rPr>
        <w:t>outefois,</w:t>
      </w:r>
      <w:r w:rsidR="00B22FFF">
        <w:rPr>
          <w:rFonts w:ascii="Times New Roman" w:hAnsi="Times New Roman" w:cs="Times New Roman"/>
          <w:sz w:val="24"/>
          <w:szCs w:val="24"/>
        </w:rPr>
        <w:t xml:space="preserve"> en admettant que la limitation de l’indemnité de re</w:t>
      </w:r>
      <w:r w:rsidR="006E5EB0">
        <w:rPr>
          <w:rFonts w:ascii="Times New Roman" w:hAnsi="Times New Roman" w:cs="Times New Roman"/>
          <w:sz w:val="24"/>
          <w:szCs w:val="24"/>
        </w:rPr>
        <w:t>mploi à six mois d’intérêts doive</w:t>
      </w:r>
      <w:r w:rsidR="00B22FFF">
        <w:rPr>
          <w:rFonts w:ascii="Times New Roman" w:hAnsi="Times New Roman" w:cs="Times New Roman"/>
          <w:sz w:val="24"/>
          <w:szCs w:val="24"/>
        </w:rPr>
        <w:t xml:space="preserve"> aussi jouer</w:t>
      </w:r>
      <w:r w:rsidR="001F412C">
        <w:rPr>
          <w:rFonts w:ascii="Times New Roman" w:hAnsi="Times New Roman" w:cs="Times New Roman"/>
          <w:sz w:val="24"/>
          <w:szCs w:val="24"/>
        </w:rPr>
        <w:t xml:space="preserve"> dans ce cas de figure</w:t>
      </w:r>
      <w:r w:rsidR="00517BD6">
        <w:rPr>
          <w:rFonts w:ascii="Times New Roman" w:hAnsi="Times New Roman" w:cs="Times New Roman"/>
          <w:sz w:val="24"/>
          <w:szCs w:val="24"/>
        </w:rPr>
        <w:t>, il nous paraît que le prêteur doit</w:t>
      </w:r>
      <w:r w:rsidR="00B22FFF">
        <w:rPr>
          <w:rFonts w:ascii="Times New Roman" w:hAnsi="Times New Roman" w:cs="Times New Roman"/>
          <w:sz w:val="24"/>
          <w:szCs w:val="24"/>
        </w:rPr>
        <w:t xml:space="preserve"> alors</w:t>
      </w:r>
      <w:r w:rsidR="00517BD6">
        <w:rPr>
          <w:rFonts w:ascii="Times New Roman" w:hAnsi="Times New Roman" w:cs="Times New Roman"/>
          <w:sz w:val="24"/>
          <w:szCs w:val="24"/>
        </w:rPr>
        <w:t xml:space="preserve"> être autorisé à réclamer à l’emprunteur défaillant le montant du dommage généré</w:t>
      </w:r>
      <w:r w:rsidR="001E0907">
        <w:rPr>
          <w:rFonts w:ascii="Times New Roman" w:hAnsi="Times New Roman" w:cs="Times New Roman"/>
          <w:sz w:val="24"/>
          <w:szCs w:val="24"/>
        </w:rPr>
        <w:t xml:space="preserve"> par la défaillance qui n’est pas</w:t>
      </w:r>
      <w:r w:rsidR="00517BD6">
        <w:rPr>
          <w:rFonts w:ascii="Times New Roman" w:hAnsi="Times New Roman" w:cs="Times New Roman"/>
          <w:sz w:val="24"/>
          <w:szCs w:val="24"/>
        </w:rPr>
        <w:t xml:space="preserve"> indemnisé par l’indemnité de remploi, tels que les frais inhérents à la gestion contentieuse du prêt</w:t>
      </w:r>
      <w:r w:rsidR="00517BD6">
        <w:rPr>
          <w:rStyle w:val="Appelnotedebasdep"/>
          <w:rFonts w:ascii="Times New Roman" w:hAnsi="Times New Roman" w:cs="Times New Roman"/>
          <w:sz w:val="24"/>
          <w:szCs w:val="24"/>
        </w:rPr>
        <w:footnoteReference w:id="24"/>
      </w:r>
      <w:r w:rsidR="00517BD6">
        <w:rPr>
          <w:rFonts w:ascii="Times New Roman" w:hAnsi="Times New Roman" w:cs="Times New Roman"/>
          <w:sz w:val="24"/>
          <w:szCs w:val="24"/>
        </w:rPr>
        <w:t>.</w:t>
      </w:r>
      <w:r w:rsidR="00040AB4">
        <w:rPr>
          <w:rFonts w:ascii="Times New Roman" w:hAnsi="Times New Roman" w:cs="Times New Roman"/>
          <w:sz w:val="24"/>
          <w:szCs w:val="24"/>
        </w:rPr>
        <w:t xml:space="preserve"> L’unique préjudice plafonn</w:t>
      </w:r>
      <w:r w:rsidR="009D1E34">
        <w:rPr>
          <w:rFonts w:ascii="Times New Roman" w:hAnsi="Times New Roman" w:cs="Times New Roman"/>
          <w:sz w:val="24"/>
          <w:szCs w:val="24"/>
        </w:rPr>
        <w:t>é par l’article 1907</w:t>
      </w:r>
      <w:r w:rsidR="009D1E34" w:rsidRPr="009D1E34">
        <w:rPr>
          <w:rFonts w:ascii="Times New Roman" w:hAnsi="Times New Roman" w:cs="Times New Roman"/>
          <w:i/>
          <w:sz w:val="24"/>
          <w:szCs w:val="24"/>
        </w:rPr>
        <w:t>bis</w:t>
      </w:r>
      <w:r w:rsidR="009D1E34">
        <w:rPr>
          <w:rFonts w:ascii="Times New Roman" w:hAnsi="Times New Roman" w:cs="Times New Roman"/>
          <w:sz w:val="24"/>
          <w:szCs w:val="24"/>
        </w:rPr>
        <w:t xml:space="preserve"> est en effet, pour le prêteur, la perte du placement que constitue le prêt consenti. </w:t>
      </w:r>
      <w:r w:rsidR="00FB21A5">
        <w:rPr>
          <w:rFonts w:ascii="Times New Roman" w:hAnsi="Times New Roman" w:cs="Times New Roman"/>
          <w:sz w:val="24"/>
          <w:szCs w:val="24"/>
        </w:rPr>
        <w:t>Le dommage que représente</w:t>
      </w:r>
      <w:r w:rsidR="009D1E34">
        <w:rPr>
          <w:rFonts w:ascii="Times New Roman" w:hAnsi="Times New Roman" w:cs="Times New Roman"/>
          <w:sz w:val="24"/>
          <w:szCs w:val="24"/>
        </w:rPr>
        <w:t>, par exemple, le recouvrement extra-judiciaire de la créance</w:t>
      </w:r>
      <w:r w:rsidR="001E0907">
        <w:rPr>
          <w:rStyle w:val="Appelnotedebasdep"/>
          <w:rFonts w:ascii="Times New Roman" w:hAnsi="Times New Roman" w:cs="Times New Roman"/>
          <w:sz w:val="24"/>
          <w:szCs w:val="24"/>
        </w:rPr>
        <w:footnoteReference w:id="25"/>
      </w:r>
      <w:r w:rsidR="00F914C5">
        <w:rPr>
          <w:rFonts w:ascii="Times New Roman" w:hAnsi="Times New Roman" w:cs="Times New Roman"/>
          <w:sz w:val="24"/>
          <w:szCs w:val="24"/>
        </w:rPr>
        <w:t>, n’est pas visé par cette disposition. En cela, il est parfaitement envisageable que</w:t>
      </w:r>
      <w:r w:rsidR="00040AB4">
        <w:rPr>
          <w:rFonts w:ascii="Times New Roman" w:hAnsi="Times New Roman" w:cs="Times New Roman"/>
          <w:sz w:val="24"/>
          <w:szCs w:val="24"/>
        </w:rPr>
        <w:t xml:space="preserve"> le prêteur soit fondé à réclamer</w:t>
      </w:r>
      <w:r w:rsidR="00F914C5">
        <w:rPr>
          <w:rFonts w:ascii="Times New Roman" w:hAnsi="Times New Roman" w:cs="Times New Roman"/>
          <w:sz w:val="24"/>
          <w:szCs w:val="24"/>
        </w:rPr>
        <w:t xml:space="preserve"> à l’emprunteur défaillant</w:t>
      </w:r>
      <w:r w:rsidR="00040AB4">
        <w:rPr>
          <w:rFonts w:ascii="Times New Roman" w:hAnsi="Times New Roman" w:cs="Times New Roman"/>
          <w:sz w:val="24"/>
          <w:szCs w:val="24"/>
        </w:rPr>
        <w:t>,</w:t>
      </w:r>
      <w:r w:rsidR="00040AB4" w:rsidRPr="00040AB4">
        <w:rPr>
          <w:rFonts w:ascii="Times New Roman" w:hAnsi="Times New Roman" w:cs="Times New Roman"/>
          <w:sz w:val="24"/>
          <w:szCs w:val="24"/>
        </w:rPr>
        <w:t xml:space="preserve"> </w:t>
      </w:r>
      <w:r w:rsidR="00040AB4">
        <w:rPr>
          <w:rFonts w:ascii="Times New Roman" w:hAnsi="Times New Roman" w:cs="Times New Roman"/>
          <w:sz w:val="24"/>
          <w:szCs w:val="24"/>
        </w:rPr>
        <w:t>en sus des six mois d’intérêts</w:t>
      </w:r>
      <w:r w:rsidR="00F914C5">
        <w:rPr>
          <w:rFonts w:ascii="Times New Roman" w:hAnsi="Times New Roman" w:cs="Times New Roman"/>
          <w:sz w:val="24"/>
          <w:szCs w:val="24"/>
        </w:rPr>
        <w:t xml:space="preserve"> </w:t>
      </w:r>
      <w:r w:rsidR="00040AB4">
        <w:rPr>
          <w:rFonts w:ascii="Times New Roman" w:hAnsi="Times New Roman" w:cs="Times New Roman"/>
          <w:sz w:val="24"/>
          <w:szCs w:val="24"/>
        </w:rPr>
        <w:t>maximum, les montants prévus par la</w:t>
      </w:r>
      <w:r w:rsidR="00F914C5">
        <w:rPr>
          <w:rFonts w:ascii="Times New Roman" w:hAnsi="Times New Roman" w:cs="Times New Roman"/>
          <w:sz w:val="24"/>
          <w:szCs w:val="24"/>
        </w:rPr>
        <w:t xml:space="preserve"> clause pénale </w:t>
      </w:r>
      <w:r w:rsidR="00040AB4">
        <w:rPr>
          <w:rFonts w:ascii="Times New Roman" w:hAnsi="Times New Roman" w:cs="Times New Roman"/>
          <w:sz w:val="24"/>
          <w:szCs w:val="24"/>
        </w:rPr>
        <w:t>visant le préjudice afférent au recouvrement extra-judiciaire de la créance</w:t>
      </w:r>
      <w:r w:rsidR="00F914C5">
        <w:rPr>
          <w:rFonts w:ascii="Times New Roman" w:hAnsi="Times New Roman" w:cs="Times New Roman"/>
          <w:sz w:val="24"/>
          <w:szCs w:val="24"/>
        </w:rPr>
        <w:t>.</w:t>
      </w:r>
    </w:p>
    <w:p w:rsidR="00D900D9" w:rsidRDefault="001E0907" w:rsidP="00B726E3">
      <w:pPr>
        <w:jc w:val="both"/>
        <w:rPr>
          <w:rFonts w:ascii="Times New Roman" w:hAnsi="Times New Roman" w:cs="Times New Roman"/>
          <w:sz w:val="24"/>
          <w:szCs w:val="24"/>
        </w:rPr>
      </w:pPr>
      <w:r w:rsidRPr="001E0907">
        <w:rPr>
          <w:rFonts w:ascii="Times New Roman" w:hAnsi="Times New Roman" w:cs="Times New Roman"/>
          <w:b/>
          <w:i/>
          <w:sz w:val="24"/>
          <w:szCs w:val="24"/>
        </w:rPr>
        <w:t>9</w:t>
      </w:r>
      <w:r w:rsidR="00D900D9" w:rsidRPr="001E0907">
        <w:rPr>
          <w:rFonts w:ascii="Times New Roman" w:hAnsi="Times New Roman" w:cs="Times New Roman"/>
          <w:b/>
          <w:i/>
          <w:sz w:val="24"/>
          <w:szCs w:val="24"/>
        </w:rPr>
        <w:t>. Perspectives</w:t>
      </w:r>
      <w:r w:rsidR="00D900D9" w:rsidRPr="00D900D9">
        <w:rPr>
          <w:rFonts w:ascii="Times New Roman" w:hAnsi="Times New Roman" w:cs="Times New Roman"/>
          <w:b/>
          <w:sz w:val="24"/>
          <w:szCs w:val="24"/>
        </w:rPr>
        <w:t>.</w:t>
      </w:r>
      <w:r w:rsidR="00D900D9">
        <w:rPr>
          <w:rFonts w:ascii="Times New Roman" w:hAnsi="Times New Roman" w:cs="Times New Roman"/>
          <w:sz w:val="24"/>
          <w:szCs w:val="24"/>
        </w:rPr>
        <w:t xml:space="preserve"> Ensuite du prononcé de l’arrêt du 24 novembre 2016, il doit être considéré que la limitation prévue à l’article 1907</w:t>
      </w:r>
      <w:r w:rsidR="00D900D9" w:rsidRPr="00FB21A5">
        <w:rPr>
          <w:rFonts w:ascii="Times New Roman" w:hAnsi="Times New Roman" w:cs="Times New Roman"/>
          <w:i/>
          <w:sz w:val="24"/>
          <w:szCs w:val="24"/>
        </w:rPr>
        <w:t>bis</w:t>
      </w:r>
      <w:r w:rsidR="00D900D9">
        <w:rPr>
          <w:rFonts w:ascii="Times New Roman" w:hAnsi="Times New Roman" w:cs="Times New Roman"/>
          <w:sz w:val="24"/>
          <w:szCs w:val="24"/>
        </w:rPr>
        <w:t xml:space="preserve"> du Code civil s’applique</w:t>
      </w:r>
      <w:r w:rsidR="00FB21A5">
        <w:rPr>
          <w:rFonts w:ascii="Times New Roman" w:hAnsi="Times New Roman" w:cs="Times New Roman"/>
          <w:sz w:val="24"/>
          <w:szCs w:val="24"/>
        </w:rPr>
        <w:t>, sans distinction, semble-t-il,</w:t>
      </w:r>
      <w:r w:rsidR="00D900D9">
        <w:rPr>
          <w:rFonts w:ascii="Times New Roman" w:hAnsi="Times New Roman" w:cs="Times New Roman"/>
          <w:sz w:val="24"/>
          <w:szCs w:val="24"/>
        </w:rPr>
        <w:t xml:space="preserve"> à l’indemnité de remploi « </w:t>
      </w:r>
      <w:r w:rsidR="00D900D9" w:rsidRPr="00B22FFF">
        <w:rPr>
          <w:rFonts w:ascii="Times New Roman" w:hAnsi="Times New Roman" w:cs="Times New Roman"/>
          <w:sz w:val="24"/>
          <w:szCs w:val="24"/>
        </w:rPr>
        <w:t>réclamée par le prêteur en cas de remboursement anticipé total ou partiel d’un prêt à intérêt</w:t>
      </w:r>
      <w:r w:rsidR="00D900D9">
        <w:rPr>
          <w:rFonts w:ascii="Times New Roman" w:hAnsi="Times New Roman" w:cs="Times New Roman"/>
          <w:i/>
          <w:sz w:val="24"/>
          <w:szCs w:val="24"/>
        </w:rPr>
        <w:t> »</w:t>
      </w:r>
      <w:r w:rsidR="00D900D9">
        <w:rPr>
          <w:rFonts w:ascii="Times New Roman" w:hAnsi="Times New Roman" w:cs="Times New Roman"/>
          <w:sz w:val="24"/>
          <w:szCs w:val="24"/>
        </w:rPr>
        <w:t xml:space="preserve">. </w:t>
      </w:r>
    </w:p>
    <w:p w:rsidR="004C0F76" w:rsidRDefault="004C0F76" w:rsidP="00B726E3">
      <w:pPr>
        <w:jc w:val="both"/>
        <w:rPr>
          <w:rFonts w:ascii="Times New Roman" w:hAnsi="Times New Roman" w:cs="Times New Roman"/>
          <w:sz w:val="24"/>
          <w:szCs w:val="24"/>
        </w:rPr>
      </w:pPr>
      <w:r>
        <w:rPr>
          <w:rFonts w:ascii="Times New Roman" w:hAnsi="Times New Roman" w:cs="Times New Roman"/>
          <w:sz w:val="24"/>
          <w:szCs w:val="24"/>
        </w:rPr>
        <w:t>Toute difficulté n’est cependant pas écartée.</w:t>
      </w:r>
    </w:p>
    <w:p w:rsidR="00D900D9" w:rsidRDefault="004C0F76" w:rsidP="00B726E3">
      <w:pPr>
        <w:jc w:val="both"/>
        <w:rPr>
          <w:rFonts w:ascii="Times New Roman" w:hAnsi="Times New Roman" w:cs="Times New Roman"/>
          <w:sz w:val="24"/>
          <w:szCs w:val="24"/>
        </w:rPr>
      </w:pPr>
      <w:r>
        <w:rPr>
          <w:rFonts w:ascii="Times New Roman" w:hAnsi="Times New Roman" w:cs="Times New Roman"/>
          <w:sz w:val="24"/>
          <w:szCs w:val="24"/>
        </w:rPr>
        <w:t>Nous l’avons souligné, l’article 1907</w:t>
      </w:r>
      <w:r w:rsidRPr="004C0F76">
        <w:rPr>
          <w:rFonts w:ascii="Times New Roman" w:hAnsi="Times New Roman" w:cs="Times New Roman"/>
          <w:i/>
          <w:sz w:val="24"/>
          <w:szCs w:val="24"/>
        </w:rPr>
        <w:t>bis</w:t>
      </w:r>
      <w:r>
        <w:rPr>
          <w:rFonts w:ascii="Times New Roman" w:hAnsi="Times New Roman" w:cs="Times New Roman"/>
          <w:sz w:val="24"/>
          <w:szCs w:val="24"/>
        </w:rPr>
        <w:t xml:space="preserve"> ne c</w:t>
      </w:r>
      <w:r w:rsidR="00AB3F40">
        <w:rPr>
          <w:rFonts w:ascii="Times New Roman" w:hAnsi="Times New Roman" w:cs="Times New Roman"/>
          <w:sz w:val="24"/>
          <w:szCs w:val="24"/>
        </w:rPr>
        <w:t>oncerne que les prêts à intérêt</w:t>
      </w:r>
      <w:r>
        <w:rPr>
          <w:rFonts w:ascii="Times New Roman" w:hAnsi="Times New Roman" w:cs="Times New Roman"/>
          <w:sz w:val="24"/>
          <w:szCs w:val="24"/>
        </w:rPr>
        <w:t xml:space="preserve"> et non les ouvertures de crédit</w:t>
      </w:r>
      <w:r w:rsidR="00040AB4">
        <w:rPr>
          <w:rFonts w:ascii="Times New Roman" w:hAnsi="Times New Roman" w:cs="Times New Roman"/>
          <w:sz w:val="24"/>
          <w:szCs w:val="24"/>
        </w:rPr>
        <w:t xml:space="preserve"> qui ne peuvent être qualifiés tels</w:t>
      </w:r>
      <w:r>
        <w:rPr>
          <w:rFonts w:ascii="Times New Roman" w:hAnsi="Times New Roman" w:cs="Times New Roman"/>
          <w:sz w:val="24"/>
          <w:szCs w:val="24"/>
        </w:rPr>
        <w:t>. Tant que les critères permettant de distinguer</w:t>
      </w:r>
      <w:r w:rsidR="00AB3F40">
        <w:rPr>
          <w:rFonts w:ascii="Times New Roman" w:hAnsi="Times New Roman" w:cs="Times New Roman"/>
          <w:sz w:val="24"/>
          <w:szCs w:val="24"/>
        </w:rPr>
        <w:t xml:space="preserve"> le prêt des autres crédits</w:t>
      </w:r>
      <w:r>
        <w:rPr>
          <w:rFonts w:ascii="Times New Roman" w:hAnsi="Times New Roman" w:cs="Times New Roman"/>
          <w:sz w:val="24"/>
          <w:szCs w:val="24"/>
        </w:rPr>
        <w:t xml:space="preserve"> ne sont pas arrêtés de manière définitive, les litiges ayant trait à la qualification des conventions demeureront.</w:t>
      </w:r>
    </w:p>
    <w:p w:rsidR="00517BD6" w:rsidRDefault="004C0F76" w:rsidP="00B726E3">
      <w:pPr>
        <w:jc w:val="both"/>
        <w:rPr>
          <w:rFonts w:ascii="Times New Roman" w:hAnsi="Times New Roman" w:cs="Times New Roman"/>
          <w:sz w:val="24"/>
          <w:szCs w:val="24"/>
        </w:rPr>
      </w:pPr>
      <w:r>
        <w:rPr>
          <w:rFonts w:ascii="Times New Roman" w:hAnsi="Times New Roman" w:cs="Times New Roman"/>
          <w:sz w:val="24"/>
          <w:szCs w:val="24"/>
        </w:rPr>
        <w:lastRenderedPageBreak/>
        <w:t>S’agissant même de contrats de prêt</w:t>
      </w:r>
      <w:r w:rsidR="00040AB4">
        <w:rPr>
          <w:rFonts w:ascii="Times New Roman" w:hAnsi="Times New Roman" w:cs="Times New Roman"/>
          <w:sz w:val="24"/>
          <w:szCs w:val="24"/>
        </w:rPr>
        <w:t>s à intérêt</w:t>
      </w:r>
      <w:r>
        <w:rPr>
          <w:rFonts w:ascii="Times New Roman" w:hAnsi="Times New Roman" w:cs="Times New Roman"/>
          <w:sz w:val="24"/>
          <w:szCs w:val="24"/>
        </w:rPr>
        <w:t xml:space="preserve"> conclus comme tels ou d’ouverture de crédit requalifiées en prêts à intér</w:t>
      </w:r>
      <w:r w:rsidR="00040AB4">
        <w:rPr>
          <w:rFonts w:ascii="Times New Roman" w:hAnsi="Times New Roman" w:cs="Times New Roman"/>
          <w:sz w:val="24"/>
          <w:szCs w:val="24"/>
        </w:rPr>
        <w:t>êt</w:t>
      </w:r>
      <w:r>
        <w:rPr>
          <w:rFonts w:ascii="Times New Roman" w:hAnsi="Times New Roman" w:cs="Times New Roman"/>
          <w:sz w:val="24"/>
          <w:szCs w:val="24"/>
        </w:rPr>
        <w:t xml:space="preserve"> auxquels s’applique l’article 1907</w:t>
      </w:r>
      <w:r w:rsidRPr="00B22FFF">
        <w:rPr>
          <w:rFonts w:ascii="Times New Roman" w:hAnsi="Times New Roman" w:cs="Times New Roman"/>
          <w:i/>
          <w:sz w:val="24"/>
          <w:szCs w:val="24"/>
        </w:rPr>
        <w:t>bis</w:t>
      </w:r>
      <w:r>
        <w:rPr>
          <w:rFonts w:ascii="Times New Roman" w:hAnsi="Times New Roman" w:cs="Times New Roman"/>
          <w:sz w:val="24"/>
          <w:szCs w:val="24"/>
        </w:rPr>
        <w:t>, le prêteur ne peut être contraint d’accepter le remboursement anticipé si ce remboursement anticipé n’est pas contractuellement prévu.</w:t>
      </w:r>
      <w:r w:rsidR="00B22FFF">
        <w:rPr>
          <w:rFonts w:ascii="Times New Roman" w:hAnsi="Times New Roman" w:cs="Times New Roman"/>
          <w:sz w:val="24"/>
          <w:szCs w:val="24"/>
        </w:rPr>
        <w:t xml:space="preserve"> Nous l’avons dit, le droit légal au remboursement anticipé n’existe pas en tant que tel en droit commun.</w:t>
      </w:r>
      <w:r>
        <w:rPr>
          <w:rFonts w:ascii="Times New Roman" w:hAnsi="Times New Roman" w:cs="Times New Roman"/>
          <w:sz w:val="24"/>
          <w:szCs w:val="24"/>
        </w:rPr>
        <w:t xml:space="preserve"> Il est donc fort probable que le nombre de refus opposés par les organismes de crédit aux demandes de rembourseme</w:t>
      </w:r>
      <w:r w:rsidR="00AB3F40">
        <w:rPr>
          <w:rFonts w:ascii="Times New Roman" w:hAnsi="Times New Roman" w:cs="Times New Roman"/>
          <w:sz w:val="24"/>
          <w:szCs w:val="24"/>
        </w:rPr>
        <w:t>nt anticipés</w:t>
      </w:r>
      <w:r>
        <w:rPr>
          <w:rFonts w:ascii="Times New Roman" w:hAnsi="Times New Roman" w:cs="Times New Roman"/>
          <w:sz w:val="24"/>
          <w:szCs w:val="24"/>
        </w:rPr>
        <w:t xml:space="preserve"> se multiplient. Ces refus devront, bien entendu</w:t>
      </w:r>
      <w:r w:rsidR="00B22FFF">
        <w:rPr>
          <w:rFonts w:ascii="Times New Roman" w:hAnsi="Times New Roman" w:cs="Times New Roman"/>
          <w:sz w:val="24"/>
          <w:szCs w:val="24"/>
        </w:rPr>
        <w:t>, ne pas être constitutifs d’</w:t>
      </w:r>
      <w:r>
        <w:rPr>
          <w:rFonts w:ascii="Times New Roman" w:hAnsi="Times New Roman" w:cs="Times New Roman"/>
          <w:sz w:val="24"/>
          <w:szCs w:val="24"/>
        </w:rPr>
        <w:t>abus de droit. Nous pensons cependant qu’en l’espèce, l’abus de droit devra être apprécié de manière stricte. Le simple refus du banquier de recevoir anticipativement le remboursement des fonds prêtés ne peut, en soi, être constitutif d’abus de droit</w:t>
      </w:r>
      <w:r w:rsidR="000E1316">
        <w:rPr>
          <w:rStyle w:val="Appelnotedebasdep"/>
          <w:rFonts w:ascii="Times New Roman" w:hAnsi="Times New Roman" w:cs="Times New Roman"/>
          <w:sz w:val="24"/>
          <w:szCs w:val="24"/>
        </w:rPr>
        <w:footnoteReference w:id="26"/>
      </w:r>
      <w:r>
        <w:rPr>
          <w:rFonts w:ascii="Times New Roman" w:hAnsi="Times New Roman" w:cs="Times New Roman"/>
          <w:sz w:val="24"/>
          <w:szCs w:val="24"/>
        </w:rPr>
        <w:t>. L’abus de droit ne peut consister dans le simple fait d’exercer son droit</w:t>
      </w:r>
      <w:r w:rsidR="0072160B">
        <w:rPr>
          <w:rStyle w:val="Appelnotedebasdep"/>
          <w:rFonts w:ascii="Times New Roman" w:hAnsi="Times New Roman" w:cs="Times New Roman"/>
          <w:sz w:val="24"/>
          <w:szCs w:val="24"/>
        </w:rPr>
        <w:footnoteReference w:id="27"/>
      </w:r>
      <w:r>
        <w:rPr>
          <w:rFonts w:ascii="Times New Roman" w:hAnsi="Times New Roman" w:cs="Times New Roman"/>
          <w:sz w:val="24"/>
          <w:szCs w:val="24"/>
        </w:rPr>
        <w:t>. Or, il n’est pas contestable que le remboursement avant terme des sommes empruntées cause un préjudice au prêteur.</w:t>
      </w:r>
    </w:p>
    <w:p w:rsidR="00D900D9" w:rsidRPr="00910DAB" w:rsidRDefault="00D900D9" w:rsidP="00B726E3">
      <w:pPr>
        <w:jc w:val="both"/>
        <w:rPr>
          <w:rFonts w:ascii="Times New Roman" w:hAnsi="Times New Roman" w:cs="Times New Roman"/>
          <w:sz w:val="24"/>
          <w:szCs w:val="24"/>
        </w:rPr>
      </w:pPr>
      <w:r>
        <w:rPr>
          <w:rFonts w:ascii="Times New Roman" w:hAnsi="Times New Roman" w:cs="Times New Roman"/>
          <w:sz w:val="24"/>
          <w:szCs w:val="24"/>
        </w:rPr>
        <w:t>Notons encore que l’intérêt de la question s’amenuisera au fil des ans dès lors que des législations spéciales encadrent l’indemnité de remploi tant en ce qui concerne</w:t>
      </w:r>
      <w:r w:rsidR="007D0724" w:rsidRPr="007D0724">
        <w:rPr>
          <w:rFonts w:ascii="Times New Roman" w:hAnsi="Times New Roman" w:cs="Times New Roman"/>
          <w:sz w:val="24"/>
          <w:szCs w:val="24"/>
        </w:rPr>
        <w:t xml:space="preserve"> </w:t>
      </w:r>
      <w:r w:rsidR="007D0724">
        <w:rPr>
          <w:rFonts w:ascii="Times New Roman" w:hAnsi="Times New Roman" w:cs="Times New Roman"/>
          <w:sz w:val="24"/>
          <w:szCs w:val="24"/>
        </w:rPr>
        <w:t>les crédits contractés par des particuliers que</w:t>
      </w:r>
      <w:r>
        <w:rPr>
          <w:rFonts w:ascii="Times New Roman" w:hAnsi="Times New Roman" w:cs="Times New Roman"/>
          <w:sz w:val="24"/>
          <w:szCs w:val="24"/>
        </w:rPr>
        <w:t xml:space="preserve"> les crédits aux petites et moyennes entreprises</w:t>
      </w:r>
      <w:r w:rsidR="007D0724">
        <w:rPr>
          <w:rFonts w:ascii="Times New Roman" w:hAnsi="Times New Roman" w:cs="Times New Roman"/>
          <w:sz w:val="24"/>
          <w:szCs w:val="24"/>
        </w:rPr>
        <w:t xml:space="preserve"> inférieurs à un million d’euros</w:t>
      </w:r>
      <w:r w:rsidR="00FB21A5">
        <w:rPr>
          <w:rStyle w:val="Appelnotedebasdep"/>
          <w:rFonts w:ascii="Times New Roman" w:hAnsi="Times New Roman" w:cs="Times New Roman"/>
          <w:sz w:val="24"/>
          <w:szCs w:val="24"/>
        </w:rPr>
        <w:footnoteReference w:id="28"/>
      </w:r>
      <w:r w:rsidR="0059631D">
        <w:rPr>
          <w:rFonts w:ascii="Times New Roman" w:hAnsi="Times New Roman" w:cs="Times New Roman"/>
          <w:sz w:val="24"/>
          <w:szCs w:val="24"/>
        </w:rPr>
        <w:t>. Les prêts relevant du seul</w:t>
      </w:r>
      <w:r>
        <w:rPr>
          <w:rFonts w:ascii="Times New Roman" w:hAnsi="Times New Roman" w:cs="Times New Roman"/>
          <w:sz w:val="24"/>
          <w:szCs w:val="24"/>
        </w:rPr>
        <w:t xml:space="preserve"> droit commun seront en conséquence de moins en moins nombreux en pratique.</w:t>
      </w:r>
    </w:p>
    <w:sectPr w:rsidR="00D900D9" w:rsidRPr="00910D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19" w:rsidRDefault="004E3119" w:rsidP="00692529">
      <w:pPr>
        <w:spacing w:after="0" w:line="240" w:lineRule="auto"/>
      </w:pPr>
      <w:r>
        <w:separator/>
      </w:r>
    </w:p>
  </w:endnote>
  <w:endnote w:type="continuationSeparator" w:id="0">
    <w:p w:rsidR="004E3119" w:rsidRDefault="004E3119" w:rsidP="0069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12236"/>
      <w:docPartObj>
        <w:docPartGallery w:val="Page Numbers (Bottom of Page)"/>
        <w:docPartUnique/>
      </w:docPartObj>
    </w:sdtPr>
    <w:sdtEndPr/>
    <w:sdtContent>
      <w:p w:rsidR="006C1D10" w:rsidRDefault="006C1D10">
        <w:pPr>
          <w:pStyle w:val="Pieddepage"/>
          <w:jc w:val="center"/>
        </w:pPr>
        <w:r>
          <w:fldChar w:fldCharType="begin"/>
        </w:r>
        <w:r>
          <w:instrText>PAGE   \* MERGEFORMAT</w:instrText>
        </w:r>
        <w:r>
          <w:fldChar w:fldCharType="separate"/>
        </w:r>
        <w:r w:rsidR="00EF2FA8" w:rsidRPr="00EF2FA8">
          <w:rPr>
            <w:noProof/>
            <w:lang w:val="fr-FR"/>
          </w:rPr>
          <w:t>2</w:t>
        </w:r>
        <w:r>
          <w:fldChar w:fldCharType="end"/>
        </w:r>
      </w:p>
    </w:sdtContent>
  </w:sdt>
  <w:p w:rsidR="006C1D10" w:rsidRDefault="006C1D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19" w:rsidRDefault="004E3119" w:rsidP="00692529">
      <w:pPr>
        <w:spacing w:after="0" w:line="240" w:lineRule="auto"/>
      </w:pPr>
      <w:r>
        <w:separator/>
      </w:r>
    </w:p>
  </w:footnote>
  <w:footnote w:type="continuationSeparator" w:id="0">
    <w:p w:rsidR="004E3119" w:rsidRDefault="004E3119" w:rsidP="00692529">
      <w:pPr>
        <w:spacing w:after="0" w:line="240" w:lineRule="auto"/>
      </w:pPr>
      <w:r>
        <w:continuationSeparator/>
      </w:r>
    </w:p>
  </w:footnote>
  <w:footnote w:id="1">
    <w:p w:rsidR="003725E1" w:rsidRDefault="003725E1">
      <w:pPr>
        <w:pStyle w:val="Notedebasdepage"/>
      </w:pPr>
      <w:r>
        <w:rPr>
          <w:rStyle w:val="Appelnotedebasdep"/>
        </w:rPr>
        <w:footnoteRef/>
      </w:r>
      <w:r>
        <w:t xml:space="preserve"> </w:t>
      </w:r>
      <w:r w:rsidRPr="00371EA1">
        <w:rPr>
          <w:rFonts w:ascii="Times New Roman" w:hAnsi="Times New Roman" w:cs="Times New Roman"/>
        </w:rPr>
        <w:t xml:space="preserve">M.-D. WEINEBERGER et E. CAPITEYN, « Le sort du crédit et le transfert de l’hypothèque », </w:t>
      </w:r>
      <w:r w:rsidRPr="003120B7">
        <w:rPr>
          <w:rFonts w:ascii="Times New Roman" w:hAnsi="Times New Roman" w:cs="Times New Roman"/>
          <w:i/>
        </w:rPr>
        <w:t>Revue pratique de l’immobilier</w:t>
      </w:r>
      <w:r w:rsidRPr="00371EA1">
        <w:rPr>
          <w:rFonts w:ascii="Times New Roman" w:hAnsi="Times New Roman" w:cs="Times New Roman"/>
        </w:rPr>
        <w:t>, 2016/1</w:t>
      </w:r>
      <w:r>
        <w:rPr>
          <w:rFonts w:ascii="Times New Roman" w:hAnsi="Times New Roman" w:cs="Times New Roman"/>
        </w:rPr>
        <w:t>, p. 284, n° 14.</w:t>
      </w:r>
    </w:p>
  </w:footnote>
  <w:footnote w:id="2">
    <w:p w:rsidR="00AC4A2C" w:rsidRPr="00371EA1" w:rsidRDefault="00AC4A2C">
      <w:pPr>
        <w:pStyle w:val="Notedebasdepage"/>
        <w:rPr>
          <w:rFonts w:ascii="Times New Roman" w:hAnsi="Times New Roman" w:cs="Times New Roman"/>
        </w:rPr>
      </w:pPr>
      <w:r w:rsidRPr="00371EA1">
        <w:rPr>
          <w:rStyle w:val="Appelnotedebasdep"/>
          <w:rFonts w:ascii="Times New Roman" w:hAnsi="Times New Roman" w:cs="Times New Roman"/>
        </w:rPr>
        <w:footnoteRef/>
      </w:r>
      <w:r w:rsidR="005C6BAE">
        <w:rPr>
          <w:rFonts w:ascii="Times New Roman" w:hAnsi="Times New Roman" w:cs="Times New Roman"/>
        </w:rPr>
        <w:t xml:space="preserve"> </w:t>
      </w:r>
      <w:r w:rsidR="005C6BAE" w:rsidRPr="005C6BAE">
        <w:rPr>
          <w:rFonts w:ascii="Times New Roman" w:hAnsi="Times New Roman" w:cs="Times New Roman"/>
          <w:i/>
        </w:rPr>
        <w:t>Ibidem</w:t>
      </w:r>
      <w:r w:rsidRPr="00371EA1">
        <w:rPr>
          <w:rFonts w:ascii="Times New Roman" w:hAnsi="Times New Roman" w:cs="Times New Roman"/>
        </w:rPr>
        <w:t>.</w:t>
      </w:r>
    </w:p>
  </w:footnote>
  <w:footnote w:id="3">
    <w:p w:rsidR="003725E1" w:rsidRDefault="003725E1" w:rsidP="003725E1">
      <w:pPr>
        <w:pStyle w:val="Notedebasdepage"/>
        <w:jc w:val="both"/>
      </w:pPr>
      <w:r w:rsidRPr="003725E1">
        <w:rPr>
          <w:rStyle w:val="Appelnotedebasdep"/>
          <w:rFonts w:ascii="Times New Roman" w:hAnsi="Times New Roman" w:cs="Times New Roman"/>
        </w:rPr>
        <w:footnoteRef/>
      </w:r>
      <w:r w:rsidRPr="003725E1">
        <w:rPr>
          <w:rFonts w:ascii="Times New Roman" w:hAnsi="Times New Roman" w:cs="Times New Roman"/>
        </w:rPr>
        <w:t xml:space="preserve"> Sur la question de la qualification du contrat, </w:t>
      </w:r>
      <w:proofErr w:type="gramStart"/>
      <w:r w:rsidRPr="003725E1">
        <w:rPr>
          <w:rFonts w:ascii="Times New Roman" w:hAnsi="Times New Roman" w:cs="Times New Roman"/>
        </w:rPr>
        <w:t>voy.,</w:t>
      </w:r>
      <w:proofErr w:type="gramEnd"/>
      <w:r w:rsidRPr="003725E1">
        <w:rPr>
          <w:rFonts w:ascii="Times New Roman" w:hAnsi="Times New Roman" w:cs="Times New Roman"/>
        </w:rPr>
        <w:t xml:space="preserve"> notamment</w:t>
      </w:r>
      <w:r>
        <w:t xml:space="preserve"> </w:t>
      </w:r>
      <w:r w:rsidR="005C6BAE">
        <w:rPr>
          <w:rFonts w:ascii="Times New Roman" w:hAnsi="Times New Roman" w:cs="Times New Roman"/>
          <w:sz w:val="18"/>
          <w:szCs w:val="18"/>
        </w:rPr>
        <w:t xml:space="preserve">C. ALTER et </w:t>
      </w:r>
      <w:r w:rsidRPr="00B96634">
        <w:rPr>
          <w:rFonts w:ascii="Times New Roman" w:hAnsi="Times New Roman" w:cs="Times New Roman"/>
          <w:sz w:val="18"/>
          <w:szCs w:val="18"/>
        </w:rPr>
        <w:t>L. VAN MUYLEM, « Article 1907</w:t>
      </w:r>
      <w:r w:rsidRPr="00B96634">
        <w:rPr>
          <w:rFonts w:ascii="Times New Roman" w:hAnsi="Times New Roman" w:cs="Times New Roman"/>
          <w:i/>
          <w:sz w:val="18"/>
          <w:szCs w:val="18"/>
        </w:rPr>
        <w:t>bis</w:t>
      </w:r>
      <w:r w:rsidRPr="00B96634">
        <w:rPr>
          <w:rFonts w:ascii="Times New Roman" w:hAnsi="Times New Roman" w:cs="Times New Roman"/>
          <w:sz w:val="18"/>
          <w:szCs w:val="18"/>
        </w:rPr>
        <w:t xml:space="preserve"> du Code civil et (</w:t>
      </w:r>
      <w:proofErr w:type="spellStart"/>
      <w:r w:rsidRPr="00B96634">
        <w:rPr>
          <w:rFonts w:ascii="Times New Roman" w:hAnsi="Times New Roman" w:cs="Times New Roman"/>
          <w:sz w:val="18"/>
          <w:szCs w:val="18"/>
        </w:rPr>
        <w:t>re</w:t>
      </w:r>
      <w:proofErr w:type="spellEnd"/>
      <w:r w:rsidRPr="00B96634">
        <w:rPr>
          <w:rFonts w:ascii="Times New Roman" w:hAnsi="Times New Roman" w:cs="Times New Roman"/>
          <w:sz w:val="18"/>
          <w:szCs w:val="18"/>
        </w:rPr>
        <w:t xml:space="preserve">)qualification de l’ouverture de crédit », </w:t>
      </w:r>
      <w:r w:rsidRPr="00B96634">
        <w:rPr>
          <w:rFonts w:ascii="Times New Roman" w:hAnsi="Times New Roman" w:cs="Times New Roman"/>
          <w:i/>
          <w:sz w:val="18"/>
          <w:szCs w:val="18"/>
        </w:rPr>
        <w:t>R.D.C</w:t>
      </w:r>
      <w:r>
        <w:rPr>
          <w:rFonts w:ascii="Times New Roman" w:hAnsi="Times New Roman" w:cs="Times New Roman"/>
          <w:sz w:val="18"/>
          <w:szCs w:val="18"/>
        </w:rPr>
        <w:t xml:space="preserve">., 2015/2, p. 193 ; </w:t>
      </w:r>
      <w:r w:rsidR="00EF2FA8">
        <w:rPr>
          <w:rFonts w:ascii="Times New Roman" w:hAnsi="Times New Roman" w:cs="Times New Roman"/>
          <w:sz w:val="18"/>
          <w:szCs w:val="18"/>
          <w:lang w:val="fr-FR"/>
        </w:rPr>
        <w:t xml:space="preserve">D. BLOMMAERT et </w:t>
      </w:r>
      <w:r w:rsidRPr="00B96634">
        <w:rPr>
          <w:rFonts w:ascii="Times New Roman" w:hAnsi="Times New Roman" w:cs="Times New Roman"/>
          <w:sz w:val="18"/>
          <w:szCs w:val="18"/>
          <w:lang w:val="fr-FR"/>
        </w:rPr>
        <w:t xml:space="preserve"> J. VANNEROM, </w:t>
      </w:r>
      <w:r w:rsidRPr="00B96634">
        <w:rPr>
          <w:rFonts w:ascii="Times New Roman" w:hAnsi="Times New Roman" w:cs="Times New Roman"/>
          <w:sz w:val="18"/>
          <w:szCs w:val="18"/>
        </w:rPr>
        <w:t xml:space="preserve">« De </w:t>
      </w:r>
      <w:proofErr w:type="spellStart"/>
      <w:r w:rsidRPr="00B96634">
        <w:rPr>
          <w:rFonts w:ascii="Times New Roman" w:hAnsi="Times New Roman" w:cs="Times New Roman"/>
          <w:sz w:val="18"/>
          <w:szCs w:val="18"/>
        </w:rPr>
        <w:t>geldlening</w:t>
      </w:r>
      <w:proofErr w:type="spellEnd"/>
      <w:r w:rsidRPr="00B96634">
        <w:rPr>
          <w:rFonts w:ascii="Times New Roman" w:hAnsi="Times New Roman" w:cs="Times New Roman"/>
          <w:sz w:val="18"/>
          <w:szCs w:val="18"/>
        </w:rPr>
        <w:t xml:space="preserve"> op </w:t>
      </w:r>
      <w:proofErr w:type="spellStart"/>
      <w:r w:rsidRPr="00B96634">
        <w:rPr>
          <w:rFonts w:ascii="Times New Roman" w:hAnsi="Times New Roman" w:cs="Times New Roman"/>
          <w:sz w:val="18"/>
          <w:szCs w:val="18"/>
        </w:rPr>
        <w:t>interest</w:t>
      </w:r>
      <w:proofErr w:type="spellEnd"/>
      <w:r w:rsidRPr="00B96634">
        <w:rPr>
          <w:rFonts w:ascii="Times New Roman" w:hAnsi="Times New Roman" w:cs="Times New Roman"/>
          <w:sz w:val="18"/>
          <w:szCs w:val="18"/>
        </w:rPr>
        <w:t xml:space="preserve"> en de niet-</w:t>
      </w:r>
      <w:proofErr w:type="spellStart"/>
      <w:r w:rsidRPr="00B96634">
        <w:rPr>
          <w:rFonts w:ascii="Times New Roman" w:hAnsi="Times New Roman" w:cs="Times New Roman"/>
          <w:sz w:val="18"/>
          <w:szCs w:val="18"/>
        </w:rPr>
        <w:t>wederopneembare</w:t>
      </w:r>
      <w:proofErr w:type="spellEnd"/>
      <w:r w:rsidRPr="00B96634">
        <w:rPr>
          <w:rFonts w:ascii="Times New Roman" w:hAnsi="Times New Roman" w:cs="Times New Roman"/>
          <w:sz w:val="18"/>
          <w:szCs w:val="18"/>
        </w:rPr>
        <w:t xml:space="preserve"> </w:t>
      </w:r>
      <w:proofErr w:type="spellStart"/>
      <w:r w:rsidRPr="00B96634">
        <w:rPr>
          <w:rFonts w:ascii="Times New Roman" w:hAnsi="Times New Roman" w:cs="Times New Roman"/>
          <w:sz w:val="18"/>
          <w:szCs w:val="18"/>
        </w:rPr>
        <w:t>kredietopening</w:t>
      </w:r>
      <w:proofErr w:type="spellEnd"/>
      <w:r w:rsidRPr="00B96634">
        <w:rPr>
          <w:rFonts w:ascii="Times New Roman" w:hAnsi="Times New Roman" w:cs="Times New Roman"/>
          <w:sz w:val="18"/>
          <w:szCs w:val="18"/>
        </w:rPr>
        <w:t xml:space="preserve">: </w:t>
      </w:r>
      <w:proofErr w:type="spellStart"/>
      <w:r w:rsidRPr="00B96634">
        <w:rPr>
          <w:rFonts w:ascii="Times New Roman" w:hAnsi="Times New Roman" w:cs="Times New Roman"/>
          <w:sz w:val="18"/>
          <w:szCs w:val="18"/>
        </w:rPr>
        <w:t>verwant</w:t>
      </w:r>
      <w:proofErr w:type="spellEnd"/>
      <w:r w:rsidRPr="00B96634">
        <w:rPr>
          <w:rFonts w:ascii="Times New Roman" w:hAnsi="Times New Roman" w:cs="Times New Roman"/>
          <w:sz w:val="18"/>
          <w:szCs w:val="18"/>
        </w:rPr>
        <w:t xml:space="preserve"> of </w:t>
      </w:r>
      <w:proofErr w:type="spellStart"/>
      <w:r w:rsidRPr="00B96634">
        <w:rPr>
          <w:rFonts w:ascii="Times New Roman" w:hAnsi="Times New Roman" w:cs="Times New Roman"/>
          <w:sz w:val="18"/>
          <w:szCs w:val="18"/>
        </w:rPr>
        <w:t>toch</w:t>
      </w:r>
      <w:proofErr w:type="spellEnd"/>
      <w:r w:rsidRPr="00B96634">
        <w:rPr>
          <w:rFonts w:ascii="Times New Roman" w:hAnsi="Times New Roman" w:cs="Times New Roman"/>
          <w:sz w:val="18"/>
          <w:szCs w:val="18"/>
        </w:rPr>
        <w:t xml:space="preserve"> </w:t>
      </w:r>
      <w:proofErr w:type="spellStart"/>
      <w:r w:rsidRPr="00B96634">
        <w:rPr>
          <w:rFonts w:ascii="Times New Roman" w:hAnsi="Times New Roman" w:cs="Times New Roman"/>
          <w:sz w:val="18"/>
          <w:szCs w:val="18"/>
        </w:rPr>
        <w:t>verschillend</w:t>
      </w:r>
      <w:proofErr w:type="spellEnd"/>
      <w:r w:rsidRPr="00B96634">
        <w:rPr>
          <w:rFonts w:ascii="Times New Roman" w:hAnsi="Times New Roman" w:cs="Times New Roman"/>
          <w:sz w:val="18"/>
          <w:szCs w:val="18"/>
        </w:rPr>
        <w:t xml:space="preserve">? </w:t>
      </w:r>
      <w:proofErr w:type="spellStart"/>
      <w:r w:rsidRPr="00B96634">
        <w:rPr>
          <w:rFonts w:ascii="Times New Roman" w:hAnsi="Times New Roman" w:cs="Times New Roman"/>
          <w:sz w:val="18"/>
          <w:szCs w:val="18"/>
          <w:lang w:val="fr-FR"/>
        </w:rPr>
        <w:t>Mijmeringen</w:t>
      </w:r>
      <w:proofErr w:type="spellEnd"/>
      <w:r w:rsidRPr="00B96634">
        <w:rPr>
          <w:rFonts w:ascii="Times New Roman" w:hAnsi="Times New Roman" w:cs="Times New Roman"/>
          <w:sz w:val="18"/>
          <w:szCs w:val="18"/>
          <w:lang w:val="fr-FR"/>
        </w:rPr>
        <w:t xml:space="preserve"> </w:t>
      </w:r>
      <w:proofErr w:type="spellStart"/>
      <w:r w:rsidRPr="00B96634">
        <w:rPr>
          <w:rFonts w:ascii="Times New Roman" w:hAnsi="Times New Roman" w:cs="Times New Roman"/>
          <w:sz w:val="18"/>
          <w:szCs w:val="18"/>
          <w:lang w:val="fr-FR"/>
        </w:rPr>
        <w:t>bij</w:t>
      </w:r>
      <w:proofErr w:type="spellEnd"/>
      <w:r w:rsidRPr="00B96634">
        <w:rPr>
          <w:rFonts w:ascii="Times New Roman" w:hAnsi="Times New Roman" w:cs="Times New Roman"/>
          <w:sz w:val="18"/>
          <w:szCs w:val="18"/>
          <w:lang w:val="fr-FR"/>
        </w:rPr>
        <w:t xml:space="preserve"> het </w:t>
      </w:r>
      <w:proofErr w:type="spellStart"/>
      <w:r w:rsidRPr="00B96634">
        <w:rPr>
          <w:rFonts w:ascii="Times New Roman" w:hAnsi="Times New Roman" w:cs="Times New Roman"/>
          <w:sz w:val="18"/>
          <w:szCs w:val="18"/>
          <w:lang w:val="fr-FR"/>
        </w:rPr>
        <w:t>standpunt</w:t>
      </w:r>
      <w:proofErr w:type="spellEnd"/>
      <w:r w:rsidRPr="00B96634">
        <w:rPr>
          <w:rFonts w:ascii="Times New Roman" w:hAnsi="Times New Roman" w:cs="Times New Roman"/>
          <w:sz w:val="18"/>
          <w:szCs w:val="18"/>
          <w:lang w:val="fr-FR"/>
        </w:rPr>
        <w:t xml:space="preserve"> van het </w:t>
      </w:r>
      <w:proofErr w:type="spellStart"/>
      <w:r w:rsidRPr="00B96634">
        <w:rPr>
          <w:rFonts w:ascii="Times New Roman" w:hAnsi="Times New Roman" w:cs="Times New Roman"/>
          <w:sz w:val="18"/>
          <w:szCs w:val="18"/>
          <w:lang w:val="fr-FR"/>
        </w:rPr>
        <w:t>Grondwettelijk</w:t>
      </w:r>
      <w:proofErr w:type="spellEnd"/>
      <w:r w:rsidRPr="00B96634">
        <w:rPr>
          <w:rFonts w:ascii="Times New Roman" w:hAnsi="Times New Roman" w:cs="Times New Roman"/>
          <w:sz w:val="18"/>
          <w:szCs w:val="18"/>
          <w:lang w:val="fr-FR"/>
        </w:rPr>
        <w:t xml:space="preserve"> Hof », in </w:t>
      </w:r>
      <w:r w:rsidRPr="00B96634">
        <w:rPr>
          <w:rFonts w:ascii="Times New Roman" w:hAnsi="Times New Roman" w:cs="Times New Roman"/>
          <w:i/>
          <w:iCs/>
          <w:sz w:val="18"/>
          <w:szCs w:val="18"/>
          <w:lang w:val="fr-FR"/>
        </w:rPr>
        <w:t xml:space="preserve">Liber </w:t>
      </w:r>
      <w:proofErr w:type="spellStart"/>
      <w:r w:rsidRPr="00B96634">
        <w:rPr>
          <w:rFonts w:ascii="Times New Roman" w:hAnsi="Times New Roman" w:cs="Times New Roman"/>
          <w:i/>
          <w:iCs/>
          <w:sz w:val="18"/>
          <w:szCs w:val="18"/>
          <w:lang w:val="fr-FR"/>
        </w:rPr>
        <w:t>Amicorum</w:t>
      </w:r>
      <w:proofErr w:type="spellEnd"/>
      <w:r w:rsidRPr="00B96634">
        <w:rPr>
          <w:rFonts w:ascii="Times New Roman" w:hAnsi="Times New Roman" w:cs="Times New Roman"/>
          <w:i/>
          <w:iCs/>
          <w:sz w:val="18"/>
          <w:szCs w:val="18"/>
          <w:lang w:val="fr-FR"/>
        </w:rPr>
        <w:t xml:space="preserve"> François </w:t>
      </w:r>
      <w:proofErr w:type="spellStart"/>
      <w:r w:rsidRPr="00B96634">
        <w:rPr>
          <w:rFonts w:ascii="Times New Roman" w:hAnsi="Times New Roman" w:cs="Times New Roman"/>
          <w:i/>
          <w:iCs/>
          <w:sz w:val="18"/>
          <w:szCs w:val="18"/>
          <w:lang w:val="fr-FR"/>
        </w:rPr>
        <w:t>Glansdorff</w:t>
      </w:r>
      <w:proofErr w:type="spellEnd"/>
      <w:r w:rsidRPr="00B96634">
        <w:rPr>
          <w:rFonts w:ascii="Times New Roman" w:hAnsi="Times New Roman" w:cs="Times New Roman"/>
          <w:i/>
          <w:iCs/>
          <w:sz w:val="18"/>
          <w:szCs w:val="18"/>
          <w:lang w:val="fr-FR"/>
        </w:rPr>
        <w:t xml:space="preserve"> et Pierre Legros</w:t>
      </w:r>
      <w:r w:rsidRPr="00B96634">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Bruxelles, </w:t>
      </w:r>
      <w:r w:rsidRPr="00B96634">
        <w:rPr>
          <w:rFonts w:ascii="Times New Roman" w:hAnsi="Times New Roman" w:cs="Times New Roman"/>
          <w:sz w:val="18"/>
          <w:szCs w:val="18"/>
          <w:lang w:val="fr-FR"/>
        </w:rPr>
        <w:t>Bruylant, 2014, pp.</w:t>
      </w:r>
      <w:r>
        <w:rPr>
          <w:rFonts w:ascii="Times New Roman" w:hAnsi="Times New Roman" w:cs="Times New Roman"/>
          <w:sz w:val="18"/>
          <w:szCs w:val="18"/>
          <w:lang w:val="fr-FR"/>
        </w:rPr>
        <w:t xml:space="preserve"> </w:t>
      </w:r>
      <w:r w:rsidRPr="00B96634">
        <w:rPr>
          <w:rFonts w:ascii="Times New Roman" w:hAnsi="Times New Roman" w:cs="Times New Roman"/>
          <w:sz w:val="18"/>
          <w:szCs w:val="18"/>
          <w:lang w:val="fr-FR"/>
        </w:rPr>
        <w:t>69-90</w:t>
      </w:r>
      <w:r>
        <w:rPr>
          <w:rFonts w:ascii="Times New Roman" w:hAnsi="Times New Roman" w:cs="Times New Roman"/>
          <w:sz w:val="18"/>
          <w:szCs w:val="18"/>
          <w:lang w:val="fr-FR"/>
        </w:rPr>
        <w:t>.</w:t>
      </w:r>
    </w:p>
  </w:footnote>
  <w:footnote w:id="4">
    <w:p w:rsidR="00AF6A5A" w:rsidRDefault="00AF6A5A" w:rsidP="00AF6A5A">
      <w:pPr>
        <w:pStyle w:val="Notedebasdepage"/>
        <w:jc w:val="both"/>
      </w:pPr>
      <w:r>
        <w:rPr>
          <w:rStyle w:val="Appelnotedebasdep"/>
        </w:rPr>
        <w:footnoteRef/>
      </w:r>
      <w:r>
        <w:t xml:space="preserve"> </w:t>
      </w:r>
      <w:r w:rsidRPr="00AF6A5A">
        <w:rPr>
          <w:rFonts w:ascii="Times New Roman" w:hAnsi="Times New Roman" w:cs="Times New Roman"/>
        </w:rPr>
        <w:t>Voy.</w:t>
      </w:r>
      <w:r w:rsidR="005C6BAE">
        <w:rPr>
          <w:rFonts w:ascii="Times New Roman" w:hAnsi="Times New Roman" w:cs="Times New Roman"/>
        </w:rPr>
        <w:t>, notamment,</w:t>
      </w:r>
      <w:r w:rsidRPr="00AF6A5A">
        <w:rPr>
          <w:rFonts w:ascii="Times New Roman" w:hAnsi="Times New Roman" w:cs="Times New Roman"/>
        </w:rPr>
        <w:t xml:space="preserve"> Bruxelles, 27 septembre 2012, </w:t>
      </w:r>
      <w:r w:rsidRPr="00AF6A5A">
        <w:rPr>
          <w:rFonts w:ascii="Times New Roman" w:hAnsi="Times New Roman" w:cs="Times New Roman"/>
          <w:i/>
        </w:rPr>
        <w:t xml:space="preserve">FF-Dr. banc. </w:t>
      </w:r>
      <w:proofErr w:type="gramStart"/>
      <w:r w:rsidRPr="00AF6A5A">
        <w:rPr>
          <w:rFonts w:ascii="Times New Roman" w:hAnsi="Times New Roman" w:cs="Times New Roman"/>
          <w:i/>
        </w:rPr>
        <w:t>fin</w:t>
      </w:r>
      <w:r w:rsidRPr="00AF6A5A">
        <w:rPr>
          <w:rFonts w:ascii="Times New Roman" w:hAnsi="Times New Roman" w:cs="Times New Roman"/>
        </w:rPr>
        <w:t>.,</w:t>
      </w:r>
      <w:proofErr w:type="gramEnd"/>
      <w:r w:rsidRPr="00AF6A5A">
        <w:rPr>
          <w:rFonts w:ascii="Times New Roman" w:hAnsi="Times New Roman" w:cs="Times New Roman"/>
        </w:rPr>
        <w:t xml:space="preserve"> 2014/I-II, p. 53</w:t>
      </w:r>
      <w:r w:rsidR="005C6BAE">
        <w:rPr>
          <w:rFonts w:ascii="Times New Roman" w:hAnsi="Times New Roman" w:cs="Times New Roman"/>
        </w:rPr>
        <w:t xml:space="preserve"> (spécialement p.</w:t>
      </w:r>
      <w:r w:rsidR="00924D0A">
        <w:rPr>
          <w:rFonts w:ascii="Times New Roman" w:hAnsi="Times New Roman" w:cs="Times New Roman"/>
        </w:rPr>
        <w:t xml:space="preserve"> 56)</w:t>
      </w:r>
      <w:r w:rsidRPr="00AF6A5A">
        <w:rPr>
          <w:rFonts w:ascii="Times New Roman" w:hAnsi="Times New Roman" w:cs="Times New Roman"/>
        </w:rPr>
        <w:t xml:space="preserve">, note M.-D. WEINEBERGER ; Bruxelles, 8 février 2013, </w:t>
      </w:r>
      <w:r w:rsidRPr="00AF6A5A">
        <w:rPr>
          <w:rFonts w:ascii="Times New Roman" w:hAnsi="Times New Roman" w:cs="Times New Roman"/>
          <w:i/>
        </w:rPr>
        <w:t>D.A.O.R</w:t>
      </w:r>
      <w:r w:rsidRPr="00AF6A5A">
        <w:rPr>
          <w:rFonts w:ascii="Times New Roman" w:hAnsi="Times New Roman" w:cs="Times New Roman"/>
        </w:rPr>
        <w:t>., 2013, p. 308.</w:t>
      </w:r>
    </w:p>
  </w:footnote>
  <w:footnote w:id="5">
    <w:p w:rsidR="0020512E" w:rsidRDefault="0020512E" w:rsidP="005C6BAE">
      <w:pPr>
        <w:pStyle w:val="Notedebasdepage"/>
        <w:jc w:val="both"/>
      </w:pPr>
      <w:r>
        <w:rPr>
          <w:rStyle w:val="Appelnotedebasdep"/>
        </w:rPr>
        <w:footnoteRef/>
      </w:r>
      <w:r>
        <w:t xml:space="preserve"> </w:t>
      </w:r>
      <w:r w:rsidRPr="00145BA5">
        <w:rPr>
          <w:rFonts w:ascii="Times New Roman" w:hAnsi="Times New Roman" w:cs="Times New Roman"/>
        </w:rPr>
        <w:t>D. BLOMM</w:t>
      </w:r>
      <w:r w:rsidR="005C6BAE">
        <w:rPr>
          <w:rFonts w:ascii="Times New Roman" w:hAnsi="Times New Roman" w:cs="Times New Roman"/>
        </w:rPr>
        <w:t>AERT e</w:t>
      </w:r>
      <w:r w:rsidR="00EF2FA8">
        <w:rPr>
          <w:rFonts w:ascii="Times New Roman" w:hAnsi="Times New Roman" w:cs="Times New Roman"/>
        </w:rPr>
        <w:t>t C. ALTER</w:t>
      </w:r>
      <w:r w:rsidRPr="00145BA5">
        <w:rPr>
          <w:rFonts w:ascii="Times New Roman" w:hAnsi="Times New Roman" w:cs="Times New Roman"/>
        </w:rPr>
        <w:t xml:space="preserve">, </w:t>
      </w:r>
      <w:r w:rsidR="00EF2FA8" w:rsidRPr="00145BA5">
        <w:rPr>
          <w:rFonts w:ascii="Times New Roman" w:hAnsi="Times New Roman" w:cs="Times New Roman"/>
        </w:rPr>
        <w:t xml:space="preserve">« Le droit du crédit – La loi du 21 décembre 2013 sur le financement des PME », </w:t>
      </w:r>
      <w:bookmarkStart w:id="0" w:name="_GoBack"/>
      <w:bookmarkEnd w:id="0"/>
      <w:r w:rsidRPr="00145BA5">
        <w:rPr>
          <w:rFonts w:ascii="Times New Roman" w:hAnsi="Times New Roman" w:cs="Times New Roman"/>
          <w:i/>
        </w:rPr>
        <w:t>in Les petites et moyennes entreprises dans le droit des affaires</w:t>
      </w:r>
      <w:r w:rsidRPr="00145BA5">
        <w:rPr>
          <w:rFonts w:ascii="Times New Roman" w:hAnsi="Times New Roman" w:cs="Times New Roman"/>
        </w:rPr>
        <w:t>, Bruylant, 2016, p.</w:t>
      </w:r>
      <w:r w:rsidR="00A7416D">
        <w:rPr>
          <w:rFonts w:ascii="Times New Roman" w:hAnsi="Times New Roman" w:cs="Times New Roman"/>
        </w:rPr>
        <w:t>71, n° 37</w:t>
      </w:r>
      <w:r w:rsidR="002C6C37">
        <w:rPr>
          <w:rFonts w:ascii="Times New Roman" w:hAnsi="Times New Roman" w:cs="Times New Roman"/>
        </w:rPr>
        <w:t>.</w:t>
      </w:r>
    </w:p>
  </w:footnote>
  <w:footnote w:id="6">
    <w:p w:rsidR="003120B7" w:rsidRPr="003120B7" w:rsidRDefault="003120B7">
      <w:pPr>
        <w:pStyle w:val="Notedebasdepage"/>
        <w:rPr>
          <w:rFonts w:ascii="Times New Roman" w:hAnsi="Times New Roman" w:cs="Times New Roman"/>
        </w:rPr>
      </w:pPr>
      <w:r w:rsidRPr="003120B7">
        <w:rPr>
          <w:rStyle w:val="Appelnotedebasdep"/>
          <w:rFonts w:ascii="Times New Roman" w:hAnsi="Times New Roman" w:cs="Times New Roman"/>
        </w:rPr>
        <w:footnoteRef/>
      </w:r>
      <w:r w:rsidRPr="003120B7">
        <w:rPr>
          <w:rFonts w:ascii="Times New Roman" w:hAnsi="Times New Roman" w:cs="Times New Roman"/>
        </w:rPr>
        <w:t xml:space="preserve"> C. </w:t>
      </w:r>
      <w:proofErr w:type="spellStart"/>
      <w:r w:rsidRPr="003120B7">
        <w:rPr>
          <w:rFonts w:ascii="Times New Roman" w:hAnsi="Times New Roman" w:cs="Times New Roman"/>
        </w:rPr>
        <w:t>Const</w:t>
      </w:r>
      <w:proofErr w:type="spellEnd"/>
      <w:r w:rsidRPr="003120B7">
        <w:rPr>
          <w:rFonts w:ascii="Times New Roman" w:hAnsi="Times New Roman" w:cs="Times New Roman"/>
        </w:rPr>
        <w:t xml:space="preserve">., 7 août 2013, n° 119/2013, </w:t>
      </w:r>
      <w:r w:rsidRPr="003120B7">
        <w:rPr>
          <w:rFonts w:ascii="Times New Roman" w:hAnsi="Times New Roman" w:cs="Times New Roman"/>
          <w:i/>
        </w:rPr>
        <w:t>J.T</w:t>
      </w:r>
      <w:r w:rsidRPr="003120B7">
        <w:rPr>
          <w:rFonts w:ascii="Times New Roman" w:hAnsi="Times New Roman" w:cs="Times New Roman"/>
        </w:rPr>
        <w:t>., 2013, p. 717, note J. CATTARUZZA.</w:t>
      </w:r>
    </w:p>
  </w:footnote>
  <w:footnote w:id="7">
    <w:p w:rsidR="003120B7" w:rsidRPr="003120B7" w:rsidRDefault="003120B7" w:rsidP="005C6BAE">
      <w:pPr>
        <w:pStyle w:val="Notedebasdepage"/>
        <w:jc w:val="both"/>
        <w:rPr>
          <w:rFonts w:ascii="Times New Roman" w:hAnsi="Times New Roman" w:cs="Times New Roman"/>
        </w:rPr>
      </w:pPr>
      <w:r w:rsidRPr="003120B7">
        <w:rPr>
          <w:rStyle w:val="Appelnotedebasdep"/>
          <w:rFonts w:ascii="Times New Roman" w:hAnsi="Times New Roman" w:cs="Times New Roman"/>
        </w:rPr>
        <w:footnoteRef/>
      </w:r>
      <w:r w:rsidRPr="003120B7">
        <w:rPr>
          <w:rFonts w:ascii="Times New Roman" w:hAnsi="Times New Roman" w:cs="Times New Roman"/>
        </w:rPr>
        <w:t xml:space="preserve"> C. BIQUET-MATHIEU</w:t>
      </w:r>
      <w:r w:rsidR="00E408CF">
        <w:rPr>
          <w:rFonts w:ascii="Times New Roman" w:hAnsi="Times New Roman" w:cs="Times New Roman"/>
        </w:rPr>
        <w:t xml:space="preserve"> et F. RENSON</w:t>
      </w:r>
      <w:r w:rsidRPr="003120B7">
        <w:rPr>
          <w:rFonts w:ascii="Times New Roman" w:hAnsi="Times New Roman" w:cs="Times New Roman"/>
        </w:rPr>
        <w:t xml:space="preserve">, « Clauses abusives et pratiques réglementées », </w:t>
      </w:r>
      <w:r w:rsidRPr="003120B7">
        <w:rPr>
          <w:rFonts w:ascii="Times New Roman" w:hAnsi="Times New Roman" w:cs="Times New Roman"/>
          <w:i/>
        </w:rPr>
        <w:t>in Crédit aux consommateurs et aux PME</w:t>
      </w:r>
      <w:r w:rsidRPr="003120B7">
        <w:rPr>
          <w:rFonts w:ascii="Times New Roman" w:hAnsi="Times New Roman" w:cs="Times New Roman"/>
        </w:rPr>
        <w:t>, CUP, vol. 170, Bruxelles, Larcier, 2016, p. 314, n° 80.</w:t>
      </w:r>
    </w:p>
  </w:footnote>
  <w:footnote w:id="8">
    <w:p w:rsidR="00145BA5" w:rsidRPr="00145BA5" w:rsidRDefault="00145BA5" w:rsidP="00145BA5">
      <w:pPr>
        <w:pStyle w:val="Notedebasdepage"/>
        <w:jc w:val="both"/>
        <w:rPr>
          <w:rFonts w:ascii="Times New Roman" w:hAnsi="Times New Roman" w:cs="Times New Roman"/>
        </w:rPr>
      </w:pPr>
      <w:r w:rsidRPr="00145BA5">
        <w:rPr>
          <w:rStyle w:val="Appelnotedebasdep"/>
          <w:rFonts w:ascii="Times New Roman" w:hAnsi="Times New Roman" w:cs="Times New Roman"/>
        </w:rPr>
        <w:footnoteRef/>
      </w:r>
      <w:r w:rsidRPr="00145BA5">
        <w:rPr>
          <w:rFonts w:ascii="Times New Roman" w:hAnsi="Times New Roman" w:cs="Times New Roman"/>
        </w:rPr>
        <w:t xml:space="preserve"> D. BLOMM</w:t>
      </w:r>
      <w:r w:rsidR="005C6BAE">
        <w:rPr>
          <w:rFonts w:ascii="Times New Roman" w:hAnsi="Times New Roman" w:cs="Times New Roman"/>
        </w:rPr>
        <w:t xml:space="preserve">AERT et C. ALTER, </w:t>
      </w:r>
      <w:r w:rsidR="005C6BAE" w:rsidRPr="005C6BAE">
        <w:rPr>
          <w:rFonts w:ascii="Times New Roman" w:hAnsi="Times New Roman" w:cs="Times New Roman"/>
          <w:i/>
        </w:rPr>
        <w:t>op.cit</w:t>
      </w:r>
      <w:r w:rsidR="005C6BAE">
        <w:rPr>
          <w:rFonts w:ascii="Times New Roman" w:hAnsi="Times New Roman" w:cs="Times New Roman"/>
        </w:rPr>
        <w:t>.</w:t>
      </w:r>
      <w:r w:rsidRPr="00145BA5">
        <w:rPr>
          <w:rFonts w:ascii="Times New Roman" w:hAnsi="Times New Roman" w:cs="Times New Roman"/>
        </w:rPr>
        <w:t xml:space="preserve">, </w:t>
      </w:r>
      <w:r w:rsidRPr="00145BA5">
        <w:rPr>
          <w:rFonts w:ascii="Times New Roman" w:hAnsi="Times New Roman" w:cs="Times New Roman"/>
          <w:i/>
        </w:rPr>
        <w:t>in Les petites et moyennes entreprises dans le droit des affaires</w:t>
      </w:r>
      <w:r w:rsidRPr="00145BA5">
        <w:rPr>
          <w:rFonts w:ascii="Times New Roman" w:hAnsi="Times New Roman" w:cs="Times New Roman"/>
        </w:rPr>
        <w:t>, Bruylant, 2016, p. 72, n° 38 et références citées.</w:t>
      </w:r>
    </w:p>
  </w:footnote>
  <w:footnote w:id="9">
    <w:p w:rsidR="00692529" w:rsidRPr="00692529" w:rsidRDefault="00692529">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Nous n’abordons pas ici les régimes spécifiques prévus par la loi du 21 décembre 2013 relative au financement des petites et moyennes entreprises ni les législations consuméristes</w:t>
      </w:r>
      <w:r w:rsidR="006C1D10">
        <w:rPr>
          <w:rFonts w:ascii="Times New Roman" w:hAnsi="Times New Roman" w:cs="Times New Roman"/>
        </w:rPr>
        <w:t xml:space="preserve"> relatives au crédit hypothécaire et au crédit à la consommation insérées dans le Livre VII du Code de droit économique</w:t>
      </w:r>
    </w:p>
  </w:footnote>
  <w:footnote w:id="10">
    <w:p w:rsidR="000E1316" w:rsidRDefault="000E1316">
      <w:pPr>
        <w:pStyle w:val="Notedebasdepage"/>
      </w:pPr>
      <w:r>
        <w:rPr>
          <w:rStyle w:val="Appelnotedebasdep"/>
        </w:rPr>
        <w:footnoteRef/>
      </w:r>
      <w:r>
        <w:t xml:space="preserve"> </w:t>
      </w:r>
      <w:r w:rsidRPr="000E1316">
        <w:rPr>
          <w:rFonts w:ascii="Times New Roman" w:hAnsi="Times New Roman" w:cs="Times New Roman"/>
        </w:rPr>
        <w:t>Voy., en ce sens,</w:t>
      </w:r>
      <w:r>
        <w:t xml:space="preserve"> </w:t>
      </w:r>
      <w:r w:rsidRPr="0070543B">
        <w:rPr>
          <w:rFonts w:ascii="Times New Roman" w:hAnsi="Times New Roman" w:cs="Times New Roman"/>
        </w:rPr>
        <w:t xml:space="preserve">Ch. BIQUET-MATHIEU, </w:t>
      </w:r>
      <w:r>
        <w:rPr>
          <w:rFonts w:ascii="Times New Roman" w:hAnsi="Times New Roman" w:cs="Times New Roman"/>
        </w:rPr>
        <w:t>« </w:t>
      </w:r>
      <w:r w:rsidRPr="0070543B">
        <w:rPr>
          <w:rFonts w:ascii="Times New Roman" w:hAnsi="Times New Roman" w:cs="Times New Roman"/>
        </w:rPr>
        <w:t>Crédit hypothécaire et crédit d’investissement –</w:t>
      </w:r>
      <w:r w:rsidR="00EF2FA8">
        <w:rPr>
          <w:rFonts w:ascii="Times New Roman" w:hAnsi="Times New Roman" w:cs="Times New Roman"/>
        </w:rPr>
        <w:t xml:space="preserve"> </w:t>
      </w:r>
      <w:r w:rsidRPr="0070543B">
        <w:rPr>
          <w:rFonts w:ascii="Times New Roman" w:hAnsi="Times New Roman" w:cs="Times New Roman"/>
        </w:rPr>
        <w:t>Indemnités, frais et pénalités</w:t>
      </w:r>
      <w:r>
        <w:rPr>
          <w:rFonts w:ascii="Times New Roman" w:hAnsi="Times New Roman" w:cs="Times New Roman"/>
        </w:rPr>
        <w:t> »</w:t>
      </w:r>
      <w:r w:rsidRPr="0070543B">
        <w:rPr>
          <w:rFonts w:ascii="Times New Roman" w:hAnsi="Times New Roman" w:cs="Times New Roman"/>
        </w:rPr>
        <w:t xml:space="preserve">, </w:t>
      </w:r>
      <w:r w:rsidRPr="00F914C5">
        <w:rPr>
          <w:rFonts w:ascii="Times New Roman" w:hAnsi="Times New Roman" w:cs="Times New Roman"/>
          <w:i/>
        </w:rPr>
        <w:t>in Le crédit hypothécaire –</w:t>
      </w:r>
      <w:r w:rsidR="00EF2FA8">
        <w:rPr>
          <w:rFonts w:ascii="Times New Roman" w:hAnsi="Times New Roman" w:cs="Times New Roman"/>
          <w:i/>
        </w:rPr>
        <w:t xml:space="preserve"> </w:t>
      </w:r>
      <w:r w:rsidRPr="00F914C5">
        <w:rPr>
          <w:rFonts w:ascii="Times New Roman" w:hAnsi="Times New Roman" w:cs="Times New Roman"/>
          <w:i/>
        </w:rPr>
        <w:t>Actualités et réponses pour la pratique</w:t>
      </w:r>
      <w:r w:rsidRPr="0070543B">
        <w:rPr>
          <w:rFonts w:ascii="Times New Roman" w:hAnsi="Times New Roman" w:cs="Times New Roman"/>
        </w:rPr>
        <w:t>, Liège, Anthémis, 2015, p.</w:t>
      </w:r>
      <w:r>
        <w:rPr>
          <w:rFonts w:ascii="Times New Roman" w:hAnsi="Times New Roman" w:cs="Times New Roman"/>
        </w:rPr>
        <w:t>141, n° 54.</w:t>
      </w:r>
    </w:p>
  </w:footnote>
  <w:footnote w:id="11">
    <w:p w:rsidR="00756093" w:rsidRPr="00FD4DB7" w:rsidRDefault="00756093" w:rsidP="00756093">
      <w:pPr>
        <w:pStyle w:val="Notedebasdepage"/>
        <w:rPr>
          <w:rFonts w:ascii="Times New Roman" w:hAnsi="Times New Roman" w:cs="Times New Roman"/>
        </w:rPr>
      </w:pPr>
      <w:r w:rsidRPr="00FD4DB7">
        <w:rPr>
          <w:rStyle w:val="Appelnotedebasdep"/>
          <w:rFonts w:ascii="Times New Roman" w:hAnsi="Times New Roman" w:cs="Times New Roman"/>
        </w:rPr>
        <w:footnoteRef/>
      </w:r>
      <w:r w:rsidRPr="00FD4DB7">
        <w:rPr>
          <w:rFonts w:ascii="Times New Roman" w:hAnsi="Times New Roman" w:cs="Times New Roman"/>
        </w:rPr>
        <w:t xml:space="preserve"> Bruxelles, 9</w:t>
      </w:r>
      <w:r w:rsidRPr="00FD4DB7">
        <w:rPr>
          <w:rFonts w:ascii="Times New Roman" w:hAnsi="Times New Roman" w:cs="Times New Roman"/>
          <w:vertAlign w:val="superscript"/>
        </w:rPr>
        <w:t>e</w:t>
      </w:r>
      <w:r w:rsidRPr="00FD4DB7">
        <w:rPr>
          <w:rFonts w:ascii="Times New Roman" w:hAnsi="Times New Roman" w:cs="Times New Roman"/>
        </w:rPr>
        <w:t xml:space="preserve"> chambre B,  24 avril 2015, </w:t>
      </w:r>
      <w:r w:rsidRPr="00FD4DB7">
        <w:rPr>
          <w:rFonts w:ascii="Times New Roman" w:hAnsi="Times New Roman" w:cs="Times New Roman"/>
          <w:i/>
        </w:rPr>
        <w:t>DAOR</w:t>
      </w:r>
      <w:r w:rsidRPr="00FD4DB7">
        <w:rPr>
          <w:rFonts w:ascii="Times New Roman" w:hAnsi="Times New Roman" w:cs="Times New Roman"/>
        </w:rPr>
        <w:t>, 2016/4, n° 120, p. 83.</w:t>
      </w:r>
    </w:p>
  </w:footnote>
  <w:footnote w:id="12">
    <w:p w:rsidR="00FD4DB7" w:rsidRDefault="00FD4DB7" w:rsidP="005C6BAE">
      <w:pPr>
        <w:pStyle w:val="Notedebasdepage"/>
        <w:jc w:val="both"/>
      </w:pPr>
      <w:r w:rsidRPr="00FD4DB7">
        <w:rPr>
          <w:rStyle w:val="Appelnotedebasdep"/>
          <w:rFonts w:ascii="Times New Roman" w:hAnsi="Times New Roman" w:cs="Times New Roman"/>
        </w:rPr>
        <w:footnoteRef/>
      </w:r>
      <w:r w:rsidRPr="00FD4DB7">
        <w:rPr>
          <w:rFonts w:ascii="Times New Roman" w:hAnsi="Times New Roman" w:cs="Times New Roman"/>
        </w:rPr>
        <w:t xml:space="preserve"> L. FRANKIGNOUL, « La limite de l’article 1907</w:t>
      </w:r>
      <w:r w:rsidRPr="005C6BAE">
        <w:rPr>
          <w:rFonts w:ascii="Times New Roman" w:hAnsi="Times New Roman" w:cs="Times New Roman"/>
          <w:i/>
        </w:rPr>
        <w:t>bis</w:t>
      </w:r>
      <w:r w:rsidRPr="00FD4DB7">
        <w:rPr>
          <w:rFonts w:ascii="Times New Roman" w:hAnsi="Times New Roman" w:cs="Times New Roman"/>
        </w:rPr>
        <w:t xml:space="preserve"> s’applique à toute indemnité réclamée en cas de remboursement a</w:t>
      </w:r>
      <w:r w:rsidR="00F914C5">
        <w:rPr>
          <w:rFonts w:ascii="Times New Roman" w:hAnsi="Times New Roman" w:cs="Times New Roman"/>
        </w:rPr>
        <w:t>nticipé d’un prêt à intérêt »</w:t>
      </w:r>
      <w:r w:rsidRPr="00FD4DB7">
        <w:rPr>
          <w:rFonts w:ascii="Times New Roman" w:hAnsi="Times New Roman" w:cs="Times New Roman"/>
        </w:rPr>
        <w:t xml:space="preserve">, </w:t>
      </w:r>
      <w:r w:rsidRPr="00FD4DB7">
        <w:rPr>
          <w:rFonts w:ascii="Times New Roman" w:hAnsi="Times New Roman" w:cs="Times New Roman"/>
          <w:i/>
        </w:rPr>
        <w:t>J.T</w:t>
      </w:r>
      <w:r w:rsidRPr="00FD4DB7">
        <w:rPr>
          <w:rFonts w:ascii="Times New Roman" w:hAnsi="Times New Roman" w:cs="Times New Roman"/>
        </w:rPr>
        <w:t>., 2017, à paraître.</w:t>
      </w:r>
    </w:p>
  </w:footnote>
  <w:footnote w:id="13">
    <w:p w:rsidR="00071F4C" w:rsidRPr="000646DA" w:rsidRDefault="00071F4C">
      <w:pPr>
        <w:pStyle w:val="Notedebasdepage"/>
        <w:rPr>
          <w:rFonts w:ascii="Times New Roman" w:hAnsi="Times New Roman" w:cs="Times New Roman"/>
        </w:rPr>
      </w:pPr>
      <w:r w:rsidRPr="000646DA">
        <w:rPr>
          <w:rStyle w:val="Appelnotedebasdep"/>
          <w:rFonts w:ascii="Times New Roman" w:hAnsi="Times New Roman" w:cs="Times New Roman"/>
        </w:rPr>
        <w:footnoteRef/>
      </w:r>
      <w:r w:rsidRPr="000646DA">
        <w:rPr>
          <w:rFonts w:ascii="Times New Roman" w:hAnsi="Times New Roman" w:cs="Times New Roman"/>
        </w:rPr>
        <w:t xml:space="preserve"> Ch. BIQUET-MATHIEU, </w:t>
      </w:r>
      <w:r w:rsidRPr="000646DA">
        <w:rPr>
          <w:rFonts w:ascii="Times New Roman" w:hAnsi="Times New Roman" w:cs="Times New Roman"/>
          <w:i/>
        </w:rPr>
        <w:t xml:space="preserve">Le sort des intérêts dans le droit du crédit ; Actualité ou désuétude du Code </w:t>
      </w:r>
      <w:r w:rsidR="00701168" w:rsidRPr="000646DA">
        <w:rPr>
          <w:rFonts w:ascii="Times New Roman" w:hAnsi="Times New Roman" w:cs="Times New Roman"/>
          <w:i/>
        </w:rPr>
        <w:t>civil</w:t>
      </w:r>
      <w:r w:rsidR="00701168">
        <w:rPr>
          <w:rFonts w:ascii="Times New Roman" w:hAnsi="Times New Roman" w:cs="Times New Roman"/>
        </w:rPr>
        <w:t>,</w:t>
      </w:r>
      <w:r w:rsidRPr="000646DA">
        <w:rPr>
          <w:rFonts w:ascii="Times New Roman" w:hAnsi="Times New Roman" w:cs="Times New Roman"/>
        </w:rPr>
        <w:t xml:space="preserve"> liège, Ed. Collection scientifique de la Facu</w:t>
      </w:r>
      <w:r w:rsidR="000646DA" w:rsidRPr="000646DA">
        <w:rPr>
          <w:rFonts w:ascii="Times New Roman" w:hAnsi="Times New Roman" w:cs="Times New Roman"/>
        </w:rPr>
        <w:t>lté de Droit de Liège, 1998, pp. 618-619, n° 342.</w:t>
      </w:r>
    </w:p>
  </w:footnote>
  <w:footnote w:id="14">
    <w:p w:rsidR="00701168" w:rsidRDefault="00701168">
      <w:pPr>
        <w:pStyle w:val="Notedebasdepage"/>
      </w:pPr>
      <w:r>
        <w:rPr>
          <w:rStyle w:val="Appelnotedebasdep"/>
        </w:rPr>
        <w:footnoteRef/>
      </w:r>
      <w:r>
        <w:t xml:space="preserve"> </w:t>
      </w:r>
      <w:r w:rsidR="005C6BAE" w:rsidRPr="005C6BAE">
        <w:rPr>
          <w:rFonts w:ascii="Times New Roman" w:hAnsi="Times New Roman" w:cs="Times New Roman"/>
          <w:i/>
        </w:rPr>
        <w:t>Ibidem</w:t>
      </w:r>
      <w:r w:rsidR="005C6BAE">
        <w:rPr>
          <w:rFonts w:ascii="Times New Roman" w:hAnsi="Times New Roman" w:cs="Times New Roman"/>
        </w:rPr>
        <w:t>.</w:t>
      </w:r>
    </w:p>
  </w:footnote>
  <w:footnote w:id="15">
    <w:p w:rsidR="00701168" w:rsidRPr="0070543B" w:rsidRDefault="00701168">
      <w:pPr>
        <w:pStyle w:val="Notedebasdepage"/>
        <w:rPr>
          <w:rFonts w:ascii="Times New Roman" w:hAnsi="Times New Roman" w:cs="Times New Roman"/>
        </w:rPr>
      </w:pPr>
      <w:r w:rsidRPr="0070543B">
        <w:rPr>
          <w:rStyle w:val="Appelnotedebasdep"/>
          <w:rFonts w:ascii="Times New Roman" w:hAnsi="Times New Roman" w:cs="Times New Roman"/>
        </w:rPr>
        <w:footnoteRef/>
      </w:r>
      <w:r w:rsidRPr="0070543B">
        <w:rPr>
          <w:rFonts w:ascii="Times New Roman" w:hAnsi="Times New Roman" w:cs="Times New Roman"/>
        </w:rPr>
        <w:t xml:space="preserve"> Ch. BIQUET-MATHIEU, </w:t>
      </w:r>
      <w:r w:rsidR="005C6BAE">
        <w:rPr>
          <w:rFonts w:ascii="Times New Roman" w:hAnsi="Times New Roman" w:cs="Times New Roman"/>
        </w:rPr>
        <w:t xml:space="preserve">op. </w:t>
      </w:r>
      <w:proofErr w:type="spellStart"/>
      <w:proofErr w:type="gramStart"/>
      <w:r w:rsidR="005C6BAE">
        <w:rPr>
          <w:rFonts w:ascii="Times New Roman" w:hAnsi="Times New Roman" w:cs="Times New Roman"/>
        </w:rPr>
        <w:t>cit</w:t>
      </w:r>
      <w:proofErr w:type="spellEnd"/>
      <w:r w:rsidR="005C6BAE">
        <w:rPr>
          <w:rFonts w:ascii="Times New Roman" w:hAnsi="Times New Roman" w:cs="Times New Roman"/>
        </w:rPr>
        <w:t>.</w:t>
      </w:r>
      <w:r w:rsidR="0070543B" w:rsidRPr="0070543B">
        <w:rPr>
          <w:rFonts w:ascii="Times New Roman" w:hAnsi="Times New Roman" w:cs="Times New Roman"/>
        </w:rPr>
        <w:t>,</w:t>
      </w:r>
      <w:proofErr w:type="gramEnd"/>
      <w:r w:rsidR="0070543B" w:rsidRPr="0070543B">
        <w:rPr>
          <w:rFonts w:ascii="Times New Roman" w:hAnsi="Times New Roman" w:cs="Times New Roman"/>
        </w:rPr>
        <w:t xml:space="preserve"> </w:t>
      </w:r>
      <w:r w:rsidR="0070543B" w:rsidRPr="00F914C5">
        <w:rPr>
          <w:rFonts w:ascii="Times New Roman" w:hAnsi="Times New Roman" w:cs="Times New Roman"/>
          <w:i/>
        </w:rPr>
        <w:t>in Le crédit hypothécaire –</w:t>
      </w:r>
      <w:r w:rsidR="00EF2FA8">
        <w:rPr>
          <w:rFonts w:ascii="Times New Roman" w:hAnsi="Times New Roman" w:cs="Times New Roman"/>
          <w:i/>
        </w:rPr>
        <w:t xml:space="preserve"> </w:t>
      </w:r>
      <w:r w:rsidR="0070543B" w:rsidRPr="00F914C5">
        <w:rPr>
          <w:rFonts w:ascii="Times New Roman" w:hAnsi="Times New Roman" w:cs="Times New Roman"/>
          <w:i/>
        </w:rPr>
        <w:t xml:space="preserve">Actualités </w:t>
      </w:r>
      <w:r w:rsidR="001B54A2" w:rsidRPr="00F914C5">
        <w:rPr>
          <w:rFonts w:ascii="Times New Roman" w:hAnsi="Times New Roman" w:cs="Times New Roman"/>
          <w:i/>
        </w:rPr>
        <w:t>et réponses pour la</w:t>
      </w:r>
      <w:r w:rsidR="0070543B" w:rsidRPr="00F914C5">
        <w:rPr>
          <w:rFonts w:ascii="Times New Roman" w:hAnsi="Times New Roman" w:cs="Times New Roman"/>
          <w:i/>
        </w:rPr>
        <w:t xml:space="preserve"> pratique</w:t>
      </w:r>
      <w:r w:rsidR="0070543B" w:rsidRPr="0070543B">
        <w:rPr>
          <w:rFonts w:ascii="Times New Roman" w:hAnsi="Times New Roman" w:cs="Times New Roman"/>
        </w:rPr>
        <w:t>, Anthémis, 2015, p. 154, n° 73.</w:t>
      </w:r>
    </w:p>
  </w:footnote>
  <w:footnote w:id="16">
    <w:p w:rsidR="001B54A2" w:rsidRPr="00AC4A2C" w:rsidRDefault="001B54A2">
      <w:pPr>
        <w:pStyle w:val="Notedebasdepage"/>
        <w:rPr>
          <w:rFonts w:ascii="Times New Roman" w:hAnsi="Times New Roman" w:cs="Times New Roman"/>
        </w:rPr>
      </w:pPr>
      <w:r w:rsidRPr="00AC4A2C">
        <w:rPr>
          <w:rStyle w:val="Appelnotedebasdep"/>
          <w:rFonts w:ascii="Times New Roman" w:hAnsi="Times New Roman" w:cs="Times New Roman"/>
        </w:rPr>
        <w:footnoteRef/>
      </w:r>
      <w:r w:rsidRPr="00AC4A2C">
        <w:rPr>
          <w:rFonts w:ascii="Times New Roman" w:hAnsi="Times New Roman" w:cs="Times New Roman"/>
        </w:rPr>
        <w:t xml:space="preserve"> Bruxelles, 2 mars 2012, </w:t>
      </w:r>
      <w:r w:rsidRPr="00AC4A2C">
        <w:rPr>
          <w:rFonts w:ascii="Times New Roman" w:hAnsi="Times New Roman" w:cs="Times New Roman"/>
          <w:i/>
        </w:rPr>
        <w:t xml:space="preserve">For. Fin. – Dr. Banc. </w:t>
      </w:r>
      <w:proofErr w:type="gramStart"/>
      <w:r w:rsidRPr="00AC4A2C">
        <w:rPr>
          <w:rFonts w:ascii="Times New Roman" w:hAnsi="Times New Roman" w:cs="Times New Roman"/>
          <w:i/>
        </w:rPr>
        <w:t>fin.,</w:t>
      </w:r>
      <w:proofErr w:type="gramEnd"/>
      <w:r w:rsidRPr="00AC4A2C">
        <w:rPr>
          <w:rFonts w:ascii="Times New Roman" w:hAnsi="Times New Roman" w:cs="Times New Roman"/>
        </w:rPr>
        <w:t xml:space="preserve"> 2014/I-II, p. 47 et Bruxelles, 27 septembre 2012, </w:t>
      </w:r>
      <w:r w:rsidRPr="00AC4A2C">
        <w:rPr>
          <w:rFonts w:ascii="Times New Roman" w:hAnsi="Times New Roman" w:cs="Times New Roman"/>
          <w:i/>
        </w:rPr>
        <w:t xml:space="preserve">For. Fin. – Dr. Banc. </w:t>
      </w:r>
      <w:proofErr w:type="gramStart"/>
      <w:r w:rsidRPr="00AC4A2C">
        <w:rPr>
          <w:rFonts w:ascii="Times New Roman" w:hAnsi="Times New Roman" w:cs="Times New Roman"/>
          <w:i/>
        </w:rPr>
        <w:t>fin.</w:t>
      </w:r>
      <w:r w:rsidRPr="00AC4A2C">
        <w:rPr>
          <w:rFonts w:ascii="Times New Roman" w:hAnsi="Times New Roman" w:cs="Times New Roman"/>
        </w:rPr>
        <w:t>,</w:t>
      </w:r>
      <w:proofErr w:type="gramEnd"/>
      <w:r w:rsidRPr="00AC4A2C">
        <w:rPr>
          <w:rFonts w:ascii="Times New Roman" w:hAnsi="Times New Roman" w:cs="Times New Roman"/>
        </w:rPr>
        <w:t xml:space="preserve"> 2014/I-II, p. 53.</w:t>
      </w:r>
    </w:p>
  </w:footnote>
  <w:footnote w:id="17">
    <w:p w:rsidR="007743A2" w:rsidRDefault="007743A2">
      <w:pPr>
        <w:pStyle w:val="Notedebasdepage"/>
      </w:pPr>
      <w:r>
        <w:rPr>
          <w:rStyle w:val="Appelnotedebasdep"/>
        </w:rPr>
        <w:footnoteRef/>
      </w:r>
      <w:r>
        <w:t xml:space="preserve"> </w:t>
      </w:r>
      <w:r w:rsidRPr="003D67D8">
        <w:rPr>
          <w:rFonts w:ascii="Times New Roman" w:hAnsi="Times New Roman" w:cs="Times New Roman"/>
        </w:rPr>
        <w:t>J.-P. BUYLE et L. CLOQUET, « </w:t>
      </w:r>
      <w:proofErr w:type="spellStart"/>
      <w:r w:rsidRPr="003D67D8">
        <w:rPr>
          <w:rFonts w:ascii="Times New Roman" w:hAnsi="Times New Roman" w:cs="Times New Roman"/>
        </w:rPr>
        <w:t>Funding</w:t>
      </w:r>
      <w:proofErr w:type="spellEnd"/>
      <w:r w:rsidRPr="003D67D8">
        <w:rPr>
          <w:rFonts w:ascii="Times New Roman" w:hAnsi="Times New Roman" w:cs="Times New Roman"/>
        </w:rPr>
        <w:t xml:space="preserve"> </w:t>
      </w:r>
      <w:proofErr w:type="spellStart"/>
      <w:r w:rsidRPr="003D67D8">
        <w:rPr>
          <w:rFonts w:ascii="Times New Roman" w:hAnsi="Times New Roman" w:cs="Times New Roman"/>
        </w:rPr>
        <w:t>loss</w:t>
      </w:r>
      <w:proofErr w:type="spellEnd"/>
      <w:r w:rsidRPr="003D67D8">
        <w:rPr>
          <w:rFonts w:ascii="Times New Roman" w:hAnsi="Times New Roman" w:cs="Times New Roman"/>
        </w:rPr>
        <w:t xml:space="preserve"> : la limitation à 6 mois d’intérêts ne concerne pas tous les contrats de crédit », </w:t>
      </w:r>
      <w:r w:rsidRPr="003D67D8">
        <w:rPr>
          <w:rFonts w:ascii="Times New Roman" w:hAnsi="Times New Roman" w:cs="Times New Roman"/>
          <w:i/>
        </w:rPr>
        <w:t>L’Echo</w:t>
      </w:r>
      <w:r w:rsidRPr="003D67D8">
        <w:rPr>
          <w:rFonts w:ascii="Times New Roman" w:hAnsi="Times New Roman" w:cs="Times New Roman"/>
        </w:rPr>
        <w:t>, 26 janvier 2017</w:t>
      </w:r>
      <w:r>
        <w:rPr>
          <w:rFonts w:ascii="Times New Roman" w:hAnsi="Times New Roman" w:cs="Times New Roman"/>
        </w:rPr>
        <w:t xml:space="preserve">, </w:t>
      </w:r>
      <w:r w:rsidRPr="003D67D8">
        <w:rPr>
          <w:rFonts w:ascii="Times New Roman" w:hAnsi="Times New Roman" w:cs="Times New Roman"/>
        </w:rPr>
        <w:t>http://www.lecho.be/agora/analyse/Funding-loss-la-limitation-a-6-mois-d-interets-ne-concerne-pas-tous-les-contrats-de-credit/9854921?ckc=1&amp;ts=1488549368</w:t>
      </w:r>
      <w:r>
        <w:rPr>
          <w:rFonts w:ascii="Times New Roman" w:hAnsi="Times New Roman" w:cs="Times New Roman"/>
        </w:rPr>
        <w:t>.</w:t>
      </w:r>
    </w:p>
  </w:footnote>
  <w:footnote w:id="18">
    <w:p w:rsidR="00F914C5" w:rsidRPr="005C6BAE" w:rsidRDefault="00F914C5" w:rsidP="00F914C5">
      <w:pPr>
        <w:pStyle w:val="Notedebasdepage"/>
        <w:rPr>
          <w:rFonts w:ascii="Times New Roman" w:hAnsi="Times New Roman" w:cs="Times New Roman"/>
          <w:i/>
        </w:rPr>
      </w:pPr>
      <w:r w:rsidRPr="005C6BAE">
        <w:rPr>
          <w:rStyle w:val="Appelnotedebasdep"/>
          <w:rFonts w:ascii="Times New Roman" w:hAnsi="Times New Roman" w:cs="Times New Roman"/>
        </w:rPr>
        <w:footnoteRef/>
      </w:r>
      <w:r w:rsidRPr="005C6BAE">
        <w:rPr>
          <w:rFonts w:ascii="Times New Roman" w:hAnsi="Times New Roman" w:cs="Times New Roman"/>
          <w:i/>
        </w:rPr>
        <w:t xml:space="preserve"> </w:t>
      </w:r>
      <w:r w:rsidR="005C6BAE" w:rsidRPr="005C6BAE">
        <w:rPr>
          <w:rFonts w:ascii="Times New Roman" w:hAnsi="Times New Roman" w:cs="Times New Roman"/>
          <w:i/>
        </w:rPr>
        <w:t>Ibidem</w:t>
      </w:r>
      <w:r w:rsidRPr="005C6BAE">
        <w:rPr>
          <w:rFonts w:ascii="Times New Roman" w:hAnsi="Times New Roman" w:cs="Times New Roman"/>
          <w:i/>
        </w:rPr>
        <w:t>.</w:t>
      </w:r>
    </w:p>
  </w:footnote>
  <w:footnote w:id="19">
    <w:p w:rsidR="00D338FC" w:rsidRDefault="00D338FC">
      <w:pPr>
        <w:pStyle w:val="Notedebasdepage"/>
      </w:pPr>
      <w:r w:rsidRPr="005C6BAE">
        <w:rPr>
          <w:rStyle w:val="Appelnotedebasdep"/>
          <w:rFonts w:ascii="Times New Roman" w:hAnsi="Times New Roman" w:cs="Times New Roman"/>
        </w:rPr>
        <w:footnoteRef/>
      </w:r>
      <w:r w:rsidR="005C6BAE" w:rsidRPr="005C6BAE">
        <w:rPr>
          <w:rFonts w:ascii="Times New Roman" w:hAnsi="Times New Roman" w:cs="Times New Roman"/>
          <w:i/>
        </w:rPr>
        <w:t>Ibi</w:t>
      </w:r>
      <w:r w:rsidRPr="005C6BAE">
        <w:rPr>
          <w:rFonts w:ascii="Times New Roman" w:hAnsi="Times New Roman" w:cs="Times New Roman"/>
          <w:i/>
        </w:rPr>
        <w:t>dem</w:t>
      </w:r>
      <w:r w:rsidRPr="00D338FC">
        <w:rPr>
          <w:i/>
        </w:rPr>
        <w:t>.</w:t>
      </w:r>
    </w:p>
  </w:footnote>
  <w:footnote w:id="20">
    <w:p w:rsidR="00F914C5" w:rsidRPr="003D67D8" w:rsidRDefault="00F914C5" w:rsidP="00F914C5">
      <w:pPr>
        <w:pStyle w:val="Notedebasdepage"/>
        <w:jc w:val="both"/>
        <w:rPr>
          <w:rFonts w:ascii="Times New Roman" w:hAnsi="Times New Roman" w:cs="Times New Roman"/>
        </w:rPr>
      </w:pPr>
      <w:r w:rsidRPr="003D67D8">
        <w:rPr>
          <w:rStyle w:val="Appelnotedebasdep"/>
          <w:rFonts w:ascii="Times New Roman" w:hAnsi="Times New Roman" w:cs="Times New Roman"/>
        </w:rPr>
        <w:footnoteRef/>
      </w:r>
      <w:r w:rsidR="0059631D">
        <w:rPr>
          <w:rFonts w:ascii="Times New Roman" w:hAnsi="Times New Roman" w:cs="Times New Roman"/>
        </w:rPr>
        <w:t xml:space="preserve"> </w:t>
      </w:r>
      <w:r w:rsidR="0059631D" w:rsidRPr="00EF2FA8">
        <w:rPr>
          <w:rFonts w:ascii="Times New Roman" w:hAnsi="Times New Roman" w:cs="Times New Roman"/>
          <w:i/>
        </w:rPr>
        <w:t>Ibidem</w:t>
      </w:r>
      <w:r w:rsidRPr="00EF2FA8">
        <w:rPr>
          <w:rFonts w:ascii="Times New Roman" w:hAnsi="Times New Roman" w:cs="Times New Roman"/>
          <w:i/>
        </w:rPr>
        <w:t>.</w:t>
      </w:r>
    </w:p>
  </w:footnote>
  <w:footnote w:id="21">
    <w:p w:rsidR="00F914C5" w:rsidRDefault="00F914C5" w:rsidP="00F914C5">
      <w:pPr>
        <w:pStyle w:val="Notedebasdepage"/>
      </w:pPr>
      <w:r>
        <w:rPr>
          <w:rStyle w:val="Appelnotedebasdep"/>
        </w:rPr>
        <w:footnoteRef/>
      </w:r>
      <w:r>
        <w:t xml:space="preserve"> </w:t>
      </w:r>
      <w:r w:rsidR="0059631D" w:rsidRPr="00EF2FA8">
        <w:rPr>
          <w:rFonts w:ascii="Times New Roman" w:hAnsi="Times New Roman" w:cs="Times New Roman"/>
          <w:i/>
        </w:rPr>
        <w:t>Ibidem</w:t>
      </w:r>
      <w:r w:rsidRPr="00EF2FA8">
        <w:rPr>
          <w:rFonts w:ascii="Times New Roman" w:hAnsi="Times New Roman" w:cs="Times New Roman"/>
          <w:i/>
        </w:rPr>
        <w:t>.</w:t>
      </w:r>
    </w:p>
  </w:footnote>
  <w:footnote w:id="22">
    <w:p w:rsidR="00F914C5" w:rsidRPr="00277930" w:rsidRDefault="00F914C5" w:rsidP="00F914C5">
      <w:pPr>
        <w:pStyle w:val="Notedebasdepage"/>
        <w:jc w:val="both"/>
        <w:rPr>
          <w:rFonts w:ascii="Times New Roman" w:hAnsi="Times New Roman" w:cs="Times New Roman"/>
        </w:rPr>
      </w:pPr>
      <w:r>
        <w:rPr>
          <w:rStyle w:val="Appelnotedebasdep"/>
        </w:rPr>
        <w:footnoteRef/>
      </w:r>
      <w:r>
        <w:t xml:space="preserve"> </w:t>
      </w:r>
      <w:r>
        <w:rPr>
          <w:rFonts w:ascii="Times New Roman" w:hAnsi="Times New Roman" w:cs="Times New Roman"/>
        </w:rPr>
        <w:t xml:space="preserve">En ce sens, voy. </w:t>
      </w:r>
      <w:r w:rsidRPr="00FD4DB7">
        <w:rPr>
          <w:rFonts w:ascii="Times New Roman" w:hAnsi="Times New Roman" w:cs="Times New Roman"/>
        </w:rPr>
        <w:t>L. FRANKIGNOUL,</w:t>
      </w:r>
      <w:r>
        <w:rPr>
          <w:rFonts w:ascii="Times New Roman" w:hAnsi="Times New Roman" w:cs="Times New Roman"/>
        </w:rPr>
        <w:t xml:space="preserve"> </w:t>
      </w:r>
      <w:r w:rsidR="0059631D">
        <w:rPr>
          <w:rFonts w:ascii="Times New Roman" w:hAnsi="Times New Roman" w:cs="Times New Roman"/>
        </w:rPr>
        <w:t xml:space="preserve"> </w:t>
      </w:r>
      <w:r w:rsidR="0059631D" w:rsidRPr="0059631D">
        <w:rPr>
          <w:rFonts w:ascii="Times New Roman" w:hAnsi="Times New Roman" w:cs="Times New Roman"/>
          <w:i/>
        </w:rPr>
        <w:t xml:space="preserve">op. </w:t>
      </w:r>
      <w:proofErr w:type="spellStart"/>
      <w:proofErr w:type="gramStart"/>
      <w:r w:rsidR="0059631D" w:rsidRPr="0059631D">
        <w:rPr>
          <w:rFonts w:ascii="Times New Roman" w:hAnsi="Times New Roman" w:cs="Times New Roman"/>
          <w:i/>
        </w:rPr>
        <w:t>cit</w:t>
      </w:r>
      <w:proofErr w:type="spellEnd"/>
      <w:r w:rsidR="0059631D">
        <w:rPr>
          <w:rFonts w:ascii="Times New Roman" w:hAnsi="Times New Roman" w:cs="Times New Roman"/>
        </w:rPr>
        <w:t>.</w:t>
      </w:r>
      <w:r w:rsidRPr="00FD4DB7">
        <w:rPr>
          <w:rFonts w:ascii="Times New Roman" w:hAnsi="Times New Roman" w:cs="Times New Roman"/>
        </w:rPr>
        <w:t>,</w:t>
      </w:r>
      <w:proofErr w:type="gramEnd"/>
      <w:r w:rsidRPr="00FD4DB7">
        <w:rPr>
          <w:rFonts w:ascii="Times New Roman" w:hAnsi="Times New Roman" w:cs="Times New Roman"/>
        </w:rPr>
        <w:t xml:space="preserve"> </w:t>
      </w:r>
      <w:r w:rsidRPr="00FD4DB7">
        <w:rPr>
          <w:rFonts w:ascii="Times New Roman" w:hAnsi="Times New Roman" w:cs="Times New Roman"/>
          <w:i/>
        </w:rPr>
        <w:t>J.T</w:t>
      </w:r>
      <w:r w:rsidRPr="00FD4DB7">
        <w:rPr>
          <w:rFonts w:ascii="Times New Roman" w:hAnsi="Times New Roman" w:cs="Times New Roman"/>
        </w:rPr>
        <w:t>., 2017, à para</w:t>
      </w:r>
      <w:r>
        <w:rPr>
          <w:rFonts w:ascii="Times New Roman" w:hAnsi="Times New Roman" w:cs="Times New Roman"/>
        </w:rPr>
        <w:t>ître : « L’article 1907bis limite en effet impérativement l’indemnité due en cas de remboursement anticipé mais ne confère pas pour autant expressément à l’emprunteur le droit impératif de rembourser anticipativement les fonds ».</w:t>
      </w:r>
    </w:p>
  </w:footnote>
  <w:footnote w:id="23">
    <w:p w:rsidR="001B54A2" w:rsidRDefault="001B54A2">
      <w:pPr>
        <w:pStyle w:val="Notedebasdepage"/>
      </w:pPr>
      <w:r>
        <w:rPr>
          <w:rStyle w:val="Appelnotedebasdep"/>
        </w:rPr>
        <w:footnoteRef/>
      </w:r>
      <w:r>
        <w:t xml:space="preserve"> </w:t>
      </w:r>
      <w:r w:rsidRPr="0070543B">
        <w:rPr>
          <w:rFonts w:ascii="Times New Roman" w:hAnsi="Times New Roman" w:cs="Times New Roman"/>
        </w:rPr>
        <w:t>Ch</w:t>
      </w:r>
      <w:r w:rsidR="0059631D">
        <w:rPr>
          <w:rFonts w:ascii="Times New Roman" w:hAnsi="Times New Roman" w:cs="Times New Roman"/>
        </w:rPr>
        <w:t xml:space="preserve">. BIQUET-MATHIEU, </w:t>
      </w:r>
      <w:r w:rsidR="0059631D" w:rsidRPr="0059631D">
        <w:rPr>
          <w:rFonts w:ascii="Times New Roman" w:hAnsi="Times New Roman" w:cs="Times New Roman"/>
          <w:i/>
        </w:rPr>
        <w:t xml:space="preserve">op </w:t>
      </w:r>
      <w:proofErr w:type="spellStart"/>
      <w:proofErr w:type="gramStart"/>
      <w:r w:rsidR="0059631D" w:rsidRPr="0059631D">
        <w:rPr>
          <w:rFonts w:ascii="Times New Roman" w:hAnsi="Times New Roman" w:cs="Times New Roman"/>
          <w:i/>
        </w:rPr>
        <w:t>cit</w:t>
      </w:r>
      <w:proofErr w:type="spellEnd"/>
      <w:r w:rsidR="0059631D">
        <w:rPr>
          <w:rFonts w:ascii="Times New Roman" w:hAnsi="Times New Roman" w:cs="Times New Roman"/>
        </w:rPr>
        <w:t>.</w:t>
      </w:r>
      <w:r w:rsidRPr="0070543B">
        <w:rPr>
          <w:rFonts w:ascii="Times New Roman" w:hAnsi="Times New Roman" w:cs="Times New Roman"/>
        </w:rPr>
        <w:t>,</w:t>
      </w:r>
      <w:proofErr w:type="gramEnd"/>
      <w:r w:rsidRPr="0070543B">
        <w:rPr>
          <w:rFonts w:ascii="Times New Roman" w:hAnsi="Times New Roman" w:cs="Times New Roman"/>
        </w:rPr>
        <w:t xml:space="preserve"> </w:t>
      </w:r>
      <w:r w:rsidRPr="0059631D">
        <w:rPr>
          <w:rFonts w:ascii="Times New Roman" w:hAnsi="Times New Roman" w:cs="Times New Roman"/>
          <w:i/>
        </w:rPr>
        <w:t>in Le crédit hypothécaire –</w:t>
      </w:r>
      <w:r w:rsidR="00EF2FA8">
        <w:rPr>
          <w:rFonts w:ascii="Times New Roman" w:hAnsi="Times New Roman" w:cs="Times New Roman"/>
          <w:i/>
        </w:rPr>
        <w:t xml:space="preserve"> </w:t>
      </w:r>
      <w:r w:rsidRPr="0059631D">
        <w:rPr>
          <w:rFonts w:ascii="Times New Roman" w:hAnsi="Times New Roman" w:cs="Times New Roman"/>
          <w:i/>
        </w:rPr>
        <w:t>Actualités et réponses pour la</w:t>
      </w:r>
      <w:r w:rsidR="0059631D" w:rsidRPr="0059631D">
        <w:rPr>
          <w:rFonts w:ascii="Times New Roman" w:hAnsi="Times New Roman" w:cs="Times New Roman"/>
          <w:i/>
        </w:rPr>
        <w:t xml:space="preserve"> pratique</w:t>
      </w:r>
      <w:r w:rsidRPr="0070543B">
        <w:rPr>
          <w:rFonts w:ascii="Times New Roman" w:hAnsi="Times New Roman" w:cs="Times New Roman"/>
        </w:rPr>
        <w:t>, Anthémis, 2015, p. 154, n° 73.</w:t>
      </w:r>
    </w:p>
  </w:footnote>
  <w:footnote w:id="24">
    <w:p w:rsidR="00517BD6" w:rsidRDefault="00517BD6">
      <w:pPr>
        <w:pStyle w:val="Notedebasdepage"/>
      </w:pPr>
      <w:r>
        <w:rPr>
          <w:rStyle w:val="Appelnotedebasdep"/>
        </w:rPr>
        <w:footnoteRef/>
      </w:r>
      <w:r>
        <w:t xml:space="preserve"> </w:t>
      </w:r>
      <w:r w:rsidRPr="00517BD6">
        <w:rPr>
          <w:rFonts w:ascii="Times New Roman" w:hAnsi="Times New Roman" w:cs="Times New Roman"/>
        </w:rPr>
        <w:t>En ce sens, voy. L. FRANKIGNOUL</w:t>
      </w:r>
      <w:r w:rsidR="0059631D">
        <w:rPr>
          <w:rFonts w:ascii="Times New Roman" w:hAnsi="Times New Roman" w:cs="Times New Roman"/>
        </w:rPr>
        <w:t xml:space="preserve">, </w:t>
      </w:r>
      <w:r w:rsidR="0059631D" w:rsidRPr="0059631D">
        <w:rPr>
          <w:rFonts w:ascii="Times New Roman" w:hAnsi="Times New Roman" w:cs="Times New Roman"/>
          <w:i/>
        </w:rPr>
        <w:t xml:space="preserve">op. </w:t>
      </w:r>
      <w:proofErr w:type="spellStart"/>
      <w:proofErr w:type="gramStart"/>
      <w:r w:rsidR="0059631D" w:rsidRPr="0059631D">
        <w:rPr>
          <w:rFonts w:ascii="Times New Roman" w:hAnsi="Times New Roman" w:cs="Times New Roman"/>
          <w:i/>
        </w:rPr>
        <w:t>cit</w:t>
      </w:r>
      <w:proofErr w:type="spellEnd"/>
      <w:r w:rsidR="0059631D">
        <w:rPr>
          <w:rFonts w:ascii="Times New Roman" w:hAnsi="Times New Roman" w:cs="Times New Roman"/>
        </w:rPr>
        <w:t>.,</w:t>
      </w:r>
      <w:proofErr w:type="gramEnd"/>
      <w:r w:rsidR="0059631D">
        <w:rPr>
          <w:rFonts w:ascii="Times New Roman" w:hAnsi="Times New Roman" w:cs="Times New Roman"/>
        </w:rPr>
        <w:t xml:space="preserve"> </w:t>
      </w:r>
      <w:r w:rsidRPr="00FD4DB7">
        <w:rPr>
          <w:rFonts w:ascii="Times New Roman" w:hAnsi="Times New Roman" w:cs="Times New Roman"/>
          <w:i/>
        </w:rPr>
        <w:t>J.T</w:t>
      </w:r>
      <w:r w:rsidRPr="00FD4DB7">
        <w:rPr>
          <w:rFonts w:ascii="Times New Roman" w:hAnsi="Times New Roman" w:cs="Times New Roman"/>
        </w:rPr>
        <w:t>., 2017, à paraître.</w:t>
      </w:r>
    </w:p>
  </w:footnote>
  <w:footnote w:id="25">
    <w:p w:rsidR="001E0907" w:rsidRPr="001E0907" w:rsidRDefault="001E0907" w:rsidP="001E0907">
      <w:pPr>
        <w:pStyle w:val="Notedebasdepage"/>
        <w:jc w:val="both"/>
        <w:rPr>
          <w:rFonts w:ascii="Times New Roman" w:hAnsi="Times New Roman" w:cs="Times New Roman"/>
        </w:rPr>
      </w:pPr>
      <w:r w:rsidRPr="001E0907">
        <w:rPr>
          <w:rStyle w:val="Appelnotedebasdep"/>
          <w:rFonts w:ascii="Times New Roman" w:hAnsi="Times New Roman" w:cs="Times New Roman"/>
        </w:rPr>
        <w:footnoteRef/>
      </w:r>
      <w:r w:rsidRPr="001E0907">
        <w:rPr>
          <w:rFonts w:ascii="Times New Roman" w:hAnsi="Times New Roman" w:cs="Times New Roman"/>
        </w:rPr>
        <w:t xml:space="preserve"> En ce qui concerne le recouvrement judiciaire de la créance, rappelons que son co</w:t>
      </w:r>
      <w:r>
        <w:rPr>
          <w:rFonts w:ascii="Times New Roman" w:hAnsi="Times New Roman" w:cs="Times New Roman"/>
        </w:rPr>
        <w:t xml:space="preserve">ût est couvert </w:t>
      </w:r>
      <w:r w:rsidR="0059631D">
        <w:rPr>
          <w:rFonts w:ascii="Times New Roman" w:hAnsi="Times New Roman" w:cs="Times New Roman"/>
        </w:rPr>
        <w:t xml:space="preserve">par </w:t>
      </w:r>
      <w:r>
        <w:rPr>
          <w:rFonts w:ascii="Times New Roman" w:hAnsi="Times New Roman" w:cs="Times New Roman"/>
        </w:rPr>
        <w:t>les dépens et</w:t>
      </w:r>
      <w:r w:rsidRPr="001E0907">
        <w:rPr>
          <w:rFonts w:ascii="Times New Roman" w:hAnsi="Times New Roman" w:cs="Times New Roman"/>
        </w:rPr>
        <w:t xml:space="preserve"> l’</w:t>
      </w:r>
      <w:r>
        <w:rPr>
          <w:rFonts w:ascii="Times New Roman" w:hAnsi="Times New Roman" w:cs="Times New Roman"/>
        </w:rPr>
        <w:t>indemnité de procédure visés aux articles 1017 et suivants</w:t>
      </w:r>
      <w:r w:rsidRPr="001E0907">
        <w:rPr>
          <w:rFonts w:ascii="Times New Roman" w:hAnsi="Times New Roman" w:cs="Times New Roman"/>
        </w:rPr>
        <w:t xml:space="preserve"> </w:t>
      </w:r>
      <w:r>
        <w:rPr>
          <w:rFonts w:ascii="Times New Roman" w:hAnsi="Times New Roman" w:cs="Times New Roman"/>
        </w:rPr>
        <w:t>du Code judiciaire</w:t>
      </w:r>
      <w:r w:rsidRPr="001E0907">
        <w:rPr>
          <w:rFonts w:ascii="Times New Roman" w:hAnsi="Times New Roman" w:cs="Times New Roman"/>
        </w:rPr>
        <w:t>.</w:t>
      </w:r>
    </w:p>
  </w:footnote>
  <w:footnote w:id="26">
    <w:p w:rsidR="000E1316" w:rsidRDefault="000E1316">
      <w:pPr>
        <w:pStyle w:val="Notedebasdepage"/>
      </w:pPr>
      <w:r>
        <w:rPr>
          <w:rStyle w:val="Appelnotedebasdep"/>
        </w:rPr>
        <w:footnoteRef/>
      </w:r>
      <w:r>
        <w:t xml:space="preserve"> </w:t>
      </w:r>
      <w:r w:rsidRPr="0070543B">
        <w:rPr>
          <w:rFonts w:ascii="Times New Roman" w:hAnsi="Times New Roman" w:cs="Times New Roman"/>
        </w:rPr>
        <w:t xml:space="preserve">Ch. BIQUET-MATHIEU, </w:t>
      </w:r>
      <w:r w:rsidR="00EF2FA8" w:rsidRPr="00EF2FA8">
        <w:rPr>
          <w:rFonts w:ascii="Times New Roman" w:hAnsi="Times New Roman" w:cs="Times New Roman"/>
          <w:i/>
        </w:rPr>
        <w:t xml:space="preserve">op. </w:t>
      </w:r>
      <w:proofErr w:type="spellStart"/>
      <w:proofErr w:type="gramStart"/>
      <w:r w:rsidR="00EF2FA8" w:rsidRPr="00EF2FA8">
        <w:rPr>
          <w:rFonts w:ascii="Times New Roman" w:hAnsi="Times New Roman" w:cs="Times New Roman"/>
          <w:i/>
        </w:rPr>
        <w:t>cit</w:t>
      </w:r>
      <w:proofErr w:type="spellEnd"/>
      <w:r w:rsidR="00EF2FA8">
        <w:rPr>
          <w:rFonts w:ascii="Times New Roman" w:hAnsi="Times New Roman" w:cs="Times New Roman"/>
        </w:rPr>
        <w:t>.</w:t>
      </w:r>
      <w:r w:rsidRPr="0070543B">
        <w:rPr>
          <w:rFonts w:ascii="Times New Roman" w:hAnsi="Times New Roman" w:cs="Times New Roman"/>
        </w:rPr>
        <w:t>,</w:t>
      </w:r>
      <w:proofErr w:type="gramEnd"/>
      <w:r w:rsidRPr="0070543B">
        <w:rPr>
          <w:rFonts w:ascii="Times New Roman" w:hAnsi="Times New Roman" w:cs="Times New Roman"/>
        </w:rPr>
        <w:t xml:space="preserve"> </w:t>
      </w:r>
      <w:r w:rsidRPr="00F914C5">
        <w:rPr>
          <w:rFonts w:ascii="Times New Roman" w:hAnsi="Times New Roman" w:cs="Times New Roman"/>
          <w:i/>
        </w:rPr>
        <w:t>in Le crédit hypothécaire –</w:t>
      </w:r>
      <w:r w:rsidR="00EF2FA8">
        <w:rPr>
          <w:rFonts w:ascii="Times New Roman" w:hAnsi="Times New Roman" w:cs="Times New Roman"/>
          <w:i/>
        </w:rPr>
        <w:t xml:space="preserve"> </w:t>
      </w:r>
      <w:r w:rsidRPr="00F914C5">
        <w:rPr>
          <w:rFonts w:ascii="Times New Roman" w:hAnsi="Times New Roman" w:cs="Times New Roman"/>
          <w:i/>
        </w:rPr>
        <w:t>Actualités et réponses pour la pratique</w:t>
      </w:r>
      <w:r>
        <w:rPr>
          <w:rFonts w:ascii="Times New Roman" w:hAnsi="Times New Roman" w:cs="Times New Roman"/>
        </w:rPr>
        <w:t xml:space="preserve">, Liège, Anthémis, 2015, pp. 141-142, </w:t>
      </w:r>
      <w:proofErr w:type="spellStart"/>
      <w:r>
        <w:rPr>
          <w:rFonts w:ascii="Times New Roman" w:hAnsi="Times New Roman" w:cs="Times New Roman"/>
        </w:rPr>
        <w:t>n°s</w:t>
      </w:r>
      <w:proofErr w:type="spellEnd"/>
      <w:r>
        <w:rPr>
          <w:rFonts w:ascii="Times New Roman" w:hAnsi="Times New Roman" w:cs="Times New Roman"/>
        </w:rPr>
        <w:t xml:space="preserve"> 54 et 55.</w:t>
      </w:r>
      <w:r w:rsidR="0072160B">
        <w:rPr>
          <w:rFonts w:ascii="Times New Roman" w:hAnsi="Times New Roman" w:cs="Times New Roman"/>
        </w:rPr>
        <w:t xml:space="preserve"> </w:t>
      </w:r>
    </w:p>
  </w:footnote>
  <w:footnote w:id="27">
    <w:p w:rsidR="0072160B" w:rsidRPr="0072160B" w:rsidRDefault="0072160B">
      <w:pPr>
        <w:pStyle w:val="Notedebasdepage"/>
        <w:rPr>
          <w:rFonts w:ascii="Times New Roman" w:hAnsi="Times New Roman" w:cs="Times New Roman"/>
        </w:rPr>
      </w:pPr>
      <w:r w:rsidRPr="0072160B">
        <w:rPr>
          <w:rStyle w:val="Appelnotedebasdep"/>
          <w:rFonts w:ascii="Times New Roman" w:hAnsi="Times New Roman" w:cs="Times New Roman"/>
        </w:rPr>
        <w:footnoteRef/>
      </w:r>
      <w:r w:rsidR="0059631D">
        <w:rPr>
          <w:rFonts w:ascii="Times New Roman" w:hAnsi="Times New Roman" w:cs="Times New Roman"/>
        </w:rPr>
        <w:t xml:space="preserve"> Pour une illustration d’une décision rejetant l’abus de droit, voy., Cass., 9 février 2016, </w:t>
      </w:r>
      <w:r w:rsidR="0059631D" w:rsidRPr="0059631D">
        <w:rPr>
          <w:rFonts w:ascii="Fira Sans" w:hAnsi="Fira Sans" w:cs="Arial"/>
          <w:i/>
          <w:color w:val="000000"/>
          <w:sz w:val="21"/>
          <w:szCs w:val="21"/>
        </w:rPr>
        <w:t>ICIP</w:t>
      </w:r>
      <w:r w:rsidR="0059631D">
        <w:rPr>
          <w:rFonts w:ascii="Fira Sans" w:hAnsi="Fira Sans" w:cs="Arial"/>
          <w:color w:val="000000"/>
          <w:sz w:val="21"/>
          <w:szCs w:val="21"/>
        </w:rPr>
        <w:t>,</w:t>
      </w:r>
      <w:r w:rsidR="0059631D" w:rsidRPr="0059631D">
        <w:rPr>
          <w:rFonts w:ascii="Fira Sans" w:hAnsi="Fira Sans" w:cs="Arial"/>
          <w:color w:val="000000"/>
          <w:sz w:val="21"/>
          <w:szCs w:val="21"/>
        </w:rPr>
        <w:t xml:space="preserve"> 2016, liv. 2, </w:t>
      </w:r>
      <w:r w:rsidR="0059631D">
        <w:rPr>
          <w:rFonts w:ascii="Fira Sans" w:hAnsi="Fira Sans" w:cs="Arial"/>
          <w:color w:val="000000"/>
          <w:sz w:val="21"/>
          <w:szCs w:val="21"/>
        </w:rPr>
        <w:t xml:space="preserve">p. </w:t>
      </w:r>
      <w:r w:rsidR="0059631D" w:rsidRPr="0059631D">
        <w:rPr>
          <w:rFonts w:ascii="Fira Sans" w:hAnsi="Fira Sans" w:cs="Arial"/>
          <w:color w:val="000000"/>
          <w:sz w:val="21"/>
          <w:szCs w:val="21"/>
        </w:rPr>
        <w:t>363, note</w:t>
      </w:r>
      <w:r w:rsidR="0059631D">
        <w:rPr>
          <w:rFonts w:ascii="Fira Sans" w:hAnsi="Fira Sans" w:cs="Arial"/>
          <w:color w:val="000000"/>
          <w:sz w:val="21"/>
          <w:szCs w:val="21"/>
        </w:rPr>
        <w:t xml:space="preserve"> V. CASSIERS,</w:t>
      </w:r>
      <w:r w:rsidR="0059631D" w:rsidRPr="0059631D">
        <w:rPr>
          <w:rFonts w:ascii="Fira Sans" w:hAnsi="Fira Sans" w:cs="Arial"/>
          <w:color w:val="000000"/>
          <w:sz w:val="21"/>
          <w:szCs w:val="21"/>
        </w:rPr>
        <w:t xml:space="preserve"> </w:t>
      </w:r>
      <w:r w:rsidR="0059631D" w:rsidRPr="0059631D">
        <w:rPr>
          <w:rFonts w:ascii="Fira Sans" w:hAnsi="Fira Sans" w:cs="Arial"/>
          <w:i/>
          <w:color w:val="000000"/>
          <w:sz w:val="21"/>
          <w:szCs w:val="21"/>
        </w:rPr>
        <w:t>J.L.M.B</w:t>
      </w:r>
      <w:r w:rsidR="0059631D">
        <w:rPr>
          <w:rFonts w:ascii="Fira Sans" w:hAnsi="Fira Sans" w:cs="Arial"/>
          <w:color w:val="000000"/>
          <w:sz w:val="21"/>
          <w:szCs w:val="21"/>
        </w:rPr>
        <w:t>., 2016, liv. 28, p. 1303.</w:t>
      </w:r>
    </w:p>
  </w:footnote>
  <w:footnote w:id="28">
    <w:p w:rsidR="00FB21A5" w:rsidRPr="00FB21A5" w:rsidRDefault="00FB21A5" w:rsidP="00EF2FA8">
      <w:pPr>
        <w:pStyle w:val="Notedebasdepage"/>
        <w:jc w:val="both"/>
        <w:rPr>
          <w:rFonts w:ascii="Times New Roman" w:hAnsi="Times New Roman" w:cs="Times New Roman"/>
        </w:rPr>
      </w:pPr>
      <w:r w:rsidRPr="007D0724">
        <w:rPr>
          <w:rStyle w:val="Appelnotedebasdep"/>
          <w:rFonts w:ascii="Times New Roman" w:hAnsi="Times New Roman" w:cs="Times New Roman"/>
        </w:rPr>
        <w:footnoteRef/>
      </w:r>
      <w:r w:rsidR="007D0724" w:rsidRPr="007D0724">
        <w:rPr>
          <w:rFonts w:ascii="Times New Roman" w:hAnsi="Times New Roman" w:cs="Times New Roman"/>
        </w:rPr>
        <w:t xml:space="preserve"> </w:t>
      </w:r>
      <w:r w:rsidR="007D0724">
        <w:rPr>
          <w:rFonts w:ascii="Times New Roman" w:hAnsi="Times New Roman" w:cs="Times New Roman"/>
        </w:rPr>
        <w:t xml:space="preserve">Voy. </w:t>
      </w:r>
      <w:r w:rsidR="007D0724" w:rsidRPr="00145BA5">
        <w:rPr>
          <w:rFonts w:ascii="Times New Roman" w:hAnsi="Times New Roman" w:cs="Times New Roman"/>
        </w:rPr>
        <w:t xml:space="preserve">D. BLOMMAERT et C. ALTER, </w:t>
      </w:r>
      <w:r w:rsidR="00EF2FA8" w:rsidRPr="00EF2FA8">
        <w:rPr>
          <w:rFonts w:ascii="Times New Roman" w:hAnsi="Times New Roman" w:cs="Times New Roman"/>
          <w:i/>
        </w:rPr>
        <w:t xml:space="preserve">op. </w:t>
      </w:r>
      <w:proofErr w:type="spellStart"/>
      <w:proofErr w:type="gramStart"/>
      <w:r w:rsidR="00EF2FA8" w:rsidRPr="00EF2FA8">
        <w:rPr>
          <w:rFonts w:ascii="Times New Roman" w:hAnsi="Times New Roman" w:cs="Times New Roman"/>
          <w:i/>
        </w:rPr>
        <w:t>cit</w:t>
      </w:r>
      <w:proofErr w:type="spellEnd"/>
      <w:r w:rsidR="00EF2FA8">
        <w:rPr>
          <w:rFonts w:ascii="Times New Roman" w:hAnsi="Times New Roman" w:cs="Times New Roman"/>
        </w:rPr>
        <w:t>.</w:t>
      </w:r>
      <w:r w:rsidR="007D0724" w:rsidRPr="00145BA5">
        <w:rPr>
          <w:rFonts w:ascii="Times New Roman" w:hAnsi="Times New Roman" w:cs="Times New Roman"/>
        </w:rPr>
        <w:t>,</w:t>
      </w:r>
      <w:proofErr w:type="gramEnd"/>
      <w:r w:rsidR="007D0724" w:rsidRPr="00145BA5">
        <w:rPr>
          <w:rFonts w:ascii="Times New Roman" w:hAnsi="Times New Roman" w:cs="Times New Roman"/>
        </w:rPr>
        <w:t xml:space="preserve"> </w:t>
      </w:r>
      <w:r w:rsidR="007D0724" w:rsidRPr="00145BA5">
        <w:rPr>
          <w:rFonts w:ascii="Times New Roman" w:hAnsi="Times New Roman" w:cs="Times New Roman"/>
          <w:i/>
        </w:rPr>
        <w:t>in Les petites et moyennes entreprises dans le droit des affaires</w:t>
      </w:r>
      <w:r w:rsidR="007D0724" w:rsidRPr="00145BA5">
        <w:rPr>
          <w:rFonts w:ascii="Times New Roman" w:hAnsi="Times New Roman" w:cs="Times New Roman"/>
        </w:rPr>
        <w:t>, Bruylant, 2016, p.</w:t>
      </w:r>
      <w:r w:rsidR="007D0724">
        <w:rPr>
          <w:rFonts w:ascii="Times New Roman" w:hAnsi="Times New Roman" w:cs="Times New Roman"/>
        </w:rPr>
        <w:t xml:space="preserve"> 76, n° 40 : « si le crédit dépasse un million d’euros, l’indemnité de remploi doit être établie conventionnellement entre le p</w:t>
      </w:r>
      <w:r w:rsidR="00C727F1">
        <w:rPr>
          <w:rFonts w:ascii="Times New Roman" w:hAnsi="Times New Roman" w:cs="Times New Roman"/>
        </w:rPr>
        <w:t>r</w:t>
      </w:r>
      <w:r w:rsidR="007D0724">
        <w:rPr>
          <w:rFonts w:ascii="Times New Roman" w:hAnsi="Times New Roman" w:cs="Times New Roman"/>
        </w:rPr>
        <w:t xml:space="preserve">êteur et l’entreprise » alors que « pour les crédits ne dépassant pas un million d’euros, </w:t>
      </w:r>
      <w:r w:rsidR="00C727F1">
        <w:rPr>
          <w:rFonts w:ascii="Times New Roman" w:hAnsi="Times New Roman" w:cs="Times New Roman"/>
        </w:rPr>
        <w:t>l’indemnité de remploi pouvant être réclamée par le prêteur ne peut excéder six mois d’intérêts, calculés sur la somme remboursée anticipativement et aux taux fixé dans le contrat ». L’indemnité de remploi devant être conventionnellement arrêtée entre les parties dans les crédits dont le montant est supérieur à un million d’euros doit toutefois être conforme aux règles prévues dans le Code de conduite. Soulignons que cette limite d’un million d’euros fait l’objet de controverses et de critiques.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5D9E"/>
    <w:multiLevelType w:val="hybridMultilevel"/>
    <w:tmpl w:val="8208F278"/>
    <w:lvl w:ilvl="0" w:tplc="C2221DAA">
      <w:start w:val="1"/>
      <w:numFmt w:val="decimal"/>
      <w:lvlText w:val="%1."/>
      <w:lvlJc w:val="left"/>
      <w:pPr>
        <w:ind w:left="720"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A0E72E7"/>
    <w:multiLevelType w:val="hybridMultilevel"/>
    <w:tmpl w:val="70BA13D2"/>
    <w:lvl w:ilvl="0" w:tplc="B5E49F94">
      <w:start w:val="1"/>
      <w:numFmt w:val="decimal"/>
      <w:lvlText w:val="%1."/>
      <w:lvlJc w:val="left"/>
      <w:pPr>
        <w:ind w:left="720"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D9"/>
    <w:rsid w:val="0002288E"/>
    <w:rsid w:val="000338EC"/>
    <w:rsid w:val="000346E3"/>
    <w:rsid w:val="00040AB4"/>
    <w:rsid w:val="000646DA"/>
    <w:rsid w:val="00071F4C"/>
    <w:rsid w:val="000E1316"/>
    <w:rsid w:val="001424D3"/>
    <w:rsid w:val="00145BA5"/>
    <w:rsid w:val="00184CD9"/>
    <w:rsid w:val="001B54A2"/>
    <w:rsid w:val="001E0907"/>
    <w:rsid w:val="001F412C"/>
    <w:rsid w:val="0020512E"/>
    <w:rsid w:val="00213F2E"/>
    <w:rsid w:val="00277930"/>
    <w:rsid w:val="00284F2B"/>
    <w:rsid w:val="002C53BD"/>
    <w:rsid w:val="002C6C37"/>
    <w:rsid w:val="003120B7"/>
    <w:rsid w:val="0031692A"/>
    <w:rsid w:val="00337C6F"/>
    <w:rsid w:val="00361210"/>
    <w:rsid w:val="00371EA1"/>
    <w:rsid w:val="003725E1"/>
    <w:rsid w:val="003747E3"/>
    <w:rsid w:val="003B2236"/>
    <w:rsid w:val="003D1E71"/>
    <w:rsid w:val="003D67D8"/>
    <w:rsid w:val="004C0F76"/>
    <w:rsid w:val="004E3119"/>
    <w:rsid w:val="005161E4"/>
    <w:rsid w:val="00517BD6"/>
    <w:rsid w:val="00570054"/>
    <w:rsid w:val="0059631D"/>
    <w:rsid w:val="00597CB6"/>
    <w:rsid w:val="005A0B6A"/>
    <w:rsid w:val="005A6CBB"/>
    <w:rsid w:val="005C6BAE"/>
    <w:rsid w:val="005C7BFA"/>
    <w:rsid w:val="005D5E99"/>
    <w:rsid w:val="005F63CC"/>
    <w:rsid w:val="00692529"/>
    <w:rsid w:val="006C1D10"/>
    <w:rsid w:val="006E5EB0"/>
    <w:rsid w:val="00701168"/>
    <w:rsid w:val="0070543B"/>
    <w:rsid w:val="00711D74"/>
    <w:rsid w:val="00715B53"/>
    <w:rsid w:val="0072160B"/>
    <w:rsid w:val="00756093"/>
    <w:rsid w:val="007743A2"/>
    <w:rsid w:val="00787AB0"/>
    <w:rsid w:val="007D0724"/>
    <w:rsid w:val="00803729"/>
    <w:rsid w:val="00871A37"/>
    <w:rsid w:val="008D08C6"/>
    <w:rsid w:val="00910DAB"/>
    <w:rsid w:val="00924D0A"/>
    <w:rsid w:val="009D1E34"/>
    <w:rsid w:val="00A7416D"/>
    <w:rsid w:val="00A87952"/>
    <w:rsid w:val="00AB3F40"/>
    <w:rsid w:val="00AC4A2C"/>
    <w:rsid w:val="00AF6A5A"/>
    <w:rsid w:val="00B22FFF"/>
    <w:rsid w:val="00B26D19"/>
    <w:rsid w:val="00B726E3"/>
    <w:rsid w:val="00C066A4"/>
    <w:rsid w:val="00C727F1"/>
    <w:rsid w:val="00C946BA"/>
    <w:rsid w:val="00CA1BE5"/>
    <w:rsid w:val="00CF430F"/>
    <w:rsid w:val="00CF7D2C"/>
    <w:rsid w:val="00D338FC"/>
    <w:rsid w:val="00D44EB7"/>
    <w:rsid w:val="00D900D9"/>
    <w:rsid w:val="00DE6033"/>
    <w:rsid w:val="00DF2816"/>
    <w:rsid w:val="00E408CF"/>
    <w:rsid w:val="00E46769"/>
    <w:rsid w:val="00ED34B7"/>
    <w:rsid w:val="00EF2FA8"/>
    <w:rsid w:val="00F914C5"/>
    <w:rsid w:val="00FB21A5"/>
    <w:rsid w:val="00FD4DB7"/>
    <w:rsid w:val="00FE7A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25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2529"/>
    <w:rPr>
      <w:sz w:val="20"/>
      <w:szCs w:val="20"/>
    </w:rPr>
  </w:style>
  <w:style w:type="character" w:styleId="Appelnotedebasdep">
    <w:name w:val="footnote reference"/>
    <w:basedOn w:val="Policepardfaut"/>
    <w:uiPriority w:val="99"/>
    <w:semiHidden/>
    <w:unhideWhenUsed/>
    <w:rsid w:val="00692529"/>
    <w:rPr>
      <w:vertAlign w:val="superscript"/>
    </w:rPr>
  </w:style>
  <w:style w:type="paragraph" w:styleId="En-tte">
    <w:name w:val="header"/>
    <w:basedOn w:val="Normal"/>
    <w:link w:val="En-tteCar"/>
    <w:uiPriority w:val="99"/>
    <w:unhideWhenUsed/>
    <w:rsid w:val="006C1D10"/>
    <w:pPr>
      <w:tabs>
        <w:tab w:val="center" w:pos="4536"/>
        <w:tab w:val="right" w:pos="9072"/>
      </w:tabs>
      <w:spacing w:after="0" w:line="240" w:lineRule="auto"/>
    </w:pPr>
  </w:style>
  <w:style w:type="character" w:customStyle="1" w:styleId="En-tteCar">
    <w:name w:val="En-tête Car"/>
    <w:basedOn w:val="Policepardfaut"/>
    <w:link w:val="En-tte"/>
    <w:uiPriority w:val="99"/>
    <w:rsid w:val="006C1D10"/>
  </w:style>
  <w:style w:type="paragraph" w:styleId="Pieddepage">
    <w:name w:val="footer"/>
    <w:basedOn w:val="Normal"/>
    <w:link w:val="PieddepageCar"/>
    <w:uiPriority w:val="99"/>
    <w:unhideWhenUsed/>
    <w:rsid w:val="006C1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1D10"/>
  </w:style>
  <w:style w:type="character" w:styleId="Lienhypertexte">
    <w:name w:val="Hyperlink"/>
    <w:basedOn w:val="Policepardfaut"/>
    <w:uiPriority w:val="99"/>
    <w:semiHidden/>
    <w:unhideWhenUsed/>
    <w:rsid w:val="0072160B"/>
    <w:rPr>
      <w:strike w:val="0"/>
      <w:dstrike w:val="0"/>
      <w:color w:val="428BCA"/>
      <w:u w:val="none"/>
      <w:effect w:val="none"/>
      <w:shd w:val="clear" w:color="auto" w:fill="auto"/>
    </w:rPr>
  </w:style>
  <w:style w:type="paragraph" w:styleId="Paragraphedeliste">
    <w:name w:val="List Paragraph"/>
    <w:basedOn w:val="Normal"/>
    <w:uiPriority w:val="34"/>
    <w:qFormat/>
    <w:rsid w:val="005C6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25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2529"/>
    <w:rPr>
      <w:sz w:val="20"/>
      <w:szCs w:val="20"/>
    </w:rPr>
  </w:style>
  <w:style w:type="character" w:styleId="Appelnotedebasdep">
    <w:name w:val="footnote reference"/>
    <w:basedOn w:val="Policepardfaut"/>
    <w:uiPriority w:val="99"/>
    <w:semiHidden/>
    <w:unhideWhenUsed/>
    <w:rsid w:val="00692529"/>
    <w:rPr>
      <w:vertAlign w:val="superscript"/>
    </w:rPr>
  </w:style>
  <w:style w:type="paragraph" w:styleId="En-tte">
    <w:name w:val="header"/>
    <w:basedOn w:val="Normal"/>
    <w:link w:val="En-tteCar"/>
    <w:uiPriority w:val="99"/>
    <w:unhideWhenUsed/>
    <w:rsid w:val="006C1D10"/>
    <w:pPr>
      <w:tabs>
        <w:tab w:val="center" w:pos="4536"/>
        <w:tab w:val="right" w:pos="9072"/>
      </w:tabs>
      <w:spacing w:after="0" w:line="240" w:lineRule="auto"/>
    </w:pPr>
  </w:style>
  <w:style w:type="character" w:customStyle="1" w:styleId="En-tteCar">
    <w:name w:val="En-tête Car"/>
    <w:basedOn w:val="Policepardfaut"/>
    <w:link w:val="En-tte"/>
    <w:uiPriority w:val="99"/>
    <w:rsid w:val="006C1D10"/>
  </w:style>
  <w:style w:type="paragraph" w:styleId="Pieddepage">
    <w:name w:val="footer"/>
    <w:basedOn w:val="Normal"/>
    <w:link w:val="PieddepageCar"/>
    <w:uiPriority w:val="99"/>
    <w:unhideWhenUsed/>
    <w:rsid w:val="006C1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1D10"/>
  </w:style>
  <w:style w:type="character" w:styleId="Lienhypertexte">
    <w:name w:val="Hyperlink"/>
    <w:basedOn w:val="Policepardfaut"/>
    <w:uiPriority w:val="99"/>
    <w:semiHidden/>
    <w:unhideWhenUsed/>
    <w:rsid w:val="0072160B"/>
    <w:rPr>
      <w:strike w:val="0"/>
      <w:dstrike w:val="0"/>
      <w:color w:val="428BCA"/>
      <w:u w:val="none"/>
      <w:effect w:val="none"/>
      <w:shd w:val="clear" w:color="auto" w:fill="auto"/>
    </w:rPr>
  </w:style>
  <w:style w:type="paragraph" w:styleId="Paragraphedeliste">
    <w:name w:val="List Paragraph"/>
    <w:basedOn w:val="Normal"/>
    <w:uiPriority w:val="34"/>
    <w:qFormat/>
    <w:rsid w:val="005C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0A8B-097B-42BB-AC2F-7D164AF3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6</Pages>
  <Words>2330</Words>
  <Characters>12820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PRIMINFO</dc:creator>
  <cp:keywords/>
  <dc:description/>
  <cp:lastModifiedBy>PRIMINFO</cp:lastModifiedBy>
  <cp:revision>16</cp:revision>
  <cp:lastPrinted>2017-03-20T09:14:00Z</cp:lastPrinted>
  <dcterms:created xsi:type="dcterms:W3CDTF">2017-03-02T09:57:00Z</dcterms:created>
  <dcterms:modified xsi:type="dcterms:W3CDTF">2017-03-20T09:29:00Z</dcterms:modified>
</cp:coreProperties>
</file>