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8789"/>
      </w:tblGrid>
      <w:tr w:rsidR="005D62DC" w:rsidTr="00331CD3">
        <w:trPr>
          <w:trHeight w:val="567"/>
          <w:jc w:val="center"/>
        </w:trPr>
        <w:tc>
          <w:tcPr>
            <w:tcW w:w="8789" w:type="dxa"/>
          </w:tcPr>
          <w:p w:rsidR="00171D3F" w:rsidRPr="00171D3F" w:rsidRDefault="00171D3F" w:rsidP="00171D3F">
            <w:pPr>
              <w:jc w:val="center"/>
              <w:rPr>
                <w:rFonts w:ascii="Arial" w:hAnsi="Arial" w:cs="Arial"/>
                <w:sz w:val="32"/>
                <w:szCs w:val="32"/>
              </w:rPr>
            </w:pPr>
            <w:r w:rsidRPr="00171D3F">
              <w:rPr>
                <w:rFonts w:ascii="Arial" w:hAnsi="Arial" w:cs="Arial"/>
                <w:sz w:val="32"/>
                <w:szCs w:val="32"/>
              </w:rPr>
              <w:t>Early eukaryote evolution: microanalyses of remarkable microfossils of the Late Mesoproterozoic–Early Neoproterozoic</w:t>
            </w:r>
          </w:p>
          <w:p w:rsidR="004D1BCA" w:rsidRPr="007B400A" w:rsidRDefault="004D1BCA" w:rsidP="00807CAB">
            <w:pPr>
              <w:pStyle w:val="Sansinterligne"/>
              <w:jc w:val="center"/>
              <w:rPr>
                <w:rFonts w:ascii="Arial" w:hAnsi="Arial" w:cs="Arial"/>
                <w:sz w:val="32"/>
                <w:szCs w:val="32"/>
              </w:rPr>
            </w:pPr>
          </w:p>
        </w:tc>
      </w:tr>
      <w:tr w:rsidR="005D62DC" w:rsidRPr="006B26B7" w:rsidTr="00331CD3">
        <w:trPr>
          <w:jc w:val="center"/>
        </w:trPr>
        <w:tc>
          <w:tcPr>
            <w:tcW w:w="8789" w:type="dxa"/>
          </w:tcPr>
          <w:p w:rsidR="007B400A" w:rsidRPr="00171D3F" w:rsidRDefault="00171D3F" w:rsidP="00171D3F">
            <w:pPr>
              <w:spacing w:before="240"/>
              <w:jc w:val="center"/>
              <w:rPr>
                <w:rFonts w:ascii="Times New Roman" w:hAnsi="Times New Roman" w:cs="Times New Roman"/>
                <w:lang w:val="fr-BE"/>
              </w:rPr>
            </w:pPr>
            <w:r w:rsidRPr="00171D3F">
              <w:rPr>
                <w:rFonts w:ascii="Times New Roman" w:hAnsi="Times New Roman" w:cs="Times New Roman"/>
                <w:lang w:val="fr-BE"/>
              </w:rPr>
              <w:t>Y. Cornet</w:t>
            </w:r>
            <w:r w:rsidRPr="00171D3F">
              <w:rPr>
                <w:rFonts w:ascii="Times New Roman" w:hAnsi="Times New Roman" w:cs="Times New Roman"/>
                <w:color w:val="000000"/>
                <w:vertAlign w:val="superscript"/>
                <w:lang w:val="fr-BE"/>
              </w:rPr>
              <w:t>1</w:t>
            </w:r>
            <w:r w:rsidRPr="00171D3F">
              <w:rPr>
                <w:rFonts w:ascii="Times New Roman" w:hAnsi="Times New Roman" w:cs="Times New Roman"/>
                <w:color w:val="000000"/>
                <w:lang w:val="fr-BE"/>
              </w:rPr>
              <w:t>,  J.</w:t>
            </w:r>
            <w:r w:rsidRPr="00171D3F">
              <w:rPr>
                <w:rFonts w:ascii="Times New Roman" w:hAnsi="Times New Roman" w:cs="Times New Roman"/>
                <w:color w:val="000000"/>
                <w:vertAlign w:val="superscript"/>
                <w:lang w:val="fr-BE"/>
              </w:rPr>
              <w:t xml:space="preserve"> </w:t>
            </w:r>
            <w:proofErr w:type="gramStart"/>
            <w:r w:rsidRPr="00171D3F">
              <w:rPr>
                <w:rFonts w:ascii="Times New Roman" w:hAnsi="Times New Roman" w:cs="Times New Roman"/>
                <w:color w:val="000000"/>
                <w:lang w:val="fr-BE"/>
              </w:rPr>
              <w:t>Beghin</w:t>
            </w:r>
            <w:r w:rsidRPr="00171D3F">
              <w:rPr>
                <w:rFonts w:ascii="Times New Roman" w:hAnsi="Times New Roman" w:cs="Times New Roman"/>
                <w:color w:val="000000"/>
                <w:vertAlign w:val="superscript"/>
                <w:lang w:val="fr-BE"/>
              </w:rPr>
              <w:t>1 </w:t>
            </w:r>
            <w:r w:rsidRPr="00171D3F">
              <w:rPr>
                <w:rFonts w:ascii="Times New Roman" w:hAnsi="Times New Roman" w:cs="Times New Roman"/>
                <w:color w:val="000000"/>
                <w:lang w:val="fr-BE"/>
              </w:rPr>
              <w:t>,</w:t>
            </w:r>
            <w:proofErr w:type="gramEnd"/>
            <w:r w:rsidRPr="00171D3F">
              <w:rPr>
                <w:rFonts w:ascii="Times New Roman" w:hAnsi="Times New Roman" w:cs="Times New Roman"/>
                <w:color w:val="000000"/>
                <w:lang w:val="fr-BE"/>
              </w:rPr>
              <w:t xml:space="preserve"> B K. Baludikay</w:t>
            </w:r>
            <w:r w:rsidRPr="00171D3F">
              <w:rPr>
                <w:rFonts w:ascii="Times New Roman" w:hAnsi="Times New Roman" w:cs="Times New Roman"/>
                <w:color w:val="000000"/>
                <w:vertAlign w:val="superscript"/>
                <w:lang w:val="fr-BE"/>
              </w:rPr>
              <w:t>1 </w:t>
            </w:r>
            <w:r w:rsidRPr="00171D3F">
              <w:rPr>
                <w:rFonts w:ascii="Times New Roman" w:hAnsi="Times New Roman" w:cs="Times New Roman"/>
                <w:color w:val="000000"/>
                <w:lang w:val="fr-BE"/>
              </w:rPr>
              <w:t>, C. François</w:t>
            </w:r>
            <w:r w:rsidRPr="00171D3F">
              <w:rPr>
                <w:rFonts w:ascii="Times New Roman" w:hAnsi="Times New Roman" w:cs="Times New Roman"/>
                <w:color w:val="000000"/>
                <w:vertAlign w:val="superscript"/>
                <w:lang w:val="fr-BE"/>
              </w:rPr>
              <w:t>1 </w:t>
            </w:r>
            <w:r w:rsidRPr="00171D3F">
              <w:rPr>
                <w:rFonts w:ascii="Times New Roman" w:hAnsi="Times New Roman" w:cs="Times New Roman"/>
                <w:color w:val="000000"/>
                <w:lang w:val="fr-BE"/>
              </w:rPr>
              <w:t>, P. Compère</w:t>
            </w:r>
            <w:r w:rsidRPr="00171D3F">
              <w:rPr>
                <w:rFonts w:ascii="Times New Roman" w:hAnsi="Times New Roman" w:cs="Times New Roman"/>
                <w:color w:val="000000"/>
                <w:vertAlign w:val="superscript"/>
                <w:lang w:val="fr-BE"/>
              </w:rPr>
              <w:t xml:space="preserve"> 2</w:t>
            </w:r>
            <w:r w:rsidRPr="00171D3F">
              <w:rPr>
                <w:rFonts w:ascii="Times New Roman" w:hAnsi="Times New Roman" w:cs="Times New Roman"/>
                <w:color w:val="000000"/>
                <w:lang w:val="fr-BE"/>
              </w:rPr>
              <w:t>, E.J. Javaux</w:t>
            </w:r>
            <w:r w:rsidRPr="00171D3F">
              <w:rPr>
                <w:rFonts w:ascii="Times New Roman" w:hAnsi="Times New Roman" w:cs="Times New Roman"/>
                <w:color w:val="000000"/>
                <w:vertAlign w:val="superscript"/>
                <w:lang w:val="fr-BE"/>
              </w:rPr>
              <w:t>1</w:t>
            </w:r>
          </w:p>
        </w:tc>
      </w:tr>
      <w:tr w:rsidR="005D62DC" w:rsidRPr="00171D3F" w:rsidTr="00331CD3">
        <w:trPr>
          <w:jc w:val="center"/>
        </w:trPr>
        <w:tc>
          <w:tcPr>
            <w:tcW w:w="8789" w:type="dxa"/>
          </w:tcPr>
          <w:p w:rsidR="00B57FBA" w:rsidRPr="00171D3F" w:rsidRDefault="00171D3F" w:rsidP="006466AE">
            <w:pPr>
              <w:rPr>
                <w:rFonts w:ascii="Times New Roman" w:hAnsi="Times New Roman" w:cs="Times New Roman"/>
                <w:sz w:val="18"/>
                <w:szCs w:val="18"/>
              </w:rPr>
            </w:pPr>
            <w:r w:rsidRPr="00171D3F">
              <w:rPr>
                <w:rFonts w:ascii="Times New Roman" w:hAnsi="Times New Roman" w:cs="Times New Roman"/>
                <w:sz w:val="18"/>
                <w:szCs w:val="18"/>
                <w:vertAlign w:val="superscript"/>
              </w:rPr>
              <w:t>1</w:t>
            </w:r>
            <w:r w:rsidRPr="00171D3F">
              <w:rPr>
                <w:rFonts w:ascii="Times New Roman" w:hAnsi="Times New Roman" w:cs="Times New Roman"/>
                <w:sz w:val="18"/>
                <w:szCs w:val="18"/>
              </w:rPr>
              <w:t xml:space="preserve"> </w:t>
            </w:r>
            <w:proofErr w:type="spellStart"/>
            <w:r w:rsidRPr="00171D3F">
              <w:rPr>
                <w:rFonts w:ascii="Times New Roman" w:hAnsi="Times New Roman" w:cs="Times New Roman"/>
                <w:sz w:val="18"/>
                <w:szCs w:val="18"/>
              </w:rPr>
              <w:t>Palaeobiogeobiology-Palaeobotany-Palaeopalynology</w:t>
            </w:r>
            <w:proofErr w:type="spellEnd"/>
            <w:r w:rsidRPr="00171D3F">
              <w:rPr>
                <w:rFonts w:ascii="Times New Roman" w:hAnsi="Times New Roman" w:cs="Times New Roman"/>
                <w:sz w:val="18"/>
                <w:szCs w:val="18"/>
              </w:rPr>
              <w:t>, UR GEOLOGY, University of Li</w:t>
            </w:r>
            <w:r w:rsidR="006B26B7">
              <w:rPr>
                <w:rFonts w:ascii="Times New Roman" w:hAnsi="Times New Roman" w:cs="Times New Roman"/>
                <w:sz w:val="18"/>
                <w:szCs w:val="18"/>
              </w:rPr>
              <w:t>e</w:t>
            </w:r>
            <w:r w:rsidRPr="00171D3F">
              <w:rPr>
                <w:rFonts w:ascii="Times New Roman" w:hAnsi="Times New Roman" w:cs="Times New Roman"/>
                <w:sz w:val="18"/>
                <w:szCs w:val="18"/>
              </w:rPr>
              <w:t xml:space="preserve">ge, </w:t>
            </w:r>
            <w:r w:rsidR="006B26B7" w:rsidRPr="00171D3F">
              <w:rPr>
                <w:rFonts w:ascii="Times New Roman" w:hAnsi="Times New Roman" w:cs="Times New Roman"/>
                <w:sz w:val="18"/>
                <w:szCs w:val="18"/>
              </w:rPr>
              <w:t>Liège,</w:t>
            </w:r>
            <w:r w:rsidRPr="00171D3F">
              <w:rPr>
                <w:rFonts w:ascii="Times New Roman" w:hAnsi="Times New Roman" w:cs="Times New Roman"/>
                <w:sz w:val="18"/>
                <w:szCs w:val="18"/>
              </w:rPr>
              <w:t xml:space="preserve"> Belgium.</w:t>
            </w:r>
          </w:p>
          <w:p w:rsidR="00171D3F" w:rsidRPr="00171D3F" w:rsidRDefault="00171D3F" w:rsidP="006B26B7">
            <w:pPr>
              <w:rPr>
                <w:rFonts w:ascii="Times New Roman" w:hAnsi="Times New Roman" w:cs="Times New Roman"/>
                <w:sz w:val="18"/>
                <w:szCs w:val="18"/>
              </w:rPr>
            </w:pPr>
            <w:r w:rsidRPr="00171D3F">
              <w:rPr>
                <w:rFonts w:ascii="Times New Roman" w:hAnsi="Times New Roman" w:cs="Times New Roman"/>
                <w:sz w:val="18"/>
                <w:szCs w:val="18"/>
                <w:vertAlign w:val="superscript"/>
              </w:rPr>
              <w:t>2</w:t>
            </w:r>
            <w:r w:rsidRPr="00171D3F">
              <w:rPr>
                <w:rFonts w:ascii="Times New Roman" w:eastAsia="Times New Roman" w:hAnsi="Times New Roman" w:cs="Times New Roman"/>
                <w:color w:val="000000"/>
                <w:sz w:val="18"/>
                <w:szCs w:val="18"/>
                <w:lang w:eastAsia="fr-BE"/>
              </w:rPr>
              <w:t xml:space="preserve"> </w:t>
            </w:r>
            <w:r w:rsidR="006B26B7">
              <w:rPr>
                <w:rFonts w:ascii="Times New Roman" w:eastAsia="Times New Roman" w:hAnsi="Times New Roman" w:cs="Times New Roman"/>
                <w:color w:val="000000"/>
                <w:sz w:val="18"/>
                <w:szCs w:val="18"/>
                <w:lang w:eastAsia="fr-BE"/>
              </w:rPr>
              <w:t xml:space="preserve">Laboratory of Functional and Evolutive </w:t>
            </w:r>
            <w:r w:rsidR="006B26B7" w:rsidRPr="006B26B7">
              <w:rPr>
                <w:rFonts w:ascii="Times New Roman" w:eastAsia="Times New Roman" w:hAnsi="Times New Roman" w:cs="Times New Roman"/>
                <w:color w:val="000000"/>
                <w:sz w:val="18"/>
                <w:szCs w:val="18"/>
                <w:lang w:eastAsia="fr-BE"/>
              </w:rPr>
              <w:t xml:space="preserve">Morphology, UR FOCUS &amp; </w:t>
            </w:r>
            <w:r w:rsidR="006B26B7" w:rsidRPr="006B26B7">
              <w:rPr>
                <w:rFonts w:ascii="Times New Roman" w:hAnsi="Times New Roman" w:cs="Times New Roman"/>
                <w:sz w:val="18"/>
                <w:szCs w:val="18"/>
              </w:rPr>
              <w:t>Cell of</w:t>
            </w:r>
            <w:r w:rsidR="006B26B7">
              <w:rPr>
                <w:rFonts w:ascii="Times New Roman" w:hAnsi="Times New Roman" w:cs="Times New Roman"/>
                <w:sz w:val="18"/>
                <w:szCs w:val="18"/>
              </w:rPr>
              <w:t xml:space="preserve"> Aid for Research and Teaching in </w:t>
            </w:r>
            <w:r w:rsidR="006B26B7" w:rsidRPr="006B26B7">
              <w:rPr>
                <w:rFonts w:ascii="Times New Roman" w:hAnsi="Times New Roman" w:cs="Times New Roman"/>
                <w:sz w:val="18"/>
                <w:szCs w:val="18"/>
              </w:rPr>
              <w:t>Microscopy</w:t>
            </w:r>
            <w:r w:rsidR="006B26B7" w:rsidRPr="006B26B7">
              <w:rPr>
                <w:rFonts w:ascii="Times New Roman" w:eastAsia="Times New Roman" w:hAnsi="Times New Roman" w:cs="Times New Roman"/>
                <w:color w:val="000000"/>
                <w:sz w:val="18"/>
                <w:szCs w:val="18"/>
                <w:lang w:eastAsia="fr-BE"/>
              </w:rPr>
              <w:t xml:space="preserve"> </w:t>
            </w:r>
            <w:r w:rsidRPr="006B26B7">
              <w:rPr>
                <w:rFonts w:ascii="Times New Roman" w:eastAsia="Times New Roman" w:hAnsi="Times New Roman" w:cs="Times New Roman"/>
                <w:color w:val="000000"/>
                <w:sz w:val="18"/>
                <w:szCs w:val="18"/>
                <w:lang w:eastAsia="fr-BE"/>
              </w:rPr>
              <w:t xml:space="preserve"> University of Li</w:t>
            </w:r>
            <w:r w:rsidR="006B26B7" w:rsidRPr="006B26B7">
              <w:rPr>
                <w:rFonts w:ascii="Times New Roman" w:eastAsia="Times New Roman" w:hAnsi="Times New Roman" w:cs="Times New Roman"/>
                <w:color w:val="000000"/>
                <w:sz w:val="18"/>
                <w:szCs w:val="18"/>
                <w:lang w:eastAsia="fr-BE"/>
              </w:rPr>
              <w:t>e</w:t>
            </w:r>
            <w:r w:rsidRPr="006B26B7">
              <w:rPr>
                <w:rFonts w:ascii="Times New Roman" w:eastAsia="Times New Roman" w:hAnsi="Times New Roman" w:cs="Times New Roman"/>
                <w:color w:val="000000"/>
                <w:sz w:val="18"/>
                <w:szCs w:val="18"/>
                <w:lang w:eastAsia="fr-BE"/>
              </w:rPr>
              <w:t>g</w:t>
            </w:r>
            <w:r w:rsidR="006B26B7">
              <w:rPr>
                <w:rFonts w:ascii="Times New Roman" w:eastAsia="Times New Roman" w:hAnsi="Times New Roman" w:cs="Times New Roman"/>
                <w:color w:val="000000"/>
                <w:sz w:val="18"/>
                <w:szCs w:val="18"/>
                <w:lang w:eastAsia="fr-BE"/>
              </w:rPr>
              <w:t>e, Lie</w:t>
            </w:r>
            <w:r w:rsidRPr="00171D3F">
              <w:rPr>
                <w:rFonts w:ascii="Times New Roman" w:eastAsia="Times New Roman" w:hAnsi="Times New Roman" w:cs="Times New Roman"/>
                <w:color w:val="000000"/>
                <w:sz w:val="18"/>
                <w:szCs w:val="18"/>
                <w:lang w:eastAsia="fr-BE"/>
              </w:rPr>
              <w:t>ge, Belgium</w:t>
            </w:r>
          </w:p>
        </w:tc>
      </w:tr>
      <w:tr w:rsidR="005D62DC" w:rsidRPr="00807CAB" w:rsidTr="00331CD3">
        <w:trPr>
          <w:trHeight w:hRule="exact" w:val="567"/>
          <w:jc w:val="center"/>
        </w:trPr>
        <w:tc>
          <w:tcPr>
            <w:tcW w:w="8789" w:type="dxa"/>
          </w:tcPr>
          <w:p w:rsidR="00095BBD" w:rsidRDefault="00095BBD" w:rsidP="00807CAB">
            <w:pPr>
              <w:pStyle w:val="Sansinterligne"/>
              <w:spacing w:before="120"/>
              <w:rPr>
                <w:rFonts w:ascii="Times New Roman" w:hAnsi="Times New Roman" w:cs="Times New Roman"/>
                <w:noProof/>
                <w:sz w:val="16"/>
                <w:szCs w:val="16"/>
              </w:rPr>
            </w:pPr>
            <w:r w:rsidRPr="00095BBD">
              <w:rPr>
                <w:rFonts w:ascii="Times New Roman" w:hAnsi="Times New Roman" w:cs="Times New Roman"/>
                <w:sz w:val="16"/>
                <w:szCs w:val="16"/>
              </w:rPr>
              <w:t>y.cornet@ulg.ac.be</w:t>
            </w:r>
            <w:r>
              <w:rPr>
                <w:rFonts w:ascii="Times New Roman" w:hAnsi="Times New Roman" w:cs="Times New Roman"/>
                <w:sz w:val="16"/>
                <w:szCs w:val="16"/>
              </w:rPr>
              <w:t xml:space="preserve"> </w:t>
            </w:r>
            <w:r w:rsidRPr="00095BBD">
              <w:rPr>
                <w:rFonts w:ascii="Times New Roman" w:hAnsi="Times New Roman" w:cs="Times New Roman"/>
                <w:sz w:val="16"/>
                <w:szCs w:val="16"/>
              </w:rPr>
              <w:t>-</w:t>
            </w:r>
            <w:r>
              <w:rPr>
                <w:rFonts w:ascii="Times New Roman" w:hAnsi="Times New Roman" w:cs="Times New Roman"/>
                <w:sz w:val="16"/>
                <w:szCs w:val="16"/>
              </w:rPr>
              <w:t xml:space="preserve"> </w:t>
            </w:r>
            <w:r w:rsidRPr="00095BBD">
              <w:rPr>
                <w:rFonts w:ascii="Times New Roman" w:hAnsi="Times New Roman" w:cs="Times New Roman"/>
                <w:noProof/>
                <w:sz w:val="16"/>
                <w:szCs w:val="16"/>
              </w:rPr>
              <w:t>ej.javaux@ulg.ac.be</w:t>
            </w:r>
          </w:p>
          <w:p w:rsidR="00095BBD" w:rsidRPr="00171D3F" w:rsidRDefault="00095BBD" w:rsidP="00807CAB">
            <w:pPr>
              <w:pStyle w:val="Sansinterligne"/>
              <w:spacing w:before="120"/>
              <w:rPr>
                <w:rFonts w:ascii="Times New Roman" w:hAnsi="Times New Roman" w:cs="Times New Roman"/>
                <w:sz w:val="16"/>
                <w:szCs w:val="16"/>
              </w:rPr>
            </w:pPr>
          </w:p>
        </w:tc>
      </w:tr>
    </w:tbl>
    <w:p w:rsidR="00FF2B3A" w:rsidRPr="00171D3F" w:rsidRDefault="00741522" w:rsidP="00F70281">
      <w:r w:rsidRPr="00741522">
        <w:rPr>
          <w:noProof/>
        </w:rPr>
        <w:pict>
          <v:shapetype id="_x0000_t202" coordsize="21600,21600" o:spt="202" path="m,l,21600r21600,l21600,xe">
            <v:stroke joinstyle="miter"/>
            <v:path gradientshapeok="t" o:connecttype="rect"/>
          </v:shapetype>
          <v:shape id="_x0000_s1028" type="#_x0000_t202" style="position:absolute;margin-left:71.25pt;margin-top:.85pt;width:453.55pt;height:310.3pt;z-index:251658240;mso-wrap-distance-left:0;mso-wrap-distance-right:0;mso-position-horizontal-relative:left-margin-area;mso-position-vertical-relative:text;mso-width-relative:margin;mso-height-relative:margin" stroked="f">
            <v:textbox style="mso-next-textbox:#_x0000_s1028" inset=".5mm,0,.5mm,0">
              <w:txbxContent>
                <w:p w:rsidR="00952678" w:rsidRPr="00952678" w:rsidRDefault="00952678" w:rsidP="00952678">
                  <w:pPr>
                    <w:spacing w:after="60"/>
                    <w:ind w:firstLine="708"/>
                    <w:jc w:val="both"/>
                    <w:rPr>
                      <w:rFonts w:ascii="Times New Roman" w:hAnsi="Times New Roman" w:cs="Times New Roman"/>
                      <w:sz w:val="20"/>
                      <w:szCs w:val="20"/>
                    </w:rPr>
                  </w:pPr>
                  <w:r w:rsidRPr="00952678">
                    <w:rPr>
                      <w:rFonts w:ascii="Times New Roman" w:hAnsi="Times New Roman" w:cs="Times New Roman"/>
                      <w:sz w:val="20"/>
                      <w:szCs w:val="20"/>
                    </w:rPr>
                    <w:t>The Late Mesoproterozoic–Early Neoproterozoic is an important period to investigate the diversification of early eukaryotes, prior to large “snowball Earth” glaciations and during time of changing ocean chemistry and supercontinent formation and breakup. Proterozoic fossils related to crown group eukaryotes</w:t>
                  </w:r>
                  <w:r w:rsidRPr="00952678" w:rsidDel="0081780C">
                    <w:rPr>
                      <w:rFonts w:ascii="Times New Roman" w:hAnsi="Times New Roman" w:cs="Times New Roman"/>
                      <w:sz w:val="20"/>
                      <w:szCs w:val="20"/>
                    </w:rPr>
                    <w:t xml:space="preserve"> </w:t>
                  </w:r>
                  <w:r w:rsidRPr="00952678">
                    <w:rPr>
                      <w:rFonts w:ascii="Times New Roman" w:hAnsi="Times New Roman" w:cs="Times New Roman"/>
                      <w:sz w:val="20"/>
                      <w:szCs w:val="20"/>
                    </w:rPr>
                    <w:t>include red algae, green algae, amoebozoa, putative fungi, and the first animals (Knoll et al, 2006; Butterfield, 2015). However most Proterozoic microfossils of unambiguous eukaryotes remain unidentified, and include biomineralized scales, vase-shaped microfossils, macroscopic remains, and microscopic organic-walled vesicles (acritarchs). The latter include</w:t>
                  </w:r>
                  <w:r>
                    <w:rPr>
                      <w:rFonts w:ascii="Times New Roman" w:hAnsi="Times New Roman" w:cs="Times New Roman"/>
                      <w:sz w:val="20"/>
                      <w:szCs w:val="20"/>
                    </w:rPr>
                    <w:t>s</w:t>
                  </w:r>
                  <w:r w:rsidRPr="00952678">
                    <w:rPr>
                      <w:rFonts w:ascii="Times New Roman" w:hAnsi="Times New Roman" w:cs="Times New Roman"/>
                      <w:sz w:val="20"/>
                      <w:szCs w:val="20"/>
                    </w:rPr>
                    <w:t xml:space="preserve"> distinct forms such as ~820-720 Ma </w:t>
                  </w:r>
                  <w:r w:rsidRPr="00952678">
                    <w:rPr>
                      <w:rFonts w:ascii="Times New Roman" w:hAnsi="Times New Roman" w:cs="Times New Roman"/>
                      <w:i/>
                      <w:sz w:val="20"/>
                      <w:szCs w:val="20"/>
                    </w:rPr>
                    <w:t xml:space="preserve">Cerebrosphaera buickii, </w:t>
                  </w:r>
                  <w:r w:rsidRPr="00952678">
                    <w:rPr>
                      <w:rFonts w:ascii="Times New Roman" w:hAnsi="Times New Roman" w:cs="Times New Roman"/>
                      <w:sz w:val="20"/>
                      <w:szCs w:val="20"/>
                    </w:rPr>
                    <w:t>1100-720 Ma</w:t>
                  </w:r>
                  <w:r w:rsidRPr="00952678">
                    <w:rPr>
                      <w:rFonts w:ascii="Times New Roman" w:hAnsi="Times New Roman" w:cs="Times New Roman"/>
                      <w:i/>
                      <w:sz w:val="20"/>
                      <w:szCs w:val="20"/>
                    </w:rPr>
                    <w:t xml:space="preserve"> Trachyhystrichosphaera</w:t>
                  </w:r>
                  <w:r w:rsidRPr="00952678">
                    <w:rPr>
                      <w:rFonts w:ascii="Times New Roman" w:hAnsi="Times New Roman" w:cs="Times New Roman"/>
                      <w:sz w:val="20"/>
                      <w:szCs w:val="20"/>
                    </w:rPr>
                    <w:t xml:space="preserve"> </w:t>
                  </w:r>
                  <w:r w:rsidRPr="00952678">
                    <w:rPr>
                      <w:rFonts w:ascii="Times New Roman" w:hAnsi="Times New Roman" w:cs="Times New Roman"/>
                      <w:i/>
                      <w:sz w:val="20"/>
                      <w:szCs w:val="20"/>
                    </w:rPr>
                    <w:t>aimika, T</w:t>
                  </w:r>
                  <w:r w:rsidRPr="00952678">
                    <w:rPr>
                      <w:rFonts w:ascii="Times New Roman" w:hAnsi="Times New Roman" w:cs="Times New Roman"/>
                      <w:sz w:val="20"/>
                      <w:szCs w:val="20"/>
                    </w:rPr>
                    <w:t>.</w:t>
                  </w:r>
                  <w:r w:rsidRPr="00952678">
                    <w:rPr>
                      <w:rFonts w:ascii="Times New Roman" w:hAnsi="Times New Roman" w:cs="Times New Roman"/>
                      <w:i/>
                      <w:sz w:val="20"/>
                      <w:szCs w:val="20"/>
                    </w:rPr>
                    <w:t xml:space="preserve"> botula</w:t>
                  </w:r>
                  <w:r w:rsidRPr="00952678">
                    <w:rPr>
                      <w:rFonts w:ascii="Times New Roman" w:hAnsi="Times New Roman" w:cs="Times New Roman"/>
                      <w:sz w:val="20"/>
                      <w:szCs w:val="20"/>
                    </w:rPr>
                    <w:t xml:space="preserve">, and the multicellular 1100-720 Ma </w:t>
                  </w:r>
                  <w:r w:rsidRPr="00952678">
                    <w:rPr>
                      <w:rFonts w:ascii="Times New Roman" w:hAnsi="Times New Roman" w:cs="Times New Roman"/>
                      <w:i/>
                      <w:sz w:val="20"/>
                      <w:szCs w:val="20"/>
                    </w:rPr>
                    <w:t>Jacutianema solubila</w:t>
                  </w:r>
                  <w:r w:rsidRPr="00952678">
                    <w:rPr>
                      <w:rFonts w:ascii="Times New Roman" w:hAnsi="Times New Roman" w:cs="Times New Roman"/>
                      <w:sz w:val="20"/>
                      <w:szCs w:val="20"/>
                    </w:rPr>
                    <w:t xml:space="preserve">. To characterize the taxonomy of these microfossils and test hypotheses about their paleobiology, and possible relationships to crown groups, we combine analyzes of their morphology, wall ultrastructure and microchemistry, using optical microscopy, Scanning and Transmission Electron microscopy (SEM, TEM), and Raman and FTIR microspectroscopy respectively. </w:t>
                  </w:r>
                </w:p>
                <w:p w:rsidR="00952678" w:rsidRPr="00952678" w:rsidRDefault="00952678" w:rsidP="00952678">
                  <w:pPr>
                    <w:spacing w:after="60"/>
                    <w:ind w:firstLine="708"/>
                    <w:jc w:val="both"/>
                    <w:rPr>
                      <w:rFonts w:ascii="Times New Roman" w:hAnsi="Times New Roman" w:cs="Times New Roman"/>
                      <w:sz w:val="20"/>
                      <w:szCs w:val="20"/>
                    </w:rPr>
                  </w:pPr>
                  <w:r w:rsidRPr="00952678">
                    <w:rPr>
                      <w:rFonts w:ascii="Times New Roman" w:hAnsi="Times New Roman" w:cs="Times New Roman"/>
                      <w:i/>
                      <w:sz w:val="20"/>
                      <w:szCs w:val="20"/>
                    </w:rPr>
                    <w:t>Cerebrosphaera</w:t>
                  </w:r>
                  <w:r w:rsidRPr="00952678">
                    <w:rPr>
                      <w:rFonts w:ascii="Times New Roman" w:hAnsi="Times New Roman" w:cs="Times New Roman"/>
                      <w:sz w:val="20"/>
                      <w:szCs w:val="20"/>
                    </w:rPr>
                    <w:t xml:space="preserve"> from the Svanbergfjellet Fm, Spitsbergen and the Kanpa Fm, Officer Basin, Australia, include organic vesicles with dark robust walls ornamented by cerebroid folds (Butterfield </w:t>
                  </w:r>
                  <w:r w:rsidRPr="00952678">
                    <w:rPr>
                      <w:rFonts w:ascii="Times New Roman" w:hAnsi="Times New Roman" w:cs="Times New Roman"/>
                      <w:i/>
                      <w:sz w:val="20"/>
                      <w:szCs w:val="20"/>
                    </w:rPr>
                    <w:t>et al.,</w:t>
                  </w:r>
                  <w:r w:rsidRPr="00952678">
                    <w:rPr>
                      <w:rFonts w:ascii="Times New Roman" w:hAnsi="Times New Roman" w:cs="Times New Roman"/>
                      <w:sz w:val="20"/>
                      <w:szCs w:val="20"/>
                    </w:rPr>
                    <w:t xml:space="preserve"> 1994). Our study shows the occurrence of complex tri or bi-layered wall ultrastructures, confirming the eukaryotic nature of these microfossils, and</w:t>
                  </w:r>
                  <w:r w:rsidR="006B26B7">
                    <w:rPr>
                      <w:rFonts w:ascii="Times New Roman" w:hAnsi="Times New Roman" w:cs="Times New Roman"/>
                      <w:sz w:val="20"/>
                      <w:szCs w:val="20"/>
                    </w:rPr>
                    <w:t xml:space="preserve"> a highly aromatic composition.</w:t>
                  </w:r>
                </w:p>
                <w:p w:rsidR="00952678" w:rsidRPr="00952678" w:rsidRDefault="00952678" w:rsidP="00952678">
                  <w:pPr>
                    <w:spacing w:after="60"/>
                    <w:ind w:firstLine="708"/>
                    <w:jc w:val="both"/>
                    <w:rPr>
                      <w:rFonts w:ascii="Times New Roman" w:hAnsi="Times New Roman" w:cs="Times New Roman"/>
                      <w:color w:val="FF0000"/>
                      <w:sz w:val="20"/>
                      <w:szCs w:val="20"/>
                    </w:rPr>
                  </w:pPr>
                  <w:r w:rsidRPr="00952678">
                    <w:rPr>
                      <w:rFonts w:ascii="Times New Roman" w:hAnsi="Times New Roman" w:cs="Times New Roman"/>
                      <w:sz w:val="20"/>
                      <w:szCs w:val="20"/>
                    </w:rPr>
                    <w:t xml:space="preserve">The genus </w:t>
                  </w:r>
                  <w:r w:rsidRPr="00952678">
                    <w:rPr>
                      <w:rFonts w:ascii="Times New Roman" w:hAnsi="Times New Roman" w:cs="Times New Roman"/>
                      <w:i/>
                      <w:sz w:val="20"/>
                      <w:szCs w:val="20"/>
                    </w:rPr>
                    <w:t>Trachyhystrichosphaera</w:t>
                  </w:r>
                  <w:r w:rsidRPr="00952678">
                    <w:rPr>
                      <w:rFonts w:ascii="Times New Roman" w:hAnsi="Times New Roman" w:cs="Times New Roman"/>
                      <w:sz w:val="20"/>
                      <w:szCs w:val="20"/>
                    </w:rPr>
                    <w:t xml:space="preserve"> includes species characterized by the presence of a variable number of hollow heteromorphic processes (Butterfield </w:t>
                  </w:r>
                  <w:r w:rsidRPr="00952678">
                    <w:rPr>
                      <w:rFonts w:ascii="Times New Roman" w:hAnsi="Times New Roman" w:cs="Times New Roman"/>
                      <w:i/>
                      <w:sz w:val="20"/>
                      <w:szCs w:val="20"/>
                    </w:rPr>
                    <w:t>et al.,</w:t>
                  </w:r>
                  <w:r w:rsidRPr="00952678">
                    <w:rPr>
                      <w:rFonts w:ascii="Times New Roman" w:hAnsi="Times New Roman" w:cs="Times New Roman"/>
                      <w:sz w:val="20"/>
                      <w:szCs w:val="20"/>
                    </w:rPr>
                    <w:t xml:space="preserve"> 1994). FTIR microspectroscopy analyzes performed on the two species</w:t>
                  </w:r>
                  <w:r w:rsidRPr="00952678">
                    <w:rPr>
                      <w:rFonts w:ascii="Times New Roman" w:hAnsi="Times New Roman" w:cs="Times New Roman"/>
                      <w:i/>
                      <w:sz w:val="20"/>
                      <w:szCs w:val="20"/>
                    </w:rPr>
                    <w:t xml:space="preserve"> </w:t>
                  </w:r>
                  <w:r w:rsidRPr="00952678">
                    <w:rPr>
                      <w:rFonts w:ascii="Times New Roman" w:hAnsi="Times New Roman" w:cs="Times New Roman"/>
                      <w:sz w:val="20"/>
                      <w:szCs w:val="20"/>
                    </w:rPr>
                    <w:t>from the 1.1 Ga Taoudeni Basin, Mauritania, and the ~1.1-0.8 Ga Mbuji-Mayi Supergroup, RDC, indicate a strong aliphatic and carbonyl composition of the wall biopolymer. TEM permits to characterize the wall ultrastructure on these two species and morphometric analyze constrain their morphological diversity and plasticity.</w:t>
                  </w:r>
                  <w:r w:rsidRPr="00952678">
                    <w:rPr>
                      <w:rFonts w:ascii="Times New Roman" w:hAnsi="Times New Roman" w:cs="Times New Roman"/>
                      <w:color w:val="FF0000"/>
                      <w:sz w:val="20"/>
                      <w:szCs w:val="20"/>
                    </w:rPr>
                    <w:t xml:space="preserve"> </w:t>
                  </w:r>
                </w:p>
                <w:p w:rsidR="00095BBD" w:rsidRPr="00952678" w:rsidRDefault="00952678" w:rsidP="00952678">
                  <w:pPr>
                    <w:spacing w:after="60"/>
                    <w:jc w:val="both"/>
                    <w:rPr>
                      <w:rFonts w:ascii="Times New Roman" w:hAnsi="Times New Roman" w:cs="Times New Roman"/>
                      <w:sz w:val="20"/>
                      <w:szCs w:val="20"/>
                    </w:rPr>
                  </w:pPr>
                  <w:r w:rsidRPr="00952678">
                    <w:rPr>
                      <w:rFonts w:ascii="Times New Roman" w:hAnsi="Times New Roman" w:cs="Times New Roman"/>
                      <w:sz w:val="20"/>
                      <w:szCs w:val="20"/>
                    </w:rPr>
                    <w:t xml:space="preserve">Various morphotypes of the species </w:t>
                  </w:r>
                  <w:r w:rsidRPr="00952678">
                    <w:rPr>
                      <w:rFonts w:ascii="Times New Roman" w:hAnsi="Times New Roman" w:cs="Times New Roman"/>
                      <w:i/>
                      <w:sz w:val="20"/>
                      <w:szCs w:val="20"/>
                    </w:rPr>
                    <w:t>Jacutianema solubila</w:t>
                  </w:r>
                  <w:r w:rsidRPr="00952678">
                    <w:rPr>
                      <w:rFonts w:ascii="Times New Roman" w:hAnsi="Times New Roman" w:cs="Times New Roman"/>
                      <w:sz w:val="20"/>
                      <w:szCs w:val="20"/>
                    </w:rPr>
                    <w:t xml:space="preserve"> from the Svanbergfjellet Fm</w:t>
                  </w:r>
                  <w:bookmarkStart w:id="0" w:name="_GoBack"/>
                  <w:bookmarkEnd w:id="0"/>
                  <w:r w:rsidRPr="00952678">
                    <w:rPr>
                      <w:rFonts w:ascii="Times New Roman" w:hAnsi="Times New Roman" w:cs="Times New Roman"/>
                      <w:sz w:val="20"/>
                      <w:szCs w:val="20"/>
                    </w:rPr>
                    <w:t xml:space="preserve">, Spitsbergen and from the Taoudeni Basin, Mauritania, are also characterized using microspectroscopy and electronic microscopy techniques to test previous hypothesis proposing that </w:t>
                  </w:r>
                  <w:r w:rsidRPr="00952678">
                    <w:rPr>
                      <w:rFonts w:ascii="Times New Roman" w:hAnsi="Times New Roman" w:cs="Times New Roman"/>
                      <w:i/>
                      <w:sz w:val="20"/>
                      <w:szCs w:val="20"/>
                    </w:rPr>
                    <w:t xml:space="preserve">Jacutianema </w:t>
                  </w:r>
                  <w:r w:rsidRPr="00952678">
                    <w:rPr>
                      <w:rFonts w:ascii="Times New Roman" w:hAnsi="Times New Roman" w:cs="Times New Roman"/>
                      <w:sz w:val="20"/>
                      <w:szCs w:val="20"/>
                    </w:rPr>
                    <w:t>represents part of the life cycle of a Vaucherian alga (Butterfield, 2005).</w:t>
                  </w:r>
                </w:p>
                <w:p w:rsidR="003A1E64" w:rsidRPr="00095BBD" w:rsidRDefault="003A1E64" w:rsidP="003A1E64">
                  <w:pPr>
                    <w:ind w:firstLine="284"/>
                    <w:jc w:val="both"/>
                    <w:rPr>
                      <w:rFonts w:ascii="Times New Roman" w:hAnsi="Times New Roman" w:cs="Times New Roman"/>
                      <w:sz w:val="20"/>
                      <w:szCs w:val="20"/>
                    </w:rPr>
                  </w:pPr>
                </w:p>
                <w:p w:rsidR="00144FCE" w:rsidRDefault="00144FCE"/>
              </w:txbxContent>
            </v:textbox>
            <w10:wrap anchorx="margin"/>
          </v:shape>
        </w:pict>
      </w:r>
    </w:p>
    <w:p w:rsidR="00FF2B3A" w:rsidRPr="00171D3F" w:rsidRDefault="00FF2B3A" w:rsidP="00FF2B3A"/>
    <w:p w:rsidR="00FF2B3A" w:rsidRPr="00171D3F" w:rsidRDefault="00FF2B3A" w:rsidP="00FF2B3A"/>
    <w:p w:rsidR="00FF2B3A" w:rsidRPr="00171D3F" w:rsidRDefault="00FF2B3A" w:rsidP="00FF2B3A"/>
    <w:p w:rsidR="00FF2B3A" w:rsidRPr="00171D3F" w:rsidRDefault="00FF2B3A" w:rsidP="00FF2B3A"/>
    <w:p w:rsidR="00FF2B3A" w:rsidRPr="00171D3F" w:rsidRDefault="00FF2B3A" w:rsidP="00FF2B3A"/>
    <w:p w:rsidR="00FF2B3A" w:rsidRPr="00171D3F" w:rsidRDefault="00FF2B3A" w:rsidP="00FF2B3A"/>
    <w:p w:rsidR="00FF2B3A" w:rsidRPr="00171D3F" w:rsidRDefault="00FF2B3A" w:rsidP="00FF2B3A"/>
    <w:p w:rsidR="00FF2B3A" w:rsidRPr="00171D3F" w:rsidRDefault="00FF2B3A" w:rsidP="00FF2B3A"/>
    <w:p w:rsidR="00FF2B3A" w:rsidRPr="00171D3F" w:rsidRDefault="00FF2B3A" w:rsidP="00FF2B3A"/>
    <w:p w:rsidR="00FF2B3A" w:rsidRPr="00171D3F" w:rsidRDefault="00FF2B3A" w:rsidP="00FF2B3A"/>
    <w:p w:rsidR="00FF2B3A" w:rsidRPr="00171D3F" w:rsidRDefault="00FF2B3A" w:rsidP="00FF2B3A"/>
    <w:p w:rsidR="00FF2B3A" w:rsidRPr="00171D3F" w:rsidRDefault="00FF2B3A" w:rsidP="00FF2B3A"/>
    <w:p w:rsidR="00FF2B3A" w:rsidRDefault="00FF2B3A" w:rsidP="00FF2B3A"/>
    <w:p w:rsidR="00095BBD" w:rsidRDefault="00095BBD" w:rsidP="00FF2B3A"/>
    <w:p w:rsidR="00095BBD" w:rsidRDefault="00095BBD" w:rsidP="00FF2B3A"/>
    <w:p w:rsidR="00095BBD" w:rsidRDefault="00095BBD" w:rsidP="00FF2B3A"/>
    <w:p w:rsidR="00095BBD" w:rsidRDefault="00095BBD" w:rsidP="00FF2B3A"/>
    <w:p w:rsidR="00095BBD" w:rsidRDefault="00095BBD" w:rsidP="00FF2B3A"/>
    <w:p w:rsidR="00095BBD" w:rsidRDefault="00095BBD" w:rsidP="00FF2B3A"/>
    <w:p w:rsidR="00095BBD" w:rsidRDefault="00095BBD" w:rsidP="00FF2B3A"/>
    <w:p w:rsidR="00095BBD" w:rsidRDefault="00095BBD" w:rsidP="00FF2B3A"/>
    <w:p w:rsidR="00095BBD" w:rsidRPr="00171D3F" w:rsidRDefault="00095BBD" w:rsidP="00FF2B3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FF2B3A" w:rsidTr="00956054">
        <w:tc>
          <w:tcPr>
            <w:tcW w:w="9212" w:type="dxa"/>
            <w:vAlign w:val="center"/>
          </w:tcPr>
          <w:p w:rsidR="00095BBD" w:rsidRDefault="00095BBD" w:rsidP="00FF2B3A">
            <w:pPr>
              <w:pStyle w:val="Sansinterligne"/>
              <w:rPr>
                <w:rFonts w:ascii="Times New Roman" w:hAnsi="Times New Roman" w:cs="Times New Roman"/>
                <w:i/>
                <w:sz w:val="18"/>
                <w:lang w:val="en-US"/>
              </w:rPr>
            </w:pPr>
          </w:p>
          <w:p w:rsidR="00095BBD" w:rsidRDefault="00095BBD" w:rsidP="00FF2B3A">
            <w:pPr>
              <w:pStyle w:val="Sansinterligne"/>
              <w:rPr>
                <w:rFonts w:ascii="Times New Roman" w:hAnsi="Times New Roman" w:cs="Times New Roman"/>
                <w:i/>
                <w:sz w:val="18"/>
                <w:lang w:val="en-US"/>
              </w:rPr>
            </w:pPr>
          </w:p>
          <w:p w:rsidR="00095BBD" w:rsidRDefault="00095BBD" w:rsidP="00FF2B3A">
            <w:pPr>
              <w:pStyle w:val="Sansinterligne"/>
              <w:rPr>
                <w:rFonts w:ascii="Times New Roman" w:hAnsi="Times New Roman" w:cs="Times New Roman"/>
                <w:i/>
                <w:sz w:val="18"/>
                <w:lang w:val="en-US"/>
              </w:rPr>
            </w:pPr>
          </w:p>
          <w:p w:rsidR="00FF2B3A" w:rsidRPr="00FF2B3A" w:rsidRDefault="00FF2B3A" w:rsidP="00FF2B3A">
            <w:pPr>
              <w:pStyle w:val="Sansinterligne"/>
              <w:rPr>
                <w:rFonts w:ascii="Times New Roman" w:hAnsi="Times New Roman" w:cs="Times New Roman"/>
                <w:i/>
                <w:sz w:val="18"/>
                <w:lang w:val="en-US"/>
              </w:rPr>
            </w:pPr>
            <w:r>
              <w:rPr>
                <w:rFonts w:ascii="Times New Roman" w:hAnsi="Times New Roman" w:cs="Times New Roman"/>
                <w:i/>
                <w:sz w:val="18"/>
                <w:lang w:val="en-US"/>
              </w:rPr>
              <w:t>Acknowledgements:</w:t>
            </w:r>
          </w:p>
        </w:tc>
      </w:tr>
      <w:tr w:rsidR="00FF2B3A" w:rsidRPr="000B10E7" w:rsidTr="00956054">
        <w:trPr>
          <w:trHeight w:val="340"/>
        </w:trPr>
        <w:tc>
          <w:tcPr>
            <w:tcW w:w="9212" w:type="dxa"/>
          </w:tcPr>
          <w:p w:rsidR="00FF2B3A" w:rsidRPr="00095BBD" w:rsidRDefault="00095BBD" w:rsidP="00FF2B3A">
            <w:pPr>
              <w:pStyle w:val="Sansinterligne"/>
              <w:rPr>
                <w:rFonts w:ascii="Times New Roman" w:hAnsi="Times New Roman" w:cs="Times New Roman"/>
                <w:sz w:val="18"/>
                <w:szCs w:val="18"/>
                <w:lang w:val="en-US"/>
              </w:rPr>
            </w:pPr>
            <w:r w:rsidRPr="00095BBD">
              <w:rPr>
                <w:rFonts w:ascii="Times New Roman" w:hAnsi="Times New Roman" w:cs="Times New Roman"/>
                <w:sz w:val="18"/>
                <w:szCs w:val="18"/>
              </w:rPr>
              <w:t xml:space="preserve">This PhD project is supported by </w:t>
            </w:r>
            <w:r w:rsidRPr="00095BBD">
              <w:rPr>
                <w:rFonts w:ascii="Times New Roman" w:hAnsi="Times New Roman" w:cs="Times New Roman"/>
                <w:iCs/>
                <w:sz w:val="18"/>
                <w:szCs w:val="18"/>
              </w:rPr>
              <w:t>the ERC Stg ELITE project “Early life Traces and Evolution, and implications for Astrobiology”.</w:t>
            </w:r>
          </w:p>
        </w:tc>
      </w:tr>
      <w:tr w:rsidR="00FF2B3A" w:rsidTr="00956054">
        <w:tc>
          <w:tcPr>
            <w:tcW w:w="9212" w:type="dxa"/>
          </w:tcPr>
          <w:p w:rsidR="00FF2B3A" w:rsidRPr="00FF2B3A" w:rsidRDefault="00FF2B3A" w:rsidP="00FF2B3A">
            <w:pPr>
              <w:pStyle w:val="Sansinterligne"/>
              <w:spacing w:before="100" w:after="100"/>
              <w:rPr>
                <w:rFonts w:ascii="Arial" w:hAnsi="Arial" w:cs="Arial"/>
                <w:b/>
                <w:szCs w:val="24"/>
                <w:lang w:val="en-US"/>
              </w:rPr>
            </w:pPr>
            <w:r w:rsidRPr="00FF2B3A">
              <w:rPr>
                <w:rFonts w:ascii="Arial" w:hAnsi="Arial" w:cs="Arial"/>
                <w:b/>
                <w:szCs w:val="24"/>
                <w:lang w:val="en-US"/>
              </w:rPr>
              <w:t>References</w:t>
            </w:r>
          </w:p>
        </w:tc>
      </w:tr>
      <w:tr w:rsidR="00FF2B3A" w:rsidRPr="00807CAB" w:rsidTr="00956054">
        <w:tc>
          <w:tcPr>
            <w:tcW w:w="9212" w:type="dxa"/>
          </w:tcPr>
          <w:p w:rsidR="00FF2B3A" w:rsidRPr="00095BBD" w:rsidRDefault="00095BBD" w:rsidP="000B10E7">
            <w:pPr>
              <w:pStyle w:val="Sansinterligne"/>
              <w:rPr>
                <w:rFonts w:ascii="Times New Roman" w:hAnsi="Times New Roman" w:cs="Times New Roman"/>
                <w:sz w:val="18"/>
                <w:szCs w:val="18"/>
              </w:rPr>
            </w:pPr>
            <w:r w:rsidRPr="00095BBD">
              <w:rPr>
                <w:rFonts w:ascii="Times New Roman" w:hAnsi="Times New Roman" w:cs="Times New Roman"/>
                <w:sz w:val="18"/>
                <w:szCs w:val="18"/>
              </w:rPr>
              <w:t xml:space="preserve">Butterfield, N.J. (2005) Reconstructing a complex early Neoproterozoic eukaryote, Wynniatt Formation, arctic Canada. </w:t>
            </w:r>
            <w:r w:rsidRPr="00095BBD">
              <w:rPr>
                <w:rFonts w:ascii="Times New Roman" w:hAnsi="Times New Roman" w:cs="Times New Roman"/>
                <w:i/>
                <w:sz w:val="18"/>
                <w:szCs w:val="18"/>
              </w:rPr>
              <w:t xml:space="preserve">Lethaia </w:t>
            </w:r>
            <w:r w:rsidRPr="00095BBD">
              <w:rPr>
                <w:rFonts w:ascii="Times New Roman" w:hAnsi="Times New Roman" w:cs="Times New Roman"/>
                <w:sz w:val="18"/>
                <w:szCs w:val="18"/>
              </w:rPr>
              <w:t>38 (2), 155-169</w:t>
            </w:r>
          </w:p>
          <w:p w:rsidR="00095BBD" w:rsidRPr="00095BBD" w:rsidRDefault="00095BBD" w:rsidP="000B10E7">
            <w:pPr>
              <w:pStyle w:val="Sansinterligne"/>
              <w:rPr>
                <w:rFonts w:ascii="Times New Roman" w:hAnsi="Times New Roman" w:cs="Times New Roman"/>
                <w:sz w:val="18"/>
                <w:szCs w:val="18"/>
              </w:rPr>
            </w:pPr>
            <w:r w:rsidRPr="00095BBD">
              <w:rPr>
                <w:rFonts w:ascii="Times New Roman" w:hAnsi="Times New Roman" w:cs="Times New Roman"/>
                <w:sz w:val="18"/>
                <w:szCs w:val="18"/>
              </w:rPr>
              <w:t xml:space="preserve">Butterfield, N.J., Knoll, A.H., Swett, K. (1994) Paleobiology of the Neoproterozoic Svanbergfjellet Formation, Spitsbergen. </w:t>
            </w:r>
            <w:r w:rsidRPr="00095BBD">
              <w:rPr>
                <w:rFonts w:ascii="Times New Roman" w:hAnsi="Times New Roman" w:cs="Times New Roman"/>
                <w:i/>
                <w:sz w:val="18"/>
                <w:szCs w:val="18"/>
              </w:rPr>
              <w:t xml:space="preserve">Fossil and Strata </w:t>
            </w:r>
            <w:r w:rsidRPr="00095BBD">
              <w:rPr>
                <w:rFonts w:ascii="Times New Roman" w:hAnsi="Times New Roman" w:cs="Times New Roman"/>
                <w:sz w:val="18"/>
                <w:szCs w:val="18"/>
              </w:rPr>
              <w:t>34, 82p</w:t>
            </w:r>
          </w:p>
          <w:p w:rsidR="00095BBD" w:rsidRPr="00095BBD" w:rsidRDefault="00095BBD" w:rsidP="000B10E7">
            <w:pPr>
              <w:pStyle w:val="Sansinterligne"/>
              <w:rPr>
                <w:rFonts w:ascii="Times New Roman" w:hAnsi="Times New Roman" w:cs="Times New Roman"/>
                <w:sz w:val="18"/>
                <w:szCs w:val="18"/>
              </w:rPr>
            </w:pPr>
            <w:r w:rsidRPr="00095BBD">
              <w:rPr>
                <w:rFonts w:ascii="Times New Roman" w:hAnsi="Times New Roman" w:cs="Times New Roman"/>
                <w:sz w:val="18"/>
                <w:szCs w:val="18"/>
              </w:rPr>
              <w:t>Butterfield, N.J. (2015). The Neoproterozoic. Current Biology</w:t>
            </w:r>
            <w:r w:rsidRPr="00095BBD">
              <w:rPr>
                <w:rFonts w:ascii="Times New Roman" w:hAnsi="Times New Roman" w:cs="Times New Roman"/>
                <w:i/>
                <w:iCs/>
                <w:sz w:val="18"/>
                <w:szCs w:val="18"/>
              </w:rPr>
              <w:t xml:space="preserve"> 25</w:t>
            </w:r>
            <w:r w:rsidRPr="00095BBD">
              <w:rPr>
                <w:rFonts w:ascii="Times New Roman" w:hAnsi="Times New Roman" w:cs="Times New Roman"/>
                <w:sz w:val="18"/>
                <w:szCs w:val="18"/>
              </w:rPr>
              <w:t>, R845–R875</w:t>
            </w:r>
          </w:p>
          <w:p w:rsidR="00095BBD" w:rsidRPr="00FF2B3A" w:rsidRDefault="00095BBD" w:rsidP="000B10E7">
            <w:pPr>
              <w:pStyle w:val="Sansinterligne"/>
              <w:rPr>
                <w:rFonts w:ascii="Times New Roman" w:hAnsi="Times New Roman" w:cs="Times New Roman"/>
                <w:sz w:val="18"/>
                <w:szCs w:val="18"/>
                <w:lang w:val="en-US"/>
              </w:rPr>
            </w:pPr>
            <w:r w:rsidRPr="00095BBD">
              <w:rPr>
                <w:rFonts w:ascii="Times New Roman" w:hAnsi="Times New Roman" w:cs="Times New Roman"/>
                <w:sz w:val="18"/>
                <w:szCs w:val="18"/>
              </w:rPr>
              <w:t xml:space="preserve">Knoll A.H., Javaux E.J., Hewitt D., Cohen P. (2006) Eukaryotic organisms in Proterozoic oceans. </w:t>
            </w:r>
            <w:r w:rsidRPr="00095BBD">
              <w:rPr>
                <w:rFonts w:ascii="Times New Roman" w:hAnsi="Times New Roman" w:cs="Times New Roman"/>
                <w:i/>
                <w:sz w:val="18"/>
                <w:szCs w:val="18"/>
              </w:rPr>
              <w:t xml:space="preserve">Philosophical Transaction of the Royal Society B </w:t>
            </w:r>
            <w:r w:rsidRPr="00095BBD">
              <w:rPr>
                <w:rFonts w:ascii="Times New Roman" w:hAnsi="Times New Roman" w:cs="Times New Roman"/>
                <w:sz w:val="18"/>
                <w:szCs w:val="18"/>
              </w:rPr>
              <w:t>361, 1023-1038</w:t>
            </w:r>
          </w:p>
        </w:tc>
      </w:tr>
    </w:tbl>
    <w:p w:rsidR="00807CAB" w:rsidRPr="00744572" w:rsidRDefault="00807CAB" w:rsidP="00744572">
      <w:pPr>
        <w:tabs>
          <w:tab w:val="left" w:pos="1038"/>
        </w:tabs>
      </w:pPr>
    </w:p>
    <w:sectPr w:rsidR="00807CAB" w:rsidRPr="00744572" w:rsidSect="00744572">
      <w:headerReference w:type="even" r:id="rId8"/>
      <w:headerReference w:type="default" r:id="rId9"/>
      <w:pgSz w:w="11906" w:h="16838"/>
      <w:pgMar w:top="1417" w:right="1417" w:bottom="1417" w:left="1417"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48" w:rsidRDefault="00070A48" w:rsidP="00F33CC1">
      <w:r>
        <w:separator/>
      </w:r>
    </w:p>
  </w:endnote>
  <w:endnote w:type="continuationSeparator" w:id="0">
    <w:p w:rsidR="00070A48" w:rsidRDefault="00070A48" w:rsidP="00F33C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48" w:rsidRDefault="00070A48" w:rsidP="00F33CC1">
      <w:r>
        <w:separator/>
      </w:r>
    </w:p>
  </w:footnote>
  <w:footnote w:type="continuationSeparator" w:id="0">
    <w:p w:rsidR="00070A48" w:rsidRDefault="00070A48" w:rsidP="00F33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4" w:type="dxa"/>
      <w:tblInd w:w="-40" w:type="dxa"/>
      <w:tblBorders>
        <w:bottom w:val="single" w:sz="4" w:space="0" w:color="auto"/>
        <w:insideH w:val="single" w:sz="4" w:space="0" w:color="auto"/>
      </w:tblBorders>
      <w:tblLayout w:type="fixed"/>
      <w:tblCellMar>
        <w:left w:w="57" w:type="dxa"/>
        <w:right w:w="57" w:type="dxa"/>
      </w:tblCellMar>
      <w:tblLook w:val="0000"/>
    </w:tblPr>
    <w:tblGrid>
      <w:gridCol w:w="1038"/>
      <w:gridCol w:w="2835"/>
      <w:gridCol w:w="5501"/>
    </w:tblGrid>
    <w:tr w:rsidR="00744572" w:rsidRPr="00807CAB" w:rsidTr="00744572">
      <w:trPr>
        <w:trHeight w:hRule="exact" w:val="567"/>
      </w:trPr>
      <w:tc>
        <w:tcPr>
          <w:tcW w:w="1038" w:type="dxa"/>
          <w:shd w:val="clear" w:color="auto" w:fill="auto"/>
          <w:vAlign w:val="bottom"/>
        </w:tcPr>
        <w:p w:rsidR="00744572" w:rsidRPr="00862715" w:rsidRDefault="00741522" w:rsidP="002A24D4">
          <w:pPr>
            <w:pStyle w:val="Sansinterligne"/>
            <w:rPr>
              <w:rFonts w:ascii="Bookman Old Style" w:hAnsi="Bookman Old Style"/>
              <w:sz w:val="18"/>
              <w:szCs w:val="18"/>
              <w:lang w:val="en-US"/>
            </w:rPr>
          </w:pPr>
          <w:r w:rsidRPr="00F33CC1">
            <w:rPr>
              <w:rFonts w:ascii="Bookman Old Style" w:hAnsi="Bookman Old Style"/>
              <w:b/>
              <w:bCs/>
              <w:sz w:val="18"/>
              <w:szCs w:val="18"/>
            </w:rPr>
            <w:fldChar w:fldCharType="begin"/>
          </w:r>
          <w:r w:rsidR="00744572" w:rsidRPr="00F33CC1">
            <w:rPr>
              <w:rFonts w:ascii="Bookman Old Style" w:hAnsi="Bookman Old Style"/>
              <w:sz w:val="18"/>
              <w:szCs w:val="18"/>
            </w:rPr>
            <w:instrText xml:space="preserve"> PAGE  \* Arabic </w:instrText>
          </w:r>
          <w:r w:rsidRPr="00F33CC1">
            <w:rPr>
              <w:rFonts w:ascii="Bookman Old Style" w:hAnsi="Bookman Old Style"/>
              <w:b/>
              <w:bCs/>
              <w:sz w:val="18"/>
              <w:szCs w:val="18"/>
            </w:rPr>
            <w:fldChar w:fldCharType="separate"/>
          </w:r>
          <w:r w:rsidR="00807CAB">
            <w:rPr>
              <w:rFonts w:ascii="Bookman Old Style" w:hAnsi="Bookman Old Style"/>
              <w:noProof/>
              <w:sz w:val="18"/>
              <w:szCs w:val="18"/>
            </w:rPr>
            <w:t>2</w:t>
          </w:r>
          <w:r w:rsidRPr="00F33CC1">
            <w:rPr>
              <w:rFonts w:ascii="Bookman Old Style" w:hAnsi="Bookman Old Style"/>
              <w:b/>
              <w:bCs/>
              <w:sz w:val="18"/>
              <w:szCs w:val="18"/>
            </w:rPr>
            <w:fldChar w:fldCharType="end"/>
          </w:r>
        </w:p>
      </w:tc>
      <w:tc>
        <w:tcPr>
          <w:tcW w:w="2835" w:type="dxa"/>
          <w:shd w:val="clear" w:color="auto" w:fill="auto"/>
          <w:vAlign w:val="bottom"/>
        </w:tcPr>
        <w:p w:rsidR="00744572" w:rsidRPr="00744572" w:rsidRDefault="00744572" w:rsidP="002A24D4">
          <w:pPr>
            <w:pStyle w:val="Titre1"/>
            <w:snapToGrid w:val="0"/>
            <w:ind w:left="0"/>
            <w:jc w:val="center"/>
            <w:rPr>
              <w:rFonts w:ascii="Calibri" w:hAnsi="Calibri" w:cs="Arial"/>
              <w:b w:val="0"/>
              <w:sz w:val="18"/>
              <w:szCs w:val="18"/>
              <w:lang w:val="en-US"/>
            </w:rPr>
          </w:pPr>
        </w:p>
      </w:tc>
      <w:tc>
        <w:tcPr>
          <w:tcW w:w="5500" w:type="dxa"/>
          <w:shd w:val="clear" w:color="auto" w:fill="auto"/>
          <w:vAlign w:val="bottom"/>
        </w:tcPr>
        <w:p w:rsidR="00744572" w:rsidRPr="00744572" w:rsidRDefault="00744572" w:rsidP="002A24D4">
          <w:pPr>
            <w:pStyle w:val="Titre3"/>
            <w:jc w:val="right"/>
            <w:rPr>
              <w:rFonts w:ascii="Bookman Old Style" w:hAnsi="Bookman Old Style"/>
              <w:sz w:val="18"/>
              <w:szCs w:val="18"/>
              <w:lang w:val="en-US"/>
            </w:rPr>
          </w:pPr>
          <w:r w:rsidRPr="00744572">
            <w:rPr>
              <w:rFonts w:ascii="Bookman Old Style" w:hAnsi="Bookman Old Style"/>
              <w:b w:val="0"/>
              <w:sz w:val="18"/>
              <w:szCs w:val="18"/>
              <w:lang w:val="en-US"/>
            </w:rPr>
            <w:t>Earl</w:t>
          </w:r>
          <w:r w:rsidR="00E87811">
            <w:rPr>
              <w:rFonts w:ascii="Bookman Old Style" w:hAnsi="Bookman Old Style"/>
              <w:b w:val="0"/>
              <w:sz w:val="18"/>
              <w:szCs w:val="18"/>
              <w:lang w:val="en-US"/>
            </w:rPr>
            <w:t xml:space="preserve">y Earth and </w:t>
          </w:r>
          <w:proofErr w:type="spellStart"/>
          <w:r w:rsidR="00E87811">
            <w:rPr>
              <w:rFonts w:ascii="Bookman Old Style" w:hAnsi="Bookman Old Style"/>
              <w:b w:val="0"/>
              <w:sz w:val="18"/>
              <w:szCs w:val="18"/>
              <w:lang w:val="en-US"/>
            </w:rPr>
            <w:t>ExoEarths</w:t>
          </w:r>
          <w:proofErr w:type="spellEnd"/>
          <w:r w:rsidR="00E87811">
            <w:rPr>
              <w:rFonts w:ascii="Bookman Old Style" w:hAnsi="Bookman Old Style"/>
              <w:b w:val="0"/>
              <w:sz w:val="18"/>
              <w:szCs w:val="18"/>
              <w:lang w:val="en-US"/>
            </w:rPr>
            <w:t>: origin an</w:t>
          </w:r>
          <w:r w:rsidRPr="00744572">
            <w:rPr>
              <w:rFonts w:ascii="Bookman Old Style" w:hAnsi="Bookman Old Style"/>
              <w:b w:val="0"/>
              <w:sz w:val="18"/>
              <w:szCs w:val="18"/>
              <w:lang w:val="en-US"/>
            </w:rPr>
            <w:t>d evolution of life</w:t>
          </w:r>
        </w:p>
      </w:tc>
    </w:tr>
  </w:tbl>
  <w:p w:rsidR="00744572" w:rsidRPr="00744572" w:rsidRDefault="00744572">
    <w:pPr>
      <w:pStyle w:val="En-tte"/>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4" w:type="dxa"/>
      <w:tblInd w:w="-40" w:type="dxa"/>
      <w:tblBorders>
        <w:bottom w:val="single" w:sz="4" w:space="0" w:color="auto"/>
        <w:insideH w:val="double" w:sz="2" w:space="0" w:color="000080"/>
      </w:tblBorders>
      <w:tblLayout w:type="fixed"/>
      <w:tblCellMar>
        <w:left w:w="57" w:type="dxa"/>
        <w:right w:w="57" w:type="dxa"/>
      </w:tblCellMar>
      <w:tblLook w:val="0000"/>
    </w:tblPr>
    <w:tblGrid>
      <w:gridCol w:w="5502"/>
      <w:gridCol w:w="2835"/>
      <w:gridCol w:w="1037"/>
    </w:tblGrid>
    <w:tr w:rsidR="00F33CC1" w:rsidRPr="00F33CC1" w:rsidTr="00862715">
      <w:trPr>
        <w:trHeight w:hRule="exact" w:val="567"/>
      </w:trPr>
      <w:tc>
        <w:tcPr>
          <w:tcW w:w="5502" w:type="dxa"/>
          <w:shd w:val="clear" w:color="auto" w:fill="auto"/>
          <w:vAlign w:val="bottom"/>
        </w:tcPr>
        <w:p w:rsidR="00F33CC1" w:rsidRPr="00862715" w:rsidRDefault="00F33CC1" w:rsidP="00956054">
          <w:pPr>
            <w:pStyle w:val="Sansinterligne"/>
            <w:rPr>
              <w:rFonts w:ascii="Bookman Old Style" w:hAnsi="Bookman Old Style"/>
              <w:sz w:val="18"/>
              <w:szCs w:val="18"/>
              <w:lang w:val="en-US"/>
            </w:rPr>
          </w:pPr>
          <w:r w:rsidRPr="00862715">
            <w:rPr>
              <w:rFonts w:ascii="Bookman Old Style" w:hAnsi="Bookman Old Style"/>
              <w:sz w:val="18"/>
              <w:szCs w:val="18"/>
              <w:lang w:val="en-US"/>
            </w:rPr>
            <w:t xml:space="preserve">Early Earth and </w:t>
          </w:r>
          <w:proofErr w:type="spellStart"/>
          <w:r w:rsidRPr="00862715">
            <w:rPr>
              <w:rFonts w:ascii="Bookman Old Style" w:hAnsi="Bookman Old Style"/>
              <w:sz w:val="18"/>
              <w:szCs w:val="18"/>
              <w:lang w:val="en-US"/>
            </w:rPr>
            <w:t>ExoEarths</w:t>
          </w:r>
          <w:proofErr w:type="spellEnd"/>
          <w:r w:rsidRPr="00862715">
            <w:rPr>
              <w:rFonts w:ascii="Bookman Old Style" w:hAnsi="Bookman Old Style"/>
              <w:sz w:val="18"/>
              <w:szCs w:val="18"/>
              <w:lang w:val="en-US"/>
            </w:rPr>
            <w:t xml:space="preserve">: origin </w:t>
          </w:r>
          <w:r w:rsidR="00956054">
            <w:rPr>
              <w:rFonts w:ascii="Bookman Old Style" w:hAnsi="Bookman Old Style"/>
              <w:sz w:val="18"/>
              <w:szCs w:val="18"/>
              <w:lang w:val="en-US"/>
            </w:rPr>
            <w:t>an</w:t>
          </w:r>
          <w:r w:rsidRPr="00862715">
            <w:rPr>
              <w:rFonts w:ascii="Bookman Old Style" w:hAnsi="Bookman Old Style"/>
              <w:sz w:val="18"/>
              <w:szCs w:val="18"/>
              <w:lang w:val="en-US"/>
            </w:rPr>
            <w:t>d evolution of life</w:t>
          </w:r>
        </w:p>
      </w:tc>
      <w:tc>
        <w:tcPr>
          <w:tcW w:w="2835" w:type="dxa"/>
          <w:shd w:val="clear" w:color="auto" w:fill="auto"/>
          <w:vAlign w:val="bottom"/>
        </w:tcPr>
        <w:p w:rsidR="00F33CC1" w:rsidRPr="00F33CC1" w:rsidRDefault="00F33CC1" w:rsidP="00F33CC1">
          <w:pPr>
            <w:pStyle w:val="Titre1"/>
            <w:snapToGrid w:val="0"/>
            <w:ind w:left="0"/>
            <w:jc w:val="center"/>
            <w:rPr>
              <w:rFonts w:ascii="Calibri" w:hAnsi="Calibri" w:cs="Arial"/>
              <w:sz w:val="18"/>
              <w:szCs w:val="18"/>
              <w:lang w:val="en-US"/>
            </w:rPr>
          </w:pPr>
        </w:p>
      </w:tc>
      <w:tc>
        <w:tcPr>
          <w:tcW w:w="1037" w:type="dxa"/>
          <w:shd w:val="clear" w:color="auto" w:fill="auto"/>
          <w:vAlign w:val="bottom"/>
        </w:tcPr>
        <w:p w:rsidR="00F33CC1" w:rsidRPr="00F33CC1" w:rsidRDefault="00741522" w:rsidP="00F33CC1">
          <w:pPr>
            <w:pStyle w:val="Titre3"/>
            <w:jc w:val="right"/>
            <w:rPr>
              <w:rFonts w:ascii="Bookman Old Style" w:hAnsi="Bookman Old Style"/>
              <w:sz w:val="18"/>
              <w:szCs w:val="18"/>
            </w:rPr>
          </w:pPr>
          <w:r w:rsidRPr="00F33CC1">
            <w:rPr>
              <w:rFonts w:ascii="Bookman Old Style" w:hAnsi="Bookman Old Style"/>
              <w:b w:val="0"/>
              <w:bCs w:val="0"/>
              <w:sz w:val="18"/>
              <w:szCs w:val="18"/>
            </w:rPr>
            <w:fldChar w:fldCharType="begin"/>
          </w:r>
          <w:r w:rsidR="00F33CC1" w:rsidRPr="00F33CC1">
            <w:rPr>
              <w:rFonts w:ascii="Bookman Old Style" w:hAnsi="Bookman Old Style"/>
              <w:b w:val="0"/>
              <w:bCs w:val="0"/>
              <w:sz w:val="18"/>
              <w:szCs w:val="18"/>
            </w:rPr>
            <w:instrText xml:space="preserve"> PAGE  \* Arabic </w:instrText>
          </w:r>
          <w:r w:rsidRPr="00F33CC1">
            <w:rPr>
              <w:rFonts w:ascii="Bookman Old Style" w:hAnsi="Bookman Old Style"/>
              <w:b w:val="0"/>
              <w:bCs w:val="0"/>
              <w:sz w:val="18"/>
              <w:szCs w:val="18"/>
            </w:rPr>
            <w:fldChar w:fldCharType="separate"/>
          </w:r>
          <w:r w:rsidR="006B26B7">
            <w:rPr>
              <w:rFonts w:ascii="Bookman Old Style" w:hAnsi="Bookman Old Style"/>
              <w:b w:val="0"/>
              <w:bCs w:val="0"/>
              <w:noProof/>
              <w:sz w:val="18"/>
              <w:szCs w:val="18"/>
            </w:rPr>
            <w:t>1</w:t>
          </w:r>
          <w:r w:rsidRPr="00F33CC1">
            <w:rPr>
              <w:rFonts w:ascii="Bookman Old Style" w:hAnsi="Bookman Old Style"/>
              <w:b w:val="0"/>
              <w:bCs w:val="0"/>
              <w:sz w:val="18"/>
              <w:szCs w:val="18"/>
            </w:rPr>
            <w:fldChar w:fldCharType="end"/>
          </w:r>
        </w:p>
      </w:tc>
    </w:tr>
  </w:tbl>
  <w:p w:rsidR="00F33CC1" w:rsidRDefault="00F33CC1" w:rsidP="008A31B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F33CC1"/>
    <w:rsid w:val="00070A48"/>
    <w:rsid w:val="00095BBD"/>
    <w:rsid w:val="000B10E7"/>
    <w:rsid w:val="001116F8"/>
    <w:rsid w:val="00112BE7"/>
    <w:rsid w:val="00144FCE"/>
    <w:rsid w:val="00171D3F"/>
    <w:rsid w:val="002231B6"/>
    <w:rsid w:val="002A24D4"/>
    <w:rsid w:val="00331CD3"/>
    <w:rsid w:val="003A1E64"/>
    <w:rsid w:val="003A4BA6"/>
    <w:rsid w:val="003A5159"/>
    <w:rsid w:val="003D47A1"/>
    <w:rsid w:val="004541F0"/>
    <w:rsid w:val="004D1BCA"/>
    <w:rsid w:val="00503905"/>
    <w:rsid w:val="0056470E"/>
    <w:rsid w:val="005D62DC"/>
    <w:rsid w:val="005E5A1A"/>
    <w:rsid w:val="006414FF"/>
    <w:rsid w:val="006466AE"/>
    <w:rsid w:val="006B26B7"/>
    <w:rsid w:val="007206B7"/>
    <w:rsid w:val="00741522"/>
    <w:rsid w:val="00744572"/>
    <w:rsid w:val="0075594C"/>
    <w:rsid w:val="00773AB9"/>
    <w:rsid w:val="007B30F2"/>
    <w:rsid w:val="007B400A"/>
    <w:rsid w:val="00807CAB"/>
    <w:rsid w:val="00862715"/>
    <w:rsid w:val="008A31BA"/>
    <w:rsid w:val="008D3BBD"/>
    <w:rsid w:val="009369B5"/>
    <w:rsid w:val="00952678"/>
    <w:rsid w:val="00956054"/>
    <w:rsid w:val="00B57FBA"/>
    <w:rsid w:val="00BE6600"/>
    <w:rsid w:val="00D40F88"/>
    <w:rsid w:val="00D534F6"/>
    <w:rsid w:val="00D666E3"/>
    <w:rsid w:val="00E32CA1"/>
    <w:rsid w:val="00E87811"/>
    <w:rsid w:val="00E911BA"/>
    <w:rsid w:val="00F33CC1"/>
    <w:rsid w:val="00F523B1"/>
    <w:rsid w:val="00F70281"/>
    <w:rsid w:val="00F82414"/>
    <w:rsid w:val="00FF2B3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5BBD"/>
    <w:pPr>
      <w:widowControl w:val="0"/>
      <w:spacing w:after="0" w:line="240" w:lineRule="auto"/>
    </w:pPr>
    <w:rPr>
      <w:lang w:val="en-US"/>
    </w:rPr>
  </w:style>
  <w:style w:type="paragraph" w:styleId="Titre1">
    <w:name w:val="heading 1"/>
    <w:basedOn w:val="Normal"/>
    <w:next w:val="Normal"/>
    <w:link w:val="Titre1Car"/>
    <w:qFormat/>
    <w:rsid w:val="00F33CC1"/>
    <w:pPr>
      <w:keepNext/>
      <w:widowControl/>
      <w:numPr>
        <w:numId w:val="1"/>
      </w:numPr>
      <w:suppressAutoHyphens/>
      <w:ind w:left="567" w:firstLine="0"/>
      <w:outlineLvl w:val="0"/>
    </w:pPr>
    <w:rPr>
      <w:rFonts w:ascii="Tahoma" w:eastAsia="Times New Roman" w:hAnsi="Tahoma" w:cs="Times New Roman"/>
      <w:b/>
      <w:bCs/>
      <w:sz w:val="20"/>
      <w:szCs w:val="20"/>
      <w:lang w:val="pl-PL" w:eastAsia="ar-SA"/>
    </w:rPr>
  </w:style>
  <w:style w:type="paragraph" w:styleId="Titre3">
    <w:name w:val="heading 3"/>
    <w:basedOn w:val="Normal"/>
    <w:next w:val="Normal"/>
    <w:link w:val="Titre3Car"/>
    <w:qFormat/>
    <w:rsid w:val="00F33CC1"/>
    <w:pPr>
      <w:keepNext/>
      <w:widowControl/>
      <w:numPr>
        <w:ilvl w:val="2"/>
        <w:numId w:val="1"/>
      </w:numPr>
      <w:suppressAutoHyphens/>
      <w:jc w:val="center"/>
      <w:outlineLvl w:val="2"/>
    </w:pPr>
    <w:rPr>
      <w:rFonts w:ascii="Arial" w:eastAsia="Times New Roman" w:hAnsi="Arial" w:cs="Arial"/>
      <w:b/>
      <w:bCs/>
      <w:sz w:val="24"/>
      <w:szCs w:val="20"/>
      <w:lang w:val="pl-PL"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3CC1"/>
    <w:pPr>
      <w:widowControl/>
      <w:tabs>
        <w:tab w:val="center" w:pos="4536"/>
        <w:tab w:val="right" w:pos="9072"/>
      </w:tabs>
    </w:pPr>
    <w:rPr>
      <w:lang w:val="pl-PL"/>
    </w:rPr>
  </w:style>
  <w:style w:type="character" w:customStyle="1" w:styleId="En-tteCar">
    <w:name w:val="En-tête Car"/>
    <w:basedOn w:val="Policepardfaut"/>
    <w:link w:val="En-tte"/>
    <w:uiPriority w:val="99"/>
    <w:semiHidden/>
    <w:rsid w:val="00F33CC1"/>
  </w:style>
  <w:style w:type="paragraph" w:styleId="Pieddepage">
    <w:name w:val="footer"/>
    <w:basedOn w:val="Normal"/>
    <w:link w:val="PieddepageCar"/>
    <w:uiPriority w:val="99"/>
    <w:semiHidden/>
    <w:unhideWhenUsed/>
    <w:rsid w:val="00F33CC1"/>
    <w:pPr>
      <w:widowControl/>
      <w:tabs>
        <w:tab w:val="center" w:pos="4536"/>
        <w:tab w:val="right" w:pos="9072"/>
      </w:tabs>
    </w:pPr>
    <w:rPr>
      <w:lang w:val="pl-PL"/>
    </w:rPr>
  </w:style>
  <w:style w:type="character" w:customStyle="1" w:styleId="PieddepageCar">
    <w:name w:val="Pied de page Car"/>
    <w:basedOn w:val="Policepardfaut"/>
    <w:link w:val="Pieddepage"/>
    <w:uiPriority w:val="99"/>
    <w:semiHidden/>
    <w:rsid w:val="00F33CC1"/>
  </w:style>
  <w:style w:type="character" w:customStyle="1" w:styleId="Titre1Car">
    <w:name w:val="Titre 1 Car"/>
    <w:basedOn w:val="Policepardfaut"/>
    <w:link w:val="Titre1"/>
    <w:rsid w:val="00F33CC1"/>
    <w:rPr>
      <w:rFonts w:ascii="Tahoma" w:eastAsia="Times New Roman" w:hAnsi="Tahoma" w:cs="Times New Roman"/>
      <w:b/>
      <w:bCs/>
      <w:sz w:val="20"/>
      <w:szCs w:val="20"/>
      <w:lang w:eastAsia="ar-SA"/>
    </w:rPr>
  </w:style>
  <w:style w:type="character" w:customStyle="1" w:styleId="Titre3Car">
    <w:name w:val="Titre 3 Car"/>
    <w:basedOn w:val="Policepardfaut"/>
    <w:link w:val="Titre3"/>
    <w:rsid w:val="00F33CC1"/>
    <w:rPr>
      <w:rFonts w:ascii="Arial" w:eastAsia="Times New Roman" w:hAnsi="Arial" w:cs="Arial"/>
      <w:b/>
      <w:bCs/>
      <w:sz w:val="24"/>
      <w:szCs w:val="20"/>
      <w:lang w:eastAsia="ar-SA"/>
    </w:rPr>
  </w:style>
  <w:style w:type="paragraph" w:styleId="Textedebulles">
    <w:name w:val="Balloon Text"/>
    <w:basedOn w:val="Normal"/>
    <w:link w:val="TextedebullesCar"/>
    <w:uiPriority w:val="99"/>
    <w:semiHidden/>
    <w:unhideWhenUsed/>
    <w:rsid w:val="00F33CC1"/>
    <w:pPr>
      <w:widowControl/>
    </w:pPr>
    <w:rPr>
      <w:rFonts w:ascii="Tahoma" w:hAnsi="Tahoma" w:cs="Tahoma"/>
      <w:sz w:val="16"/>
      <w:szCs w:val="16"/>
      <w:lang w:val="pl-PL"/>
    </w:rPr>
  </w:style>
  <w:style w:type="character" w:customStyle="1" w:styleId="TextedebullesCar">
    <w:name w:val="Texte de bulles Car"/>
    <w:basedOn w:val="Policepardfaut"/>
    <w:link w:val="Textedebulles"/>
    <w:uiPriority w:val="99"/>
    <w:semiHidden/>
    <w:rsid w:val="00F33CC1"/>
    <w:rPr>
      <w:rFonts w:ascii="Tahoma" w:hAnsi="Tahoma" w:cs="Tahoma"/>
      <w:sz w:val="16"/>
      <w:szCs w:val="16"/>
    </w:rPr>
  </w:style>
  <w:style w:type="paragraph" w:styleId="Sansinterligne">
    <w:name w:val="No Spacing"/>
    <w:uiPriority w:val="1"/>
    <w:qFormat/>
    <w:rsid w:val="00862715"/>
    <w:pPr>
      <w:spacing w:after="0" w:line="240" w:lineRule="auto"/>
    </w:pPr>
  </w:style>
  <w:style w:type="table" w:styleId="Grilledutableau">
    <w:name w:val="Table Grid"/>
    <w:basedOn w:val="TableauNormal"/>
    <w:uiPriority w:val="59"/>
    <w:rsid w:val="005D6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F70281"/>
    <w:pPr>
      <w:spacing w:after="0" w:line="240" w:lineRule="auto"/>
    </w:pPr>
  </w:style>
  <w:style w:type="character" w:styleId="Textedelespacerserv">
    <w:name w:val="Placeholder Text"/>
    <w:basedOn w:val="Policepardfaut"/>
    <w:uiPriority w:val="99"/>
    <w:semiHidden/>
    <w:rsid w:val="003A1E64"/>
    <w:rPr>
      <w:color w:val="808080"/>
    </w:rPr>
  </w:style>
  <w:style w:type="character" w:styleId="Lienhypertexte">
    <w:name w:val="Hyperlink"/>
    <w:basedOn w:val="Policepardfaut"/>
    <w:uiPriority w:val="99"/>
    <w:unhideWhenUsed/>
    <w:rsid w:val="00171D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063577">
      <w:bodyDiv w:val="1"/>
      <w:marLeft w:val="0"/>
      <w:marRight w:val="0"/>
      <w:marTop w:val="0"/>
      <w:marBottom w:val="0"/>
      <w:divBdr>
        <w:top w:val="none" w:sz="0" w:space="0" w:color="auto"/>
        <w:left w:val="none" w:sz="0" w:space="0" w:color="auto"/>
        <w:bottom w:val="none" w:sz="0" w:space="0" w:color="auto"/>
        <w:right w:val="none" w:sz="0" w:space="0" w:color="auto"/>
      </w:divBdr>
    </w:div>
    <w:div w:id="338898197">
      <w:bodyDiv w:val="1"/>
      <w:marLeft w:val="0"/>
      <w:marRight w:val="0"/>
      <w:marTop w:val="0"/>
      <w:marBottom w:val="0"/>
      <w:divBdr>
        <w:top w:val="none" w:sz="0" w:space="0" w:color="auto"/>
        <w:left w:val="none" w:sz="0" w:space="0" w:color="auto"/>
        <w:bottom w:val="none" w:sz="0" w:space="0" w:color="auto"/>
        <w:right w:val="none" w:sz="0" w:space="0" w:color="auto"/>
      </w:divBdr>
    </w:div>
    <w:div w:id="7880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A8E4B-A6B9-4C6D-A25C-1843B706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188</Words>
  <Characters>1034</Characters>
  <Application>Microsoft Office Word</Application>
  <DocSecurity>0</DocSecurity>
  <Lines>8</Lines>
  <Paragraphs>2</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Dzeq</dc:creator>
  <cp:lastModifiedBy>Yohan</cp:lastModifiedBy>
  <cp:revision>2</cp:revision>
  <cp:lastPrinted>2016-11-16T12:39:00Z</cp:lastPrinted>
  <dcterms:created xsi:type="dcterms:W3CDTF">2016-11-16T08:48:00Z</dcterms:created>
  <dcterms:modified xsi:type="dcterms:W3CDTF">2017-02-10T15:36:00Z</dcterms:modified>
</cp:coreProperties>
</file>