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7C5DB" w14:textId="77777777" w:rsidR="006C37DB" w:rsidRDefault="00BB523B" w:rsidP="00BB523B">
      <w:pPr>
        <w:jc w:val="center"/>
        <w:rPr>
          <w:b/>
          <w:sz w:val="28"/>
          <w:szCs w:val="28"/>
        </w:rPr>
      </w:pPr>
      <w:r>
        <w:rPr>
          <w:b/>
          <w:sz w:val="28"/>
          <w:szCs w:val="28"/>
        </w:rPr>
        <w:t xml:space="preserve">Les (futures) nouveautés en matière de droit de superficie </w:t>
      </w:r>
    </w:p>
    <w:p w14:paraId="601E3474" w14:textId="77777777" w:rsidR="00BB523B" w:rsidRDefault="00BB523B" w:rsidP="00BB523B">
      <w:pPr>
        <w:jc w:val="center"/>
        <w:rPr>
          <w:b/>
          <w:sz w:val="28"/>
          <w:szCs w:val="28"/>
        </w:rPr>
      </w:pPr>
      <w:r>
        <w:rPr>
          <w:b/>
          <w:sz w:val="28"/>
          <w:szCs w:val="28"/>
        </w:rPr>
        <w:t>Ou vers un renouveau de la propriété immobilière ?</w:t>
      </w:r>
    </w:p>
    <w:p w14:paraId="01CF3470" w14:textId="77777777" w:rsidR="00BB523B" w:rsidRDefault="00BB523B" w:rsidP="00BB523B">
      <w:pPr>
        <w:jc w:val="center"/>
        <w:rPr>
          <w:b/>
          <w:sz w:val="28"/>
          <w:szCs w:val="28"/>
        </w:rPr>
      </w:pPr>
    </w:p>
    <w:p w14:paraId="051B6E8E" w14:textId="77777777" w:rsidR="00BB523B" w:rsidRPr="00BB523B" w:rsidRDefault="00BB523B" w:rsidP="00BB523B">
      <w:pPr>
        <w:jc w:val="center"/>
        <w:rPr>
          <w:i/>
        </w:rPr>
      </w:pPr>
      <w:r w:rsidRPr="00BB523B">
        <w:rPr>
          <w:i/>
        </w:rPr>
        <w:t>Pascale Lecocq</w:t>
      </w:r>
    </w:p>
    <w:p w14:paraId="086CE41B" w14:textId="77777777" w:rsidR="00BB523B" w:rsidRDefault="00BB523B" w:rsidP="00BB523B">
      <w:pPr>
        <w:jc w:val="center"/>
        <w:rPr>
          <w:i/>
        </w:rPr>
      </w:pPr>
      <w:r w:rsidRPr="00BB523B">
        <w:rPr>
          <w:i/>
        </w:rPr>
        <w:t>Professeur ordinaire à l’ULg, Chargé de cours à l’ULB</w:t>
      </w:r>
    </w:p>
    <w:p w14:paraId="547791DA" w14:textId="77777777" w:rsidR="00BB523B" w:rsidRDefault="00BB523B" w:rsidP="00BB523B">
      <w:pPr>
        <w:jc w:val="center"/>
        <w:rPr>
          <w:i/>
        </w:rPr>
      </w:pPr>
    </w:p>
    <w:p w14:paraId="0A232FAB" w14:textId="77777777" w:rsidR="00BB523B" w:rsidRDefault="00BB523B" w:rsidP="00BB523B">
      <w:pPr>
        <w:jc w:val="both"/>
      </w:pPr>
    </w:p>
    <w:p w14:paraId="02E86D0B" w14:textId="77777777" w:rsidR="00BB523B" w:rsidRDefault="00BB523B" w:rsidP="00BB523B">
      <w:pPr>
        <w:jc w:val="both"/>
        <w:rPr>
          <w:b/>
        </w:rPr>
      </w:pPr>
      <w:r>
        <w:rPr>
          <w:b/>
        </w:rPr>
        <w:t>Introduction</w:t>
      </w:r>
    </w:p>
    <w:p w14:paraId="29AC0222" w14:textId="77777777" w:rsidR="00BB523B" w:rsidRDefault="00BB523B" w:rsidP="00BB523B">
      <w:pPr>
        <w:jc w:val="both"/>
        <w:rPr>
          <w:b/>
        </w:rPr>
      </w:pPr>
    </w:p>
    <w:p w14:paraId="46DAA29A" w14:textId="2A2E6E88" w:rsidR="00BB523B" w:rsidRDefault="004D6AFD" w:rsidP="00BB523B">
      <w:pPr>
        <w:jc w:val="both"/>
      </w:pPr>
      <w:r>
        <w:t>Un projet d</w:t>
      </w:r>
      <w:r w:rsidR="00BB523B">
        <w:t>e</w:t>
      </w:r>
      <w:r>
        <w:t xml:space="preserve"> </w:t>
      </w:r>
      <w:r w:rsidR="00BB523B">
        <w:t>loi portant des dispositions diverses en matiè</w:t>
      </w:r>
      <w:r>
        <w:t>re d</w:t>
      </w:r>
      <w:r w:rsidR="00BB523B">
        <w:t>e</w:t>
      </w:r>
      <w:r>
        <w:t xml:space="preserve"> </w:t>
      </w:r>
      <w:r w:rsidR="00BB523B">
        <w:t>Justice</w:t>
      </w:r>
      <w:r>
        <w:t xml:space="preserve"> a été déposé à la Chambre des R</w:t>
      </w:r>
      <w:r w:rsidR="00BB523B">
        <w:t>eprésentants ce 26 novembre 2013</w:t>
      </w:r>
      <w:r>
        <w:t xml:space="preserve"> </w:t>
      </w:r>
      <w:r>
        <w:rPr>
          <w:rStyle w:val="Marquenotebasdepage"/>
        </w:rPr>
        <w:footnoteReference w:id="1"/>
      </w:r>
      <w:r w:rsidR="00F52AB4">
        <w:t> ; l</w:t>
      </w:r>
      <w:r>
        <w:t xml:space="preserve">e </w:t>
      </w:r>
      <w:r w:rsidR="00BB523B">
        <w:t xml:space="preserve">Chapitre 11 du Titre 10 </w:t>
      </w:r>
      <w:r>
        <w:t xml:space="preserve">de ce projet </w:t>
      </w:r>
      <w:r w:rsidR="00C7183D">
        <w:t>apporte</w:t>
      </w:r>
      <w:r w:rsidR="00BB523B">
        <w:t xml:space="preserve"> des modifications à la loi du 10 janvier 1824 </w:t>
      </w:r>
      <w:r w:rsidR="00F52AB4">
        <w:t>sur le droit de superficie dont nous nous proposons de faire une première analyse dans la présente contribution.</w:t>
      </w:r>
    </w:p>
    <w:p w14:paraId="4C9CCD07" w14:textId="77777777" w:rsidR="00F52AB4" w:rsidRDefault="00F52AB4" w:rsidP="00BB523B">
      <w:pPr>
        <w:jc w:val="both"/>
      </w:pPr>
    </w:p>
    <w:p w14:paraId="367272A4" w14:textId="77777777" w:rsidR="00BB523B" w:rsidRDefault="00BB523B" w:rsidP="00BB523B">
      <w:pPr>
        <w:jc w:val="both"/>
        <w:rPr>
          <w:b/>
        </w:rPr>
      </w:pPr>
    </w:p>
    <w:p w14:paraId="5FA4C309" w14:textId="77777777" w:rsidR="00F52AB4" w:rsidRPr="00F52AB4" w:rsidRDefault="001B7D77" w:rsidP="00F52AB4">
      <w:pPr>
        <w:jc w:val="both"/>
        <w:rPr>
          <w:b/>
        </w:rPr>
      </w:pPr>
      <w:r>
        <w:rPr>
          <w:b/>
        </w:rPr>
        <w:t>§ 1er</w:t>
      </w:r>
      <w:r w:rsidR="00F52AB4">
        <w:rPr>
          <w:b/>
        </w:rPr>
        <w:t xml:space="preserve">. </w:t>
      </w:r>
      <w:r w:rsidR="00F52AB4" w:rsidRPr="00F52AB4">
        <w:rPr>
          <w:b/>
        </w:rPr>
        <w:t xml:space="preserve">Contexte de la </w:t>
      </w:r>
      <w:r>
        <w:rPr>
          <w:b/>
        </w:rPr>
        <w:t xml:space="preserve">proposition de </w:t>
      </w:r>
      <w:r w:rsidR="00F52AB4" w:rsidRPr="00F52AB4">
        <w:rPr>
          <w:b/>
        </w:rPr>
        <w:t>réforme</w:t>
      </w:r>
    </w:p>
    <w:p w14:paraId="4EDB18B8" w14:textId="77777777" w:rsidR="00F52AB4" w:rsidRPr="00F52AB4" w:rsidRDefault="00F52AB4" w:rsidP="00F52AB4">
      <w:pPr>
        <w:jc w:val="both"/>
        <w:rPr>
          <w:b/>
        </w:rPr>
      </w:pPr>
    </w:p>
    <w:p w14:paraId="46502CA0" w14:textId="6A58A0B4" w:rsidR="002E046C" w:rsidRDefault="00F52AB4" w:rsidP="00BB523B">
      <w:pPr>
        <w:jc w:val="both"/>
      </w:pPr>
      <w:r>
        <w:t>Comme l’indique l’exposé des motifs</w:t>
      </w:r>
      <w:r w:rsidR="005C7391">
        <w:t xml:space="preserve"> </w:t>
      </w:r>
      <w:r w:rsidR="005C7391">
        <w:rPr>
          <w:rStyle w:val="Marquenotebasdepage"/>
        </w:rPr>
        <w:footnoteReference w:id="2"/>
      </w:r>
      <w:r>
        <w:t>, l’initiative revient à la Fédération Royale des Notaires belges</w:t>
      </w:r>
      <w:r w:rsidR="005C7391">
        <w:t> :</w:t>
      </w:r>
      <w:r w:rsidR="002E046C">
        <w:t xml:space="preserve"> la pratique notar</w:t>
      </w:r>
      <w:r w:rsidR="005C7391">
        <w:t>i</w:t>
      </w:r>
      <w:r w:rsidR="002E046C">
        <w:t>a</w:t>
      </w:r>
      <w:r w:rsidR="005C7391">
        <w:t>le est</w:t>
      </w:r>
      <w:r w:rsidR="00C7183D">
        <w:t>,</w:t>
      </w:r>
      <w:r w:rsidR="005C7391">
        <w:t xml:space="preserve"> en ef</w:t>
      </w:r>
      <w:r w:rsidR="002E046C">
        <w:t>f</w:t>
      </w:r>
      <w:r w:rsidR="005C7391">
        <w:t>et</w:t>
      </w:r>
      <w:r w:rsidR="00C7183D">
        <w:t>,</w:t>
      </w:r>
      <w:r w:rsidR="005C7391">
        <w:t xml:space="preserve"> saisie depuis quelques années de demandes de constitutio</w:t>
      </w:r>
      <w:r w:rsidR="002E046C">
        <w:t>n de droits réels sur le bâtime</w:t>
      </w:r>
      <w:r w:rsidR="005C7391">
        <w:t>n</w:t>
      </w:r>
      <w:r w:rsidR="002E046C">
        <w:t>t</w:t>
      </w:r>
      <w:r w:rsidR="005C7391">
        <w:t xml:space="preserve"> d’autrui, notamment dans le cadre de pl</w:t>
      </w:r>
      <w:r w:rsidR="002E046C">
        <w:t xml:space="preserve">acements de panneaux photovoltaïques sur des toitures existantes. L’objectif étant évidemment de pouvoir octroyer des sûretés efficaces, s’étendant à la propriété des constructions ou installations projetées, </w:t>
      </w:r>
      <w:r w:rsidR="00C7183D">
        <w:t>l’on a</w:t>
      </w:r>
      <w:r w:rsidR="002E046C">
        <w:t xml:space="preserve"> naturellement songé aux possibilités que pouvait, ou non, offrir la loi sur la superficie.</w:t>
      </w:r>
    </w:p>
    <w:p w14:paraId="0CCCD18A" w14:textId="77777777" w:rsidR="002E046C" w:rsidRDefault="002E046C" w:rsidP="00BB523B">
      <w:pPr>
        <w:jc w:val="both"/>
      </w:pPr>
    </w:p>
    <w:p w14:paraId="30F90E3B" w14:textId="3101FFAF" w:rsidR="008547A9" w:rsidRDefault="002E046C" w:rsidP="008547A9">
      <w:pPr>
        <w:jc w:val="both"/>
      </w:pPr>
      <w:r>
        <w:t xml:space="preserve">Le groupe de travail réuni pour l’occasion n’a pu que constater les </w:t>
      </w:r>
      <w:r w:rsidR="004248AD">
        <w:t xml:space="preserve">controverses </w:t>
      </w:r>
      <w:r>
        <w:t>récurrentes et parfois fondamentales en doctrine</w:t>
      </w:r>
      <w:r w:rsidR="004248AD">
        <w:t xml:space="preserve"> </w:t>
      </w:r>
      <w:r>
        <w:t>quant à l’interprétatio</w:t>
      </w:r>
      <w:r w:rsidR="00A1767C">
        <w:t>n des textes actuels</w:t>
      </w:r>
      <w:r w:rsidR="004248AD">
        <w:t xml:space="preserve">, </w:t>
      </w:r>
      <w:r w:rsidR="008547A9">
        <w:t>et, partant, l’</w:t>
      </w:r>
      <w:r w:rsidR="004248AD">
        <w:t xml:space="preserve">insécurité juridique certaine </w:t>
      </w:r>
      <w:r w:rsidR="008547A9">
        <w:t>en ce domaine</w:t>
      </w:r>
      <w:r w:rsidR="004248AD">
        <w:t xml:space="preserve"> </w:t>
      </w:r>
      <w:r w:rsidR="004248AD">
        <w:rPr>
          <w:rStyle w:val="Marquenotebasdepage"/>
        </w:rPr>
        <w:footnoteReference w:id="3"/>
      </w:r>
      <w:r w:rsidR="004248AD">
        <w:t xml:space="preserve">. La matière, nous l’avons déjà dit </w:t>
      </w:r>
      <w:r w:rsidR="004248AD">
        <w:rPr>
          <w:rStyle w:val="Marquenotebasdepage"/>
        </w:rPr>
        <w:footnoteReference w:id="4"/>
      </w:r>
      <w:r w:rsidR="004248AD">
        <w:t xml:space="preserve">, est truffée d’incertitudes et </w:t>
      </w:r>
      <w:r w:rsidR="00C7183D">
        <w:t xml:space="preserve">de </w:t>
      </w:r>
      <w:r w:rsidR="004248AD">
        <w:t>divergences d’opinions tant l’on met les droits de superficie et d’emphytéose « à t</w:t>
      </w:r>
      <w:r w:rsidR="00AF57EF">
        <w:t xml:space="preserve">outes les sauces ». </w:t>
      </w:r>
    </w:p>
    <w:p w14:paraId="288F65B0" w14:textId="030C51C2" w:rsidR="00AF57EF" w:rsidRDefault="00AF57EF" w:rsidP="00BB523B">
      <w:pPr>
        <w:jc w:val="both"/>
      </w:pPr>
    </w:p>
    <w:p w14:paraId="5A7DD7AE" w14:textId="620402C2" w:rsidR="002E046C" w:rsidRDefault="004248AD" w:rsidP="00BB523B">
      <w:pPr>
        <w:jc w:val="both"/>
      </w:pPr>
      <w:r>
        <w:t xml:space="preserve">Nous </w:t>
      </w:r>
      <w:r w:rsidR="00C7183D">
        <w:t xml:space="preserve">aurions </w:t>
      </w:r>
      <w:r>
        <w:t xml:space="preserve">préféré, il </w:t>
      </w:r>
      <w:r w:rsidR="00AF57EF">
        <w:t>est vrai, une intervention légis</w:t>
      </w:r>
      <w:r>
        <w:t>l</w:t>
      </w:r>
      <w:r w:rsidR="00AF57EF">
        <w:t>a</w:t>
      </w:r>
      <w:r w:rsidR="008B5A91">
        <w:t>tive globaleme</w:t>
      </w:r>
      <w:r w:rsidR="001B7D77">
        <w:t>n</w:t>
      </w:r>
      <w:r w:rsidR="003C5A26">
        <w:t>t pensée</w:t>
      </w:r>
      <w:r w:rsidR="00CF09CD">
        <w:t xml:space="preserve">, dans une perspective créative, </w:t>
      </w:r>
      <w:r w:rsidR="00AF57EF">
        <w:t>car l’enjeu est de taille : le défi du XXI</w:t>
      </w:r>
      <w:r w:rsidR="00C7183D">
        <w:t>ème</w:t>
      </w:r>
      <w:r w:rsidR="00AF57EF">
        <w:t xml:space="preserve"> siècle en matière de propriété immobilière est sans conteste la possibilité et l’opportunité de réaliser des dissociations de propriété, non seulement temporaires mais aussi perpétuelles </w:t>
      </w:r>
      <w:r w:rsidR="00AF57EF">
        <w:rPr>
          <w:rStyle w:val="Marquenotebasdepage"/>
        </w:rPr>
        <w:footnoteReference w:id="5"/>
      </w:r>
      <w:r w:rsidR="00AF57EF">
        <w:t xml:space="preserve"> . A </w:t>
      </w:r>
      <w:r w:rsidR="00AF57EF">
        <w:lastRenderedPageBreak/>
        <w:t xml:space="preserve">intervalles réguliers, </w:t>
      </w:r>
      <w:r w:rsidR="001F04B4">
        <w:t>le droit de propriété évolue, se transforme, se renouvelle pour répondre aux besoins contemporains. Sans remettre en cause probablemen</w:t>
      </w:r>
      <w:r w:rsidR="00136DA4">
        <w:t>t la co</w:t>
      </w:r>
      <w:r w:rsidR="001B7D77">
        <w:t>n</w:t>
      </w:r>
      <w:r w:rsidR="00136DA4">
        <w:t>c</w:t>
      </w:r>
      <w:r w:rsidR="001B7D77">
        <w:t>eption unitaire du dro</w:t>
      </w:r>
      <w:r w:rsidR="001F04B4">
        <w:t>i</w:t>
      </w:r>
      <w:r w:rsidR="001B7D77">
        <w:t>t de propr</w:t>
      </w:r>
      <w:r w:rsidR="001F04B4">
        <w:t>i</w:t>
      </w:r>
      <w:r w:rsidR="001B7D77">
        <w:t>é</w:t>
      </w:r>
      <w:r w:rsidR="001F04B4">
        <w:t xml:space="preserve">té, sans revenir sans doute aux propriétés </w:t>
      </w:r>
      <w:r w:rsidR="001B7D77">
        <w:t>simultanées du dro</w:t>
      </w:r>
      <w:r w:rsidR="001F04B4">
        <w:t>i</w:t>
      </w:r>
      <w:r w:rsidR="001B7D77">
        <w:t>t</w:t>
      </w:r>
      <w:r w:rsidR="001F04B4">
        <w:t xml:space="preserve"> coutumier </w:t>
      </w:r>
      <w:r w:rsidR="001F04B4">
        <w:rPr>
          <w:rStyle w:val="Marquenotebasdepage"/>
        </w:rPr>
        <w:footnoteReference w:id="6"/>
      </w:r>
      <w:r w:rsidR="001F04B4">
        <w:t xml:space="preserve"> </w:t>
      </w:r>
      <w:r w:rsidR="001B7D77">
        <w:t xml:space="preserve">, </w:t>
      </w:r>
      <w:r w:rsidR="00B51BC7">
        <w:t xml:space="preserve">il convient </w:t>
      </w:r>
      <w:r w:rsidR="008547A9">
        <w:t xml:space="preserve">cependant </w:t>
      </w:r>
      <w:r w:rsidR="00B51BC7">
        <w:t xml:space="preserve">de revoir </w:t>
      </w:r>
      <w:r w:rsidR="001B7D77">
        <w:t>la vision absolutiste de la propriété immobilière dans l’espace, céleste et infernale tout à l</w:t>
      </w:r>
      <w:r w:rsidR="00136DA4">
        <w:t xml:space="preserve">a fois, </w:t>
      </w:r>
      <w:r w:rsidR="00384137">
        <w:t xml:space="preserve">laquelle </w:t>
      </w:r>
      <w:r w:rsidR="00136DA4">
        <w:t>répond malais</w:t>
      </w:r>
      <w:r w:rsidR="001B7D77">
        <w:t>é</w:t>
      </w:r>
      <w:r w:rsidR="00136DA4">
        <w:t>m</w:t>
      </w:r>
      <w:r w:rsidR="001B7D77">
        <w:t xml:space="preserve">ent aujourd’hui </w:t>
      </w:r>
      <w:r w:rsidR="00136DA4">
        <w:t>aux souhaits de la société et à l’imagination des promoteurs immobiliers</w:t>
      </w:r>
      <w:r w:rsidR="00B51BC7">
        <w:t xml:space="preserve"> </w:t>
      </w:r>
      <w:r w:rsidR="008547A9">
        <w:t xml:space="preserve">… </w:t>
      </w:r>
      <w:r w:rsidR="00B51BC7">
        <w:t>et des juristes</w:t>
      </w:r>
      <w:r w:rsidR="00136DA4">
        <w:t xml:space="preserve">. </w:t>
      </w:r>
    </w:p>
    <w:p w14:paraId="28C8231A" w14:textId="77777777" w:rsidR="00136DA4" w:rsidRDefault="00136DA4" w:rsidP="00BB523B">
      <w:pPr>
        <w:jc w:val="both"/>
      </w:pPr>
    </w:p>
    <w:p w14:paraId="20F75DB6" w14:textId="65BAEF62" w:rsidR="00136DA4" w:rsidRDefault="00136DA4" w:rsidP="00BB523B">
      <w:pPr>
        <w:jc w:val="both"/>
      </w:pPr>
      <w:r>
        <w:t xml:space="preserve">Les circonstances et le calendrier n’ont pas permis cette approche globale ; qu’importe, c’est au moins une première étape qui, on l’espère, éveillera la </w:t>
      </w:r>
      <w:r w:rsidR="00851D5D">
        <w:t>curiosité</w:t>
      </w:r>
      <w:r>
        <w:t xml:space="preserve"> des parlementaires et les convaincra de la </w:t>
      </w:r>
      <w:r w:rsidR="00851D5D">
        <w:t>nécessité</w:t>
      </w:r>
      <w:r>
        <w:t xml:space="preserve"> d’une plus ample réforme. Les membres du groupe de travail ne s’y sont pas trompés et ont voulu saisir cette chance ; en mettant de côté leurs divergences de c</w:t>
      </w:r>
      <w:r w:rsidR="00D64022">
        <w:t>ompréhension du système actuel afin de ne pas s’</w:t>
      </w:r>
      <w:r>
        <w:t>e</w:t>
      </w:r>
      <w:r w:rsidR="00D64022">
        <w:t>n</w:t>
      </w:r>
      <w:r>
        <w:t xml:space="preserve">liser dans </w:t>
      </w:r>
      <w:r w:rsidR="00D64022">
        <w:t>des discussions sans fin, ils ont fait des propositions concrètes da</w:t>
      </w:r>
      <w:r w:rsidR="008C79C1">
        <w:t>ns</w:t>
      </w:r>
      <w:r w:rsidR="00B51BC7">
        <w:t xml:space="preserve"> le cadre qui leur était fixé :</w:t>
      </w:r>
      <w:r w:rsidR="00D64022">
        <w:t xml:space="preserve"> la modification de l’objet du droit de superficie et de ses possibles « constituants ».</w:t>
      </w:r>
    </w:p>
    <w:p w14:paraId="4CD2CA9C" w14:textId="77777777" w:rsidR="00D64022" w:rsidRDefault="00D64022" w:rsidP="00BB523B">
      <w:pPr>
        <w:jc w:val="both"/>
      </w:pPr>
    </w:p>
    <w:p w14:paraId="4DB3A50D" w14:textId="3C2CF0BA" w:rsidR="00D64022" w:rsidRDefault="00D64022" w:rsidP="00BB523B">
      <w:pPr>
        <w:jc w:val="both"/>
      </w:pPr>
      <w:r>
        <w:t>Avant d’ex</w:t>
      </w:r>
      <w:r w:rsidR="002506CB">
        <w:t>poser</w:t>
      </w:r>
      <w:r>
        <w:t xml:space="preserve"> le résultat de ces réflexions, il convient de dresser rapidement</w:t>
      </w:r>
      <w:r w:rsidR="00DF6EC7">
        <w:t xml:space="preserve"> - et probablement subjectivement</w:t>
      </w:r>
      <w:r>
        <w:t xml:space="preserve"> </w:t>
      </w:r>
      <w:r w:rsidR="00DF6EC7">
        <w:t xml:space="preserve">- </w:t>
      </w:r>
      <w:r>
        <w:t>l’état des lieux préexistant.</w:t>
      </w:r>
    </w:p>
    <w:p w14:paraId="7FCFD084" w14:textId="77777777" w:rsidR="008B5A91" w:rsidRDefault="008B5A91" w:rsidP="00BB523B">
      <w:pPr>
        <w:jc w:val="both"/>
      </w:pPr>
    </w:p>
    <w:p w14:paraId="627F4E43" w14:textId="77777777" w:rsidR="001B7D77" w:rsidRDefault="001B7D77" w:rsidP="00BB523B">
      <w:pPr>
        <w:jc w:val="both"/>
      </w:pPr>
    </w:p>
    <w:p w14:paraId="48EA5959" w14:textId="217EC60A" w:rsidR="001B7D77" w:rsidRPr="001B7D77" w:rsidRDefault="001B7D77" w:rsidP="00BB523B">
      <w:pPr>
        <w:jc w:val="both"/>
        <w:rPr>
          <w:b/>
        </w:rPr>
      </w:pPr>
      <w:r>
        <w:rPr>
          <w:b/>
        </w:rPr>
        <w:t>§ 2</w:t>
      </w:r>
      <w:r w:rsidR="00CE2902">
        <w:rPr>
          <w:b/>
        </w:rPr>
        <w:t>. Bref é</w:t>
      </w:r>
      <w:r w:rsidRPr="001B7D77">
        <w:rPr>
          <w:b/>
        </w:rPr>
        <w:t>tat des lieux</w:t>
      </w:r>
    </w:p>
    <w:p w14:paraId="61729295" w14:textId="77777777" w:rsidR="001B7D77" w:rsidRDefault="001B7D77" w:rsidP="00BB523B">
      <w:pPr>
        <w:jc w:val="both"/>
      </w:pPr>
    </w:p>
    <w:p w14:paraId="036E4383" w14:textId="253D68AC" w:rsidR="001B7D77" w:rsidRDefault="00D64022" w:rsidP="00BB523B">
      <w:pPr>
        <w:jc w:val="both"/>
      </w:pPr>
      <w:r>
        <w:t>L’article 1</w:t>
      </w:r>
      <w:r w:rsidRPr="00D64022">
        <w:rPr>
          <w:vertAlign w:val="superscript"/>
        </w:rPr>
        <w:t>er</w:t>
      </w:r>
      <w:r w:rsidR="00406379">
        <w:t xml:space="preserve"> de</w:t>
      </w:r>
      <w:r>
        <w:t xml:space="preserve"> la loi du 10 janvier 1824 </w:t>
      </w:r>
      <w:r w:rsidR="002506CB">
        <w:t xml:space="preserve">énonce que le droit de superficie est un droit réel qui consiste à avoir des bâtiments, ouvrages ou plantations sur un fonds appartenant à autrui. </w:t>
      </w:r>
      <w:r w:rsidR="000B08F2">
        <w:t>Le superficiaire, titulaire d’un droit réel sur le fonds d’autrui, a essentiellement le droit d’utiliser le sol d’autrui, d’y construire et planter à sa guise et, en conséquence, de devenir propriétaire de ce qu’il a réalisé pendant la durée de son droit. La</w:t>
      </w:r>
      <w:r w:rsidR="008C79C1">
        <w:t xml:space="preserve"> co</w:t>
      </w:r>
      <w:r w:rsidR="000B08F2">
        <w:t>n</w:t>
      </w:r>
      <w:r w:rsidR="008C79C1">
        <w:t>s</w:t>
      </w:r>
      <w:r w:rsidR="007013B0">
        <w:t>t</w:t>
      </w:r>
      <w:r w:rsidR="000B08F2">
        <w:t>itution</w:t>
      </w:r>
      <w:r w:rsidR="007013B0">
        <w:t xml:space="preserve"> d’un dro</w:t>
      </w:r>
      <w:r w:rsidR="000B08F2">
        <w:t>i</w:t>
      </w:r>
      <w:r w:rsidR="007013B0">
        <w:t>t</w:t>
      </w:r>
      <w:r w:rsidR="000B08F2">
        <w:t xml:space="preserve"> de superficie implique,</w:t>
      </w:r>
      <w:r w:rsidR="002506CB">
        <w:t xml:space="preserve"> par </w:t>
      </w:r>
      <w:r w:rsidR="000B08F2">
        <w:t xml:space="preserve">essence, </w:t>
      </w:r>
      <w:r w:rsidR="002506CB">
        <w:t xml:space="preserve">une renonciation à </w:t>
      </w:r>
      <w:r w:rsidR="00CF0094">
        <w:t>l’</w:t>
      </w:r>
      <w:r w:rsidR="002506CB">
        <w:t>accession dans le chef du propriétaire du sol</w:t>
      </w:r>
      <w:r w:rsidR="000B08F2">
        <w:t>, et ce</w:t>
      </w:r>
      <w:r w:rsidR="002506CB">
        <w:t xml:space="preserve"> pour un maximum de 50 ans</w:t>
      </w:r>
      <w:r w:rsidR="000B08F2">
        <w:t xml:space="preserve"> en </w:t>
      </w:r>
      <w:r w:rsidR="008C79C1">
        <w:t>vertu de l’article 4 de la loi.</w:t>
      </w:r>
      <w:r w:rsidR="00EB3F75">
        <w:t xml:space="preserve"> La constitution d’un droit de superficie entraîne une dissociation</w:t>
      </w:r>
      <w:r w:rsidR="00B055C4">
        <w:t xml:space="preserve">, exclusivement temporaire </w:t>
      </w:r>
      <w:r w:rsidR="00B055C4">
        <w:rPr>
          <w:rStyle w:val="Marquenotebasdepage"/>
        </w:rPr>
        <w:footnoteReference w:id="7"/>
      </w:r>
      <w:r w:rsidR="00B055C4">
        <w:t>,</w:t>
      </w:r>
      <w:r w:rsidR="00EB3F75">
        <w:t xml:space="preserve"> de la propri</w:t>
      </w:r>
      <w:r w:rsidR="00B055C4">
        <w:t>été immobilière,</w:t>
      </w:r>
      <w:r w:rsidR="00EB3F75">
        <w:t xml:space="preserve"> le tréfoncier demeurant propriétaire du sol et du sous-sol</w:t>
      </w:r>
      <w:r w:rsidR="003A63A5">
        <w:t xml:space="preserve"> </w:t>
      </w:r>
      <w:r w:rsidR="003A63A5">
        <w:rPr>
          <w:rStyle w:val="Marquenotebasdepage"/>
        </w:rPr>
        <w:footnoteReference w:id="8"/>
      </w:r>
      <w:r w:rsidR="00EB3F75">
        <w:t>, le superficiaire de</w:t>
      </w:r>
      <w:r w:rsidR="005165C9">
        <w:t>venant propriétaire du sur-sol.</w:t>
      </w:r>
    </w:p>
    <w:p w14:paraId="1477DBFE" w14:textId="77777777" w:rsidR="005165C9" w:rsidRDefault="005165C9" w:rsidP="00BB523B">
      <w:pPr>
        <w:jc w:val="both"/>
      </w:pPr>
    </w:p>
    <w:p w14:paraId="277C901F" w14:textId="22493A4F" w:rsidR="005165C9" w:rsidRDefault="005165C9" w:rsidP="005165C9">
      <w:pPr>
        <w:jc w:val="both"/>
      </w:pPr>
      <w:r>
        <w:t xml:space="preserve">La doctrine </w:t>
      </w:r>
      <w:r w:rsidR="00A23ED3">
        <w:t>a semblé, pendant longtemps,</w:t>
      </w:r>
      <w:r>
        <w:t xml:space="preserve"> majoritairement s’accorder pour affirmer que le droit de superficie</w:t>
      </w:r>
      <w:r w:rsidR="00CF0094">
        <w:t>,</w:t>
      </w:r>
      <w:r>
        <w:t xml:space="preserve"> tel que régi par la loi de 1824</w:t>
      </w:r>
      <w:r w:rsidR="00CF0094">
        <w:t>,</w:t>
      </w:r>
      <w:r>
        <w:t xml:space="preserve"> ne concerne que le sur-sol et non le sous-sol </w:t>
      </w:r>
      <w:r>
        <w:rPr>
          <w:rStyle w:val="Marquenotebasdepage"/>
        </w:rPr>
        <w:footnoteReference w:id="9"/>
      </w:r>
      <w:r>
        <w:t>, vu l’utilisation à l’article 1</w:t>
      </w:r>
      <w:r>
        <w:rPr>
          <w:vertAlign w:val="superscript"/>
        </w:rPr>
        <w:t>er</w:t>
      </w:r>
      <w:r>
        <w:t xml:space="preserve"> du mot « sur » le fonds d’autrui </w:t>
      </w:r>
      <w:r>
        <w:rPr>
          <w:rStyle w:val="Marquenotebasdepage"/>
        </w:rPr>
        <w:footnoteReference w:id="10"/>
      </w:r>
      <w:r>
        <w:t xml:space="preserve">, vu aussi l’emploi du terme même de </w:t>
      </w:r>
      <w:r w:rsidR="00CF0094">
        <w:t>« </w:t>
      </w:r>
      <w:r>
        <w:t>superficie</w:t>
      </w:r>
      <w:r w:rsidR="00CF0094">
        <w:t> »</w:t>
      </w:r>
      <w:r>
        <w:t xml:space="preserve">, désignant la surface d’un corps surtout dans son étendue et dans son caractère </w:t>
      </w:r>
      <w:r w:rsidRPr="003C5A26">
        <w:rPr>
          <w:b/>
        </w:rPr>
        <w:t>extérieur</w:t>
      </w:r>
      <w:r>
        <w:rPr>
          <w:b/>
        </w:rPr>
        <w:t> </w:t>
      </w:r>
      <w:r>
        <w:t>; l</w:t>
      </w:r>
      <w:r w:rsidRPr="008468C9">
        <w:t>e Doyen SAVATIER</w:t>
      </w:r>
      <w:r w:rsidR="00CF0094">
        <w:t>,</w:t>
      </w:r>
      <w:r w:rsidRPr="008468C9">
        <w:t xml:space="preserve"> étudiant en 1976 déjà la propriété des volume</w:t>
      </w:r>
      <w:r w:rsidR="00CF0094">
        <w:t xml:space="preserve">s dans l’espace, </w:t>
      </w:r>
      <w:r w:rsidR="00B055C4">
        <w:t>écrivait que d’un point de vue étymologique</w:t>
      </w:r>
      <w:r w:rsidRPr="008468C9">
        <w:t xml:space="preserve"> « </w:t>
      </w:r>
      <w:r w:rsidR="00B055C4">
        <w:rPr>
          <w:i/>
        </w:rPr>
        <w:t xml:space="preserve">(…) </w:t>
      </w:r>
      <w:r w:rsidRPr="008468C9">
        <w:rPr>
          <w:i/>
        </w:rPr>
        <w:t>le suffixe super s’oppose à l’emploi du mot superficie pour désigner des substructures. Etymologiquement le préfixe super est, en effet, antinomique au préfixe sub </w:t>
      </w:r>
      <w:r w:rsidRPr="008468C9">
        <w:t>»</w:t>
      </w:r>
      <w:r w:rsidRPr="008468C9">
        <w:rPr>
          <w:rStyle w:val="Marquenotebasdepage"/>
        </w:rPr>
        <w:footnoteReference w:id="11"/>
      </w:r>
      <w:r w:rsidR="00CF0094">
        <w:t>. L</w:t>
      </w:r>
      <w:r>
        <w:t xml:space="preserve">es opinions sont aujourd’hui un peu plus partagées </w:t>
      </w:r>
      <w:r>
        <w:rPr>
          <w:rStyle w:val="Marquenotebasdepage"/>
        </w:rPr>
        <w:footnoteReference w:id="12"/>
      </w:r>
      <w:r>
        <w:t>.</w:t>
      </w:r>
    </w:p>
    <w:p w14:paraId="70B1C5F5" w14:textId="77777777" w:rsidR="005165C9" w:rsidRDefault="005165C9" w:rsidP="005165C9">
      <w:pPr>
        <w:jc w:val="both"/>
      </w:pPr>
    </w:p>
    <w:p w14:paraId="7D9656FD" w14:textId="021C1329" w:rsidR="007013B0" w:rsidRDefault="005165C9" w:rsidP="007013B0">
      <w:pPr>
        <w:jc w:val="both"/>
      </w:pPr>
      <w:r>
        <w:t xml:space="preserve">Pour le reste, </w:t>
      </w:r>
      <w:r w:rsidR="00A23ED3">
        <w:t>nous préciserons d’abord qu’il convient de ne pas confondre l’objet du droit de superficie, la chose sur laquelle porte, de façon médiate ou immédiate, le droit de superficie</w:t>
      </w:r>
      <w:r w:rsidR="004D58EC">
        <w:t>,</w:t>
      </w:r>
      <w:r w:rsidR="00A23ED3">
        <w:t xml:space="preserve"> à</w:t>
      </w:r>
      <w:r w:rsidR="004D58EC">
        <w:t xml:space="preserve"> savoir</w:t>
      </w:r>
      <w:r w:rsidR="00A23ED3">
        <w:t xml:space="preserve"> le fonds de terre, et la propriété immobilière temporaire qui découle de ce droit et qui porte sur les constructions et plantations réalisées ou, plus largement, sur le sur-sol ainsi dissocié du sol. C</w:t>
      </w:r>
      <w:r w:rsidR="00EB3F75">
        <w:t>ontrairement à d’autres, n</w:t>
      </w:r>
      <w:r w:rsidR="008C79C1">
        <w:t>ous avons défendu jusqu’ici la position légaliste</w:t>
      </w:r>
      <w:r w:rsidR="00D63A93">
        <w:t xml:space="preserve">, mais non point littérale </w:t>
      </w:r>
      <w:r w:rsidR="001F4318">
        <w:rPr>
          <w:rStyle w:val="Marquenotebasdepage"/>
        </w:rPr>
        <w:footnoteReference w:id="13"/>
      </w:r>
      <w:r w:rsidR="004D58EC">
        <w:t>,</w:t>
      </w:r>
      <w:r w:rsidR="008C79C1">
        <w:t xml:space="preserve"> selon laquelle</w:t>
      </w:r>
      <w:r w:rsidR="008C79C1">
        <w:rPr>
          <w:b/>
        </w:rPr>
        <w:t xml:space="preserve"> </w:t>
      </w:r>
      <w:r w:rsidR="008C79C1">
        <w:t>il convient</w:t>
      </w:r>
      <w:r w:rsidR="008C79C1">
        <w:rPr>
          <w:b/>
        </w:rPr>
        <w:t xml:space="preserve"> </w:t>
      </w:r>
      <w:r w:rsidR="008C79C1">
        <w:t xml:space="preserve">« </w:t>
      </w:r>
      <w:r w:rsidR="008C79C1">
        <w:rPr>
          <w:i/>
        </w:rPr>
        <w:t xml:space="preserve">de conserver comme fil conducteur de tout raisonnement en la matière les définitions de ces droits inscrites aux articles premiers des deux lois néerlandaises du 10 janvier 1824 </w:t>
      </w:r>
      <w:r w:rsidR="008C79C1">
        <w:t>» et le caractère supplétif des lois de 1824 n’y change rien.</w:t>
      </w:r>
      <w:r w:rsidR="007C648D">
        <w:t xml:space="preserve"> </w:t>
      </w:r>
      <w:r w:rsidR="008C79C1">
        <w:t xml:space="preserve">Partant, </w:t>
      </w:r>
      <w:r w:rsidR="00345AE5">
        <w:t xml:space="preserve">s’agissant du droit de superficie, divers arguments nous ont conduite à défendre l’opinion, certes plus restrictive que d’autres, selon laquelle l’objet du droit de superficie, à savoir la chose sur laquelle porte ce droit, </w:t>
      </w:r>
      <w:r w:rsidR="00EB3F75">
        <w:t xml:space="preserve">la chose qui est grevée du droit de superficie, </w:t>
      </w:r>
      <w:r w:rsidR="00345AE5">
        <w:t>est un fonds au sens de fonds de terre</w:t>
      </w:r>
      <w:r w:rsidR="007013B0">
        <w:t xml:space="preserve"> ; la loi a été adoptée en 1824, rappelons-le, et la version originaire disposait que « het regt van opstal is een zakelijk regt, om gebouwen, werken of beplantingen op eens ander mans </w:t>
      </w:r>
      <w:r w:rsidR="007013B0" w:rsidRPr="003C5A26">
        <w:rPr>
          <w:b/>
        </w:rPr>
        <w:t>grond</w:t>
      </w:r>
      <w:r w:rsidR="007013B0">
        <w:t xml:space="preserve"> </w:t>
      </w:r>
      <w:r w:rsidR="007013B0">
        <w:rPr>
          <w:rStyle w:val="Marquenotebasdepage"/>
        </w:rPr>
        <w:footnoteReference w:id="14"/>
      </w:r>
      <w:r w:rsidR="007013B0">
        <w:t xml:space="preserve"> te </w:t>
      </w:r>
      <w:r w:rsidR="004D58EC">
        <w:t>hebben ». E</w:t>
      </w:r>
      <w:r w:rsidR="007013B0">
        <w:t xml:space="preserve">nsuite, le droit de superficie est conçu comme une dérogation au principe de l’accession selon lequel, en matière immobilière, la propriété du </w:t>
      </w:r>
      <w:r w:rsidR="007013B0" w:rsidRPr="003C5A26">
        <w:rPr>
          <w:b/>
        </w:rPr>
        <w:t xml:space="preserve">sol </w:t>
      </w:r>
      <w:r w:rsidR="007013B0">
        <w:t>emporte la propriété du dessus et du dessous (art. 552 C.</w:t>
      </w:r>
      <w:r w:rsidR="00851D5D">
        <w:t xml:space="preserve"> </w:t>
      </w:r>
      <w:r w:rsidR="007013B0">
        <w:t xml:space="preserve">civ.) et toutes constructions, plantations ou ouvrages sur un </w:t>
      </w:r>
      <w:r w:rsidR="007013B0" w:rsidRPr="003C5A26">
        <w:rPr>
          <w:b/>
        </w:rPr>
        <w:t>terrain</w:t>
      </w:r>
      <w:r w:rsidR="007013B0">
        <w:t xml:space="preserve"> ou dans l’intérieur, sont présumés faits par le propriétaire à ses frais et lui appartenir, si le contraire n’est prouvé (art. 553 C.</w:t>
      </w:r>
      <w:r w:rsidR="00851D5D">
        <w:t xml:space="preserve"> </w:t>
      </w:r>
      <w:r w:rsidR="004D58EC">
        <w:t>civ.). E</w:t>
      </w:r>
      <w:r w:rsidR="007013B0">
        <w:t xml:space="preserve">nfin, on oppose traditionnellement le superficiaire au tréfoncier </w:t>
      </w:r>
      <w:r w:rsidR="007013B0">
        <w:rPr>
          <w:rStyle w:val="Marquenotebasdepage"/>
        </w:rPr>
        <w:footnoteReference w:id="15"/>
      </w:r>
      <w:r w:rsidR="007013B0">
        <w:t xml:space="preserve">, ce dernier étant propriétaire du sous-sol et du </w:t>
      </w:r>
      <w:r w:rsidR="007013B0" w:rsidRPr="003C5A26">
        <w:rPr>
          <w:b/>
        </w:rPr>
        <w:t>sol,</w:t>
      </w:r>
      <w:r w:rsidR="007013B0">
        <w:t xml:space="preserve"> en concevant, pour cerner les contours du droit de superficie, un plan idéal se superposant à la surface </w:t>
      </w:r>
      <w:r w:rsidR="007013B0">
        <w:rPr>
          <w:rStyle w:val="Marquenotebasdepage"/>
        </w:rPr>
        <w:footnoteReference w:id="16"/>
      </w:r>
      <w:r w:rsidR="003C5A26">
        <w:t xml:space="preserve"> </w:t>
      </w:r>
      <w:r w:rsidR="003C5A26">
        <w:rPr>
          <w:rStyle w:val="Marquenotebasdepage"/>
        </w:rPr>
        <w:footnoteReference w:id="17"/>
      </w:r>
      <w:r w:rsidR="003C5A26">
        <w:t xml:space="preserve">. </w:t>
      </w:r>
    </w:p>
    <w:p w14:paraId="0A655047" w14:textId="77777777" w:rsidR="00DE46E0" w:rsidRDefault="00DE46E0" w:rsidP="007013B0">
      <w:pPr>
        <w:jc w:val="both"/>
      </w:pPr>
    </w:p>
    <w:p w14:paraId="68898AE1" w14:textId="0F177096" w:rsidR="005165C9" w:rsidRDefault="00BA2E9B" w:rsidP="00BA2E9B">
      <w:pPr>
        <w:jc w:val="both"/>
      </w:pPr>
      <w:r>
        <w:t>En revanche, il importe peu que</w:t>
      </w:r>
      <w:r w:rsidR="00AA40C3">
        <w:t xml:space="preserve"> ce fonds soit</w:t>
      </w:r>
      <w:r>
        <w:t xml:space="preserve"> bâti</w:t>
      </w:r>
      <w:r w:rsidR="00AA40C3">
        <w:t xml:space="preserve"> ou non</w:t>
      </w:r>
      <w:r>
        <w:t xml:space="preserve">, comme en attestent à suffisance les articles 5 et 7 de la loi </w:t>
      </w:r>
      <w:r>
        <w:rPr>
          <w:rStyle w:val="Marquenotebasdepage"/>
        </w:rPr>
        <w:footnoteReference w:id="18"/>
      </w:r>
      <w:r>
        <w:t>. A cet égard, il est une hypothèse qui pose aussi question, à savoir « </w:t>
      </w:r>
      <w:r>
        <w:rPr>
          <w:i/>
        </w:rPr>
        <w:t>(…) la possibilité d’un droit de superficie partielle en ce qu’il se superposerait non pas directement au sol, mais aux constructions existantes, lesquelles étant exclues du droit de superficie demeureraient acquises au propriétaire du terrain </w:t>
      </w:r>
      <w:r>
        <w:t xml:space="preserve">» </w:t>
      </w:r>
      <w:r>
        <w:rPr>
          <w:rStyle w:val="Marquenotebasdepage"/>
        </w:rPr>
        <w:footnoteReference w:id="19"/>
      </w:r>
      <w:r>
        <w:t xml:space="preserve">. Nous avons défendu qu’il soit permis que le propriétaire du sol concède un premier droit de superficie sur un sol nu, tout à fait traditionnellement, mais limite ce droit en hauteur, espèce de superficie partielle, de telle sorte qu’une deuxième personne pourrait recevoir du propriétaire du sol le droit de construire au niveau du premier étage, une troisième au niveau du second et ainsi de suite </w:t>
      </w:r>
      <w:r>
        <w:rPr>
          <w:rStyle w:val="Marquenotebasdepage"/>
        </w:rPr>
        <w:footnoteReference w:id="20"/>
      </w:r>
      <w:r>
        <w:t>, hypothèse qui s’accommode</w:t>
      </w:r>
      <w:r w:rsidR="00AA40C3">
        <w:t>,</w:t>
      </w:r>
      <w:r>
        <w:t xml:space="preserve"> sinon de la conception qu’avaient, en 1824, les rédacteurs de la loi du droit de superficie</w:t>
      </w:r>
      <w:r w:rsidR="00AA40C3">
        <w:t>,</w:t>
      </w:r>
      <w:r>
        <w:t xml:space="preserve"> du moins de la définition inscrite à l’article 1</w:t>
      </w:r>
      <w:r>
        <w:rPr>
          <w:vertAlign w:val="superscript"/>
        </w:rPr>
        <w:t>er</w:t>
      </w:r>
      <w:r>
        <w:t xml:space="preserve">, le mot </w:t>
      </w:r>
      <w:r>
        <w:rPr>
          <w:i/>
        </w:rPr>
        <w:t>« fonds </w:t>
      </w:r>
      <w:r>
        <w:t>» pouvant viser un terrain</w:t>
      </w:r>
      <w:r w:rsidR="00AA40C3">
        <w:t>,</w:t>
      </w:r>
      <w:r>
        <w:t xml:space="preserve"> bâti.</w:t>
      </w:r>
    </w:p>
    <w:p w14:paraId="79DD61A6" w14:textId="77777777" w:rsidR="005165C9" w:rsidRDefault="005165C9" w:rsidP="00BA2E9B">
      <w:pPr>
        <w:jc w:val="both"/>
      </w:pPr>
    </w:p>
    <w:p w14:paraId="42830D1F" w14:textId="653BD807" w:rsidR="002506CB" w:rsidRDefault="00E32AD1" w:rsidP="00CE2902">
      <w:pPr>
        <w:pStyle w:val="Notedebasdepage"/>
        <w:jc w:val="both"/>
      </w:pPr>
      <w:r>
        <w:t xml:space="preserve">Non plus quant à l’objet, mais quant à la qualité du constituant cette fois, </w:t>
      </w:r>
      <w:r w:rsidR="006A13DC">
        <w:t>nous pr</w:t>
      </w:r>
      <w:r w:rsidR="00CE2902">
        <w:t xml:space="preserve">éciserons d’abord que le mot </w:t>
      </w:r>
      <w:r w:rsidR="00AA40C3">
        <w:t>« </w:t>
      </w:r>
      <w:r w:rsidR="00CE2902">
        <w:t>co</w:t>
      </w:r>
      <w:r w:rsidR="006A13DC">
        <w:t>n</w:t>
      </w:r>
      <w:r w:rsidR="00CE2902">
        <w:t>s</w:t>
      </w:r>
      <w:r w:rsidR="006A13DC">
        <w:t>tituant</w:t>
      </w:r>
      <w:r w:rsidR="00AA40C3">
        <w:t> »</w:t>
      </w:r>
      <w:r w:rsidR="006A13DC">
        <w:t xml:space="preserve"> est utilisé dans le sens de celui qui peut </w:t>
      </w:r>
      <w:r w:rsidR="00851D5D">
        <w:t>constituer</w:t>
      </w:r>
      <w:r w:rsidR="006A13DC">
        <w:t xml:space="preserve"> un droit de superficie au moyen d’un acte juridique dit constitutif. </w:t>
      </w:r>
      <w:r w:rsidR="00CE2902">
        <w:t>Sur ce point, n</w:t>
      </w:r>
      <w:r w:rsidR="00BA2E9B">
        <w:t>ous avons personnellement déduit les conséquences logiques de notre analyse</w:t>
      </w:r>
      <w:r w:rsidR="006A13DC">
        <w:t xml:space="preserve"> quant à l’objet </w:t>
      </w:r>
      <w:r w:rsidR="00BA2E9B">
        <w:t xml:space="preserve">: </w:t>
      </w:r>
      <w:r w:rsidR="006A13DC">
        <w:t xml:space="preserve">le droit de superficie porte sur un fonds et seul le propriétaire de celui-ci peut renoncer à l’accession et constituer le droit de superficie. </w:t>
      </w:r>
      <w:r w:rsidR="00CE2902">
        <w:t>L’affirmation selon laquelle</w:t>
      </w:r>
      <w:r w:rsidR="00290CF8">
        <w:t>,</w:t>
      </w:r>
      <w:r w:rsidR="00CE2902">
        <w:t xml:space="preserve"> pour constituer un droit de superficie</w:t>
      </w:r>
      <w:r w:rsidR="00290CF8">
        <w:t>,</w:t>
      </w:r>
      <w:r w:rsidR="00CE2902">
        <w:t xml:space="preserve"> il faut être au moins propriétaire d’un sol ne paraît pas nouvelle et se retrouve incidemment dans nombre d’écrits </w:t>
      </w:r>
      <w:r w:rsidR="00CE2902">
        <w:rPr>
          <w:rStyle w:val="Marquenotebasdepage"/>
        </w:rPr>
        <w:footnoteReference w:id="21"/>
      </w:r>
      <w:r w:rsidR="00CE2902">
        <w:t xml:space="preserve"> ; elle n’empêche toutefois pas certains auteurs de considérer, d’une part, que le superficiaire pourrait éventuellement concéder un droit de superficie, soit qu’ils envisagent un droit de superficie sur des constructions existantes érigées par le superficiaire </w:t>
      </w:r>
      <w:r w:rsidR="00CE2902">
        <w:rPr>
          <w:rStyle w:val="Marquenotebasdepage"/>
        </w:rPr>
        <w:footnoteReference w:id="22"/>
      </w:r>
      <w:r w:rsidR="00CE2902">
        <w:t xml:space="preserve">, soit qu’ils admettent la constitution d’un droit de superficie sur un droit de superficie </w:t>
      </w:r>
      <w:r w:rsidR="00CE2902">
        <w:rPr>
          <w:rStyle w:val="Marquenotebasdepage"/>
        </w:rPr>
        <w:footnoteReference w:id="23"/>
      </w:r>
      <w:r w:rsidR="00CE2902">
        <w:t xml:space="preserve">, et, d’autre part, que l’emphytéote pourrait pareillement concéder un droit de superficie </w:t>
      </w:r>
      <w:r w:rsidR="00CE2902">
        <w:rPr>
          <w:rStyle w:val="Marquenotebasdepage"/>
        </w:rPr>
        <w:footnoteReference w:id="24"/>
      </w:r>
      <w:r w:rsidR="00CE2902">
        <w:t xml:space="preserve">. </w:t>
      </w:r>
      <w:r w:rsidR="006A13DC">
        <w:t>N</w:t>
      </w:r>
      <w:r w:rsidR="008C79C1">
        <w:t xml:space="preserve">ous </w:t>
      </w:r>
      <w:r w:rsidR="00500FF0">
        <w:t>avons écrit au contraire que</w:t>
      </w:r>
      <w:r w:rsidR="00CE2902">
        <w:t>, e</w:t>
      </w:r>
      <w:r w:rsidR="00500FF0">
        <w:t xml:space="preserve">n l’état des textes actuels, </w:t>
      </w:r>
      <w:r w:rsidR="00CE2902">
        <w:t xml:space="preserve">il ne peut être admis </w:t>
      </w:r>
      <w:r w:rsidR="008C79C1">
        <w:t xml:space="preserve">que soit concédé un droit de superficie par une personne qui ne serait propriétaire que d’un bâtiment (tel un superficiaire ou encore un emphytéote ayant construit), à l’exclusion du terrain sur lequel se trouve ce bâtiment </w:t>
      </w:r>
      <w:r w:rsidR="008C79C1">
        <w:rPr>
          <w:rStyle w:val="Marquenotebasdepage"/>
        </w:rPr>
        <w:footnoteReference w:id="25"/>
      </w:r>
      <w:r w:rsidR="00CE2902">
        <w:t>. On ajoutera que l</w:t>
      </w:r>
      <w:r w:rsidR="008C79C1">
        <w:t xml:space="preserve">a façon de s’exprimer est </w:t>
      </w:r>
      <w:r w:rsidR="006A13DC">
        <w:t xml:space="preserve">d’ailleurs </w:t>
      </w:r>
      <w:r w:rsidR="008C79C1">
        <w:t>parfois ambiguë</w:t>
      </w:r>
      <w:r w:rsidR="00CE2902">
        <w:t> :</w:t>
      </w:r>
      <w:r w:rsidR="008C79C1">
        <w:t xml:space="preserve"> dans une décision rendue par la Cour d’appel de Liège, on parle de droit de superficie établi sur des bâtiments déjà existants, alors qu’il s’agit dans les faits d’un droit de superficie établi par le propriétaire sur son terrain, terrain sur lequel</w:t>
      </w:r>
      <w:r w:rsidR="00500FF0">
        <w:t xml:space="preserve"> se trouvent </w:t>
      </w:r>
      <w:r w:rsidR="008C79C1">
        <w:t xml:space="preserve">des bâtiments </w:t>
      </w:r>
      <w:r w:rsidR="008C79C1">
        <w:rPr>
          <w:rStyle w:val="Marquenotebasdepage"/>
        </w:rPr>
        <w:footnoteReference w:id="26"/>
      </w:r>
      <w:r w:rsidR="00CE2902">
        <w:t>.</w:t>
      </w:r>
    </w:p>
    <w:p w14:paraId="1268C374" w14:textId="77777777" w:rsidR="00BA2E9B" w:rsidRDefault="00BA2E9B" w:rsidP="00BB523B">
      <w:pPr>
        <w:jc w:val="both"/>
      </w:pPr>
    </w:p>
    <w:p w14:paraId="7E9C4FDB" w14:textId="77777777" w:rsidR="006A13DC" w:rsidRDefault="006A13DC" w:rsidP="00BB523B">
      <w:pPr>
        <w:jc w:val="both"/>
        <w:rPr>
          <w:b/>
        </w:rPr>
      </w:pPr>
    </w:p>
    <w:p w14:paraId="389B3EB2" w14:textId="77777777" w:rsidR="001B7D77" w:rsidRPr="001B7D77" w:rsidRDefault="001B7D77" w:rsidP="00BB523B">
      <w:pPr>
        <w:jc w:val="both"/>
        <w:rPr>
          <w:b/>
        </w:rPr>
      </w:pPr>
      <w:r>
        <w:rPr>
          <w:b/>
        </w:rPr>
        <w:t>§ 3. L</w:t>
      </w:r>
      <w:r w:rsidRPr="001B7D77">
        <w:rPr>
          <w:b/>
        </w:rPr>
        <w:t>e projet de réforme</w:t>
      </w:r>
    </w:p>
    <w:p w14:paraId="36C103BD" w14:textId="77777777" w:rsidR="001B7D77" w:rsidRDefault="001B7D77" w:rsidP="00BB523B">
      <w:pPr>
        <w:jc w:val="both"/>
        <w:rPr>
          <w:b/>
        </w:rPr>
      </w:pPr>
    </w:p>
    <w:p w14:paraId="25B931AB" w14:textId="048FF74B" w:rsidR="001B7D77" w:rsidRDefault="00CE2902" w:rsidP="00BB523B">
      <w:pPr>
        <w:jc w:val="both"/>
      </w:pPr>
      <w:r>
        <w:t>Le</w:t>
      </w:r>
      <w:r w:rsidR="00B51BC7" w:rsidRPr="00CE2902">
        <w:t>s</w:t>
      </w:r>
      <w:r>
        <w:t xml:space="preserve"> </w:t>
      </w:r>
      <w:r w:rsidR="00B51BC7" w:rsidRPr="00CE2902">
        <w:t xml:space="preserve">propositions </w:t>
      </w:r>
      <w:r>
        <w:t xml:space="preserve">de </w:t>
      </w:r>
      <w:r w:rsidR="00B055C4">
        <w:t xml:space="preserve">la </w:t>
      </w:r>
      <w:r>
        <w:t>réforme vo</w:t>
      </w:r>
      <w:r w:rsidR="00B51BC7" w:rsidRPr="00CE2902">
        <w:t>n</w:t>
      </w:r>
      <w:r>
        <w:t>t</w:t>
      </w:r>
      <w:r w:rsidR="00B51BC7" w:rsidRPr="00CE2902">
        <w:t xml:space="preserve"> sans conteste dans le sens d’une plus gra</w:t>
      </w:r>
      <w:r w:rsidR="00150138">
        <w:t xml:space="preserve">nde ouverture </w:t>
      </w:r>
      <w:r>
        <w:t xml:space="preserve">en matière de </w:t>
      </w:r>
      <w:r w:rsidR="00150138">
        <w:t xml:space="preserve">constitution </w:t>
      </w:r>
      <w:r w:rsidR="00500FF0">
        <w:t xml:space="preserve">d’un </w:t>
      </w:r>
      <w:r>
        <w:t>dro</w:t>
      </w:r>
      <w:r w:rsidR="00B51BC7" w:rsidRPr="00CE2902">
        <w:t>i</w:t>
      </w:r>
      <w:r>
        <w:t>t</w:t>
      </w:r>
      <w:r w:rsidR="00B51BC7" w:rsidRPr="00CE2902">
        <w:t xml:space="preserve"> de </w:t>
      </w:r>
      <w:r w:rsidR="00500FF0">
        <w:t>superficie, qu’il s’agisse de l’« </w:t>
      </w:r>
      <w:r w:rsidR="00B51BC7" w:rsidRPr="00CE2902">
        <w:t>ob</w:t>
      </w:r>
      <w:r>
        <w:t>jet</w:t>
      </w:r>
      <w:r w:rsidR="00500FF0">
        <w:t> »</w:t>
      </w:r>
      <w:r>
        <w:t xml:space="preserve"> ou du </w:t>
      </w:r>
      <w:r w:rsidR="00500FF0">
        <w:t>« </w:t>
      </w:r>
      <w:r w:rsidR="00851D5D">
        <w:t>constituant</w:t>
      </w:r>
      <w:r w:rsidR="00500FF0">
        <w:t> »</w:t>
      </w:r>
      <w:r>
        <w:t xml:space="preserve"> possibles. </w:t>
      </w:r>
      <w:r w:rsidR="00150138">
        <w:t>Certains y ver</w:t>
      </w:r>
      <w:r w:rsidR="000909E1">
        <w:t>ront la confirmation que le dro</w:t>
      </w:r>
      <w:r w:rsidR="00150138">
        <w:t>i</w:t>
      </w:r>
      <w:r w:rsidR="000909E1">
        <w:t>t actu</w:t>
      </w:r>
      <w:r w:rsidR="00150138">
        <w:t>e</w:t>
      </w:r>
      <w:r w:rsidR="000909E1">
        <w:t>l</w:t>
      </w:r>
      <w:r w:rsidR="00150138">
        <w:t xml:space="preserve"> ne permet pas ces possibilités pourtant </w:t>
      </w:r>
      <w:r w:rsidR="000909E1">
        <w:t>réclamées par la</w:t>
      </w:r>
      <w:r w:rsidR="007C648D">
        <w:t xml:space="preserve"> pratique, d’</w:t>
      </w:r>
      <w:r w:rsidR="00150138">
        <w:t>autres que le projet de loi n’est que la</w:t>
      </w:r>
      <w:r w:rsidR="000909E1">
        <w:t xml:space="preserve"> consécration claire de solutio</w:t>
      </w:r>
      <w:r w:rsidR="00150138">
        <w:t>n</w:t>
      </w:r>
      <w:r w:rsidR="000909E1">
        <w:t>s</w:t>
      </w:r>
      <w:r w:rsidR="00150138">
        <w:t xml:space="preserve"> déjà admises ; peu importe ; l’enjeu n’est pas de savoir qui a raison ou non mais de permettre des utilisations diversifiées et contemporaines de la propriété</w:t>
      </w:r>
      <w:r w:rsidR="00500FF0">
        <w:t xml:space="preserve"> immobilière dans un contexte d’une plus grande </w:t>
      </w:r>
      <w:r w:rsidR="00150138">
        <w:t xml:space="preserve">sécurité juridique. </w:t>
      </w:r>
    </w:p>
    <w:p w14:paraId="2A96AAE1" w14:textId="77777777" w:rsidR="00025748" w:rsidRDefault="00025748" w:rsidP="00BB523B">
      <w:pPr>
        <w:jc w:val="both"/>
      </w:pPr>
    </w:p>
    <w:p w14:paraId="076EDA0B" w14:textId="157F5920" w:rsidR="006A356A" w:rsidRDefault="006A356A" w:rsidP="006A356A">
      <w:pPr>
        <w:jc w:val="both"/>
      </w:pPr>
      <w:r>
        <w:t xml:space="preserve">Là où la loi actuelle vise des « bâtiments, ouvrages ou plantations sur un fonds appartenant à autrui », le droit de superficie « nouvelle mouture » viserait des « bâtiments, ouvrages ou </w:t>
      </w:r>
      <w:r w:rsidR="00851D5D">
        <w:t>plantations</w:t>
      </w:r>
      <w:r>
        <w:t xml:space="preserve">, en tout ou en partie, sur, au-dessus ou en-dessous du fonds d’autrui ». </w:t>
      </w:r>
      <w:r w:rsidRPr="00B055C4">
        <w:rPr>
          <w:i/>
        </w:rPr>
        <w:t>Sur ou au-dessus</w:t>
      </w:r>
      <w:r>
        <w:t xml:space="preserve">, il n’est </w:t>
      </w:r>
      <w:r w:rsidR="005D1124">
        <w:t xml:space="preserve">en effet </w:t>
      </w:r>
      <w:r>
        <w:t>pas nécessaire qu’existe un contact direct avec le sol</w:t>
      </w:r>
      <w:r w:rsidR="007C648D">
        <w:t> </w:t>
      </w:r>
      <w:r>
        <w:t xml:space="preserve">; </w:t>
      </w:r>
      <w:r w:rsidRPr="00B055C4">
        <w:rPr>
          <w:i/>
        </w:rPr>
        <w:t>en-dessous</w:t>
      </w:r>
      <w:r>
        <w:t xml:space="preserve"> aussi désormais, nous en</w:t>
      </w:r>
      <w:r w:rsidR="00847B2D">
        <w:t xml:space="preserve"> </w:t>
      </w:r>
      <w:r>
        <w:t xml:space="preserve">reparlerons </w:t>
      </w:r>
      <w:r>
        <w:rPr>
          <w:rStyle w:val="Marquenotebasdepage"/>
        </w:rPr>
        <w:footnoteReference w:id="27"/>
      </w:r>
      <w:r w:rsidR="00847B2D">
        <w:t xml:space="preserve"> ; </w:t>
      </w:r>
      <w:r w:rsidR="00847B2D" w:rsidRPr="00B055C4">
        <w:rPr>
          <w:i/>
        </w:rPr>
        <w:t>en tout ou en partie</w:t>
      </w:r>
      <w:r w:rsidR="00847B2D">
        <w:t>, autorisant ainsi des divisions plus fines des constructions projetées ou réalisées.</w:t>
      </w:r>
      <w:r w:rsidR="00B055C4">
        <w:t xml:space="preserve"> </w:t>
      </w:r>
      <w:r w:rsidR="00847B2D" w:rsidRPr="00B055C4">
        <w:rPr>
          <w:i/>
        </w:rPr>
        <w:t>Projetées ou réalisées</w:t>
      </w:r>
      <w:r w:rsidR="005D1124">
        <w:t xml:space="preserve">, car </w:t>
      </w:r>
      <w:r w:rsidR="00847B2D">
        <w:t xml:space="preserve">ces modifications </w:t>
      </w:r>
      <w:r w:rsidR="006E1DAC">
        <w:t xml:space="preserve">quant à l’objet </w:t>
      </w:r>
      <w:r w:rsidR="00847B2D">
        <w:t>sont également apportées à l’article 7, ce qui démontre qu’est évidemment maintenue la possib</w:t>
      </w:r>
      <w:r w:rsidR="00BC5571">
        <w:t>i</w:t>
      </w:r>
      <w:r w:rsidR="00847B2D">
        <w:t>lité d’envisager le droit de superfici</w:t>
      </w:r>
      <w:r w:rsidR="005D1124">
        <w:t>e à propos d’un fonds déjà bâti - ou, plus largement, construit -</w:t>
      </w:r>
      <w:r w:rsidR="00847B2D">
        <w:t xml:space="preserve"> ou non ; avec l’importance de distinguer,</w:t>
      </w:r>
      <w:r w:rsidR="00BC5571">
        <w:t xml:space="preserve"> alors, rappelons-le - </w:t>
      </w:r>
      <w:r w:rsidR="00847B2D">
        <w:t>comme sous l’empire de la</w:t>
      </w:r>
      <w:r w:rsidR="00BC5571">
        <w:t xml:space="preserve"> loi ac</w:t>
      </w:r>
      <w:r w:rsidR="00847B2D">
        <w:t>t</w:t>
      </w:r>
      <w:r w:rsidR="00BC5571">
        <w:t>u</w:t>
      </w:r>
      <w:r w:rsidR="00847B2D">
        <w:t>elle</w:t>
      </w:r>
      <w:r w:rsidR="00BC5571">
        <w:t xml:space="preserve"> -</w:t>
      </w:r>
      <w:r w:rsidR="00847B2D">
        <w:t>, dans le cas où les constructions existent déjà lors de la</w:t>
      </w:r>
      <w:r w:rsidR="00BC5571">
        <w:t xml:space="preserve"> constitution du dro</w:t>
      </w:r>
      <w:r w:rsidR="00847B2D">
        <w:t>i</w:t>
      </w:r>
      <w:r w:rsidR="00BC5571">
        <w:t>t</w:t>
      </w:r>
      <w:r w:rsidR="00847B2D">
        <w:t xml:space="preserve"> de superficie</w:t>
      </w:r>
      <w:r w:rsidR="007C648D">
        <w:t>,</w:t>
      </w:r>
      <w:r w:rsidR="00847B2D">
        <w:t xml:space="preserve"> si la valeur en a été payée </w:t>
      </w:r>
      <w:r w:rsidR="006E1DAC">
        <w:t xml:space="preserve">ou non par le superficiaire </w:t>
      </w:r>
      <w:r w:rsidR="006E1DAC">
        <w:rPr>
          <w:rStyle w:val="Marquenotebasdepage"/>
        </w:rPr>
        <w:footnoteReference w:id="28"/>
      </w:r>
      <w:r w:rsidR="00BC5571">
        <w:t>; le projet de</w:t>
      </w:r>
      <w:r w:rsidR="006E1DAC">
        <w:t xml:space="preserve"> loi a, d’ailleurs, à cet égard, </w:t>
      </w:r>
      <w:r w:rsidR="008D44A2">
        <w:t>saisi l’occasion de</w:t>
      </w:r>
      <w:r w:rsidR="006E1DAC">
        <w:t xml:space="preserve"> remplacer le mot </w:t>
      </w:r>
      <w:r w:rsidR="00103673">
        <w:t>« </w:t>
      </w:r>
      <w:r w:rsidR="006E1DAC">
        <w:t>acquéreur</w:t>
      </w:r>
      <w:r w:rsidR="00103673">
        <w:t> »</w:t>
      </w:r>
      <w:r w:rsidR="006E1DAC">
        <w:t>, quelque peu ambi</w:t>
      </w:r>
      <w:r w:rsidR="008D44A2">
        <w:t xml:space="preserve">gu, par celui de </w:t>
      </w:r>
      <w:r w:rsidR="00103673">
        <w:t>« </w:t>
      </w:r>
      <w:r w:rsidR="008D44A2">
        <w:t>superficiaire</w:t>
      </w:r>
      <w:r w:rsidR="00103673">
        <w:t> »</w:t>
      </w:r>
      <w:r w:rsidR="008D44A2">
        <w:t>.</w:t>
      </w:r>
    </w:p>
    <w:p w14:paraId="4F766465" w14:textId="77777777" w:rsidR="008D44A2" w:rsidRDefault="008D44A2" w:rsidP="006A356A">
      <w:pPr>
        <w:jc w:val="both"/>
      </w:pPr>
    </w:p>
    <w:p w14:paraId="4BD82EBD" w14:textId="64079B6D" w:rsidR="008D44A2" w:rsidRPr="00CE2902" w:rsidRDefault="008D44A2" w:rsidP="006A356A">
      <w:pPr>
        <w:jc w:val="both"/>
      </w:pPr>
      <w:r>
        <w:t>Quant à la pe</w:t>
      </w:r>
      <w:r w:rsidR="0046669A">
        <w:t>r</w:t>
      </w:r>
      <w:r>
        <w:t>sonne</w:t>
      </w:r>
      <w:r w:rsidR="00BC6C31">
        <w:t xml:space="preserve"> qui peut constituer un dro</w:t>
      </w:r>
      <w:r>
        <w:t>i</w:t>
      </w:r>
      <w:r w:rsidR="00BC6C31">
        <w:t>t</w:t>
      </w:r>
      <w:r>
        <w:t xml:space="preserve"> de superficie </w:t>
      </w:r>
      <w:r w:rsidR="00851D5D">
        <w:t>ainsi</w:t>
      </w:r>
      <w:r>
        <w:t xml:space="preserve"> l</w:t>
      </w:r>
      <w:r w:rsidR="0046669A">
        <w:t>argement réinventé, là aussi le</w:t>
      </w:r>
      <w:r>
        <w:t>s</w:t>
      </w:r>
      <w:r w:rsidR="0046669A">
        <w:t xml:space="preserve"> </w:t>
      </w:r>
      <w:r>
        <w:t xml:space="preserve">perspectives deviennent multiples puisque </w:t>
      </w:r>
      <w:r w:rsidR="0046669A">
        <w:t>« </w:t>
      </w:r>
      <w:r>
        <w:t>le propriétaire du fonds</w:t>
      </w:r>
      <w:r w:rsidR="0046669A">
        <w:t> »</w:t>
      </w:r>
      <w:r>
        <w:t xml:space="preserve"> cède la place au </w:t>
      </w:r>
      <w:r w:rsidR="0046669A">
        <w:t>« titulaire d’un droit réel immobilier », l’exposé de</w:t>
      </w:r>
      <w:r>
        <w:t>s</w:t>
      </w:r>
      <w:r w:rsidR="0046669A">
        <w:t xml:space="preserve"> </w:t>
      </w:r>
      <w:r>
        <w:t xml:space="preserve">motifs citant à cet égard </w:t>
      </w:r>
      <w:r w:rsidR="0046669A">
        <w:t xml:space="preserve">l’emphytéote, le superficiaire ou l’usufruitier. </w:t>
      </w:r>
      <w:r w:rsidR="00BC3FDB">
        <w:t>Il a été longuement insisté toutefois</w:t>
      </w:r>
      <w:r w:rsidR="00103673">
        <w:t>,</w:t>
      </w:r>
      <w:r w:rsidR="00BC3FDB">
        <w:t xml:space="preserve"> dans les travaux préparatoires</w:t>
      </w:r>
      <w:r w:rsidR="00103673">
        <w:t>,</w:t>
      </w:r>
      <w:r w:rsidR="00BC3FDB">
        <w:t xml:space="preserve"> sur ce que les dro</w:t>
      </w:r>
      <w:r w:rsidR="00BC6C31">
        <w:t>i</w:t>
      </w:r>
      <w:r w:rsidR="00BC3FDB">
        <w:t>t</w:t>
      </w:r>
      <w:r w:rsidR="00BC6C31">
        <w:t>s accordés au superficia</w:t>
      </w:r>
      <w:r w:rsidR="00BC3FDB">
        <w:t xml:space="preserve">ire ne peuvent </w:t>
      </w:r>
      <w:r w:rsidR="00BC6C31">
        <w:t>p</w:t>
      </w:r>
      <w:r w:rsidR="00BC3FDB">
        <w:t>as être pl</w:t>
      </w:r>
      <w:r w:rsidR="00BC6C31">
        <w:t>u</w:t>
      </w:r>
      <w:r w:rsidR="00BC3FDB">
        <w:t>s étendus que ceux de celui qui le co</w:t>
      </w:r>
      <w:r w:rsidR="00BC6C31">
        <w:t>n</w:t>
      </w:r>
      <w:r w:rsidR="00BC3FDB">
        <w:t>stitue et que, partant, et sauf accord du propriétaire du fonds, la durée du droit de superficie accordé ne peut en principe excéder celle du droit du constituant.</w:t>
      </w:r>
      <w:r w:rsidR="00BC6C31">
        <w:t xml:space="preserve"> L</w:t>
      </w:r>
      <w:r w:rsidR="00BC3FDB">
        <w:t>’on sait que le dro</w:t>
      </w:r>
      <w:r w:rsidR="00BC6C31">
        <w:t>i</w:t>
      </w:r>
      <w:r w:rsidR="00BC3FDB">
        <w:t>t de co</w:t>
      </w:r>
      <w:r w:rsidR="00BC6C31">
        <w:t>n</w:t>
      </w:r>
      <w:r w:rsidR="00BC3FDB">
        <w:t>struire de l’usufruitier n’es</w:t>
      </w:r>
      <w:r w:rsidR="00BC6C31">
        <w:t>t</w:t>
      </w:r>
      <w:r w:rsidR="00BC3FDB">
        <w:t xml:space="preserve"> </w:t>
      </w:r>
      <w:r w:rsidR="00A97E74">
        <w:t>pas celui de l’emphytéote</w:t>
      </w:r>
      <w:r w:rsidR="00BC6C31">
        <w:t xml:space="preserve"> qui lui-mê</w:t>
      </w:r>
      <w:r w:rsidR="00BC3FDB">
        <w:t>me n’est pas celui du superficiair</w:t>
      </w:r>
      <w:r w:rsidR="00BC6C31">
        <w:t xml:space="preserve">e </w:t>
      </w:r>
      <w:r w:rsidR="00BC3FDB">
        <w:t xml:space="preserve">et que les durées maximales légales </w:t>
      </w:r>
      <w:r w:rsidR="005D1124">
        <w:t xml:space="preserve">d’existence de ces droits </w:t>
      </w:r>
      <w:r w:rsidR="00BC3FDB">
        <w:t xml:space="preserve">varient également : </w:t>
      </w:r>
      <w:r w:rsidR="005D1124">
        <w:t>la vie pour l’usufruitier, 99 ans pour l’emphytéote, 50 ans pour le superficiaire</w:t>
      </w:r>
      <w:r w:rsidR="00BC3FDB">
        <w:t xml:space="preserve">. </w:t>
      </w:r>
      <w:r w:rsidR="00A97E74">
        <w:t xml:space="preserve">Envisageant des cas possibles de cession de ses droits par le constituant mais aussi l’extinction des droits </w:t>
      </w:r>
      <w:r w:rsidR="005D1124">
        <w:t xml:space="preserve">de </w:t>
      </w:r>
      <w:r w:rsidR="00A97E74">
        <w:t>ce dernier, qu’elle soit simultanée ou</w:t>
      </w:r>
      <w:r w:rsidR="00BF3C3E">
        <w:t xml:space="preserve">, le cas échéant </w:t>
      </w:r>
      <w:r w:rsidR="00BF3C3E">
        <w:rPr>
          <w:rStyle w:val="Marquenotebasdepage"/>
        </w:rPr>
        <w:footnoteReference w:id="29"/>
      </w:r>
      <w:r w:rsidR="00BF3C3E">
        <w:t>,</w:t>
      </w:r>
      <w:r w:rsidR="00A97E74">
        <w:t xml:space="preserve"> antérieure à l’extinction du droit de superficie constitué dans un second temps, il a paru prudent de prévoir</w:t>
      </w:r>
      <w:r w:rsidR="00103673">
        <w:t>,</w:t>
      </w:r>
      <w:r w:rsidR="00A97E74">
        <w:t xml:space="preserve"> pour chaque article </w:t>
      </w:r>
      <w:r w:rsidR="005D1124">
        <w:t>du projet</w:t>
      </w:r>
      <w:r w:rsidR="00103673">
        <w:t>,</w:t>
      </w:r>
      <w:r w:rsidR="005D1124">
        <w:t xml:space="preserve"> </w:t>
      </w:r>
      <w:r w:rsidR="00A97E74">
        <w:t xml:space="preserve">que le propriétaire du fonds visé dans la loi actuelle soit certes remplacé par le constituant du droit de superficie mais aussi </w:t>
      </w:r>
      <w:r w:rsidR="005D1124">
        <w:t>par l’ayant droit de celui-</w:t>
      </w:r>
      <w:r w:rsidR="00A97E74">
        <w:t xml:space="preserve">ci </w:t>
      </w:r>
      <w:r w:rsidR="005D1124">
        <w:t xml:space="preserve">(expression entendue </w:t>
      </w:r>
      <w:r w:rsidR="00A97E74">
        <w:t>dans son sens le plus large</w:t>
      </w:r>
      <w:r w:rsidR="005D1124">
        <w:t>)</w:t>
      </w:r>
      <w:r w:rsidR="00A97E74">
        <w:t>.</w:t>
      </w:r>
    </w:p>
    <w:p w14:paraId="26949ECD" w14:textId="77777777" w:rsidR="00CE2902" w:rsidRDefault="00CE2902" w:rsidP="00BB523B">
      <w:pPr>
        <w:jc w:val="both"/>
        <w:rPr>
          <w:b/>
        </w:rPr>
      </w:pPr>
    </w:p>
    <w:p w14:paraId="2E9CEC53" w14:textId="77777777" w:rsidR="00CE2902" w:rsidRDefault="00CE2902" w:rsidP="00BB523B">
      <w:pPr>
        <w:jc w:val="both"/>
        <w:rPr>
          <w:b/>
        </w:rPr>
      </w:pPr>
    </w:p>
    <w:p w14:paraId="4CB335F3" w14:textId="77777777" w:rsidR="008B5A91" w:rsidRPr="001B7D77" w:rsidRDefault="001B7D77" w:rsidP="00BB523B">
      <w:pPr>
        <w:jc w:val="both"/>
        <w:rPr>
          <w:b/>
        </w:rPr>
      </w:pPr>
      <w:r>
        <w:rPr>
          <w:b/>
        </w:rPr>
        <w:t>§ 4</w:t>
      </w:r>
      <w:r w:rsidRPr="001B7D77">
        <w:rPr>
          <w:b/>
        </w:rPr>
        <w:t>. L</w:t>
      </w:r>
      <w:r w:rsidR="008B5A91" w:rsidRPr="001B7D77">
        <w:rPr>
          <w:b/>
        </w:rPr>
        <w:t xml:space="preserve">es </w:t>
      </w:r>
      <w:r w:rsidRPr="001B7D77">
        <w:rPr>
          <w:b/>
        </w:rPr>
        <w:t xml:space="preserve">possibles </w:t>
      </w:r>
      <w:r w:rsidR="008B5A91" w:rsidRPr="001B7D77">
        <w:rPr>
          <w:b/>
        </w:rPr>
        <w:t>dommages collatéraux</w:t>
      </w:r>
      <w:r w:rsidRPr="001B7D77">
        <w:rPr>
          <w:b/>
        </w:rPr>
        <w:t> : l’exemple des volumes</w:t>
      </w:r>
    </w:p>
    <w:p w14:paraId="12299A66" w14:textId="77777777" w:rsidR="008B5A91" w:rsidRDefault="008B5A91" w:rsidP="00BB523B">
      <w:pPr>
        <w:jc w:val="both"/>
      </w:pPr>
    </w:p>
    <w:p w14:paraId="6114FCD7" w14:textId="4EC6E930" w:rsidR="008B5A91" w:rsidRDefault="008B5A91" w:rsidP="00BB523B">
      <w:pPr>
        <w:jc w:val="both"/>
      </w:pPr>
      <w:r>
        <w:t>Si le proje</w:t>
      </w:r>
      <w:r w:rsidR="00084BCE">
        <w:t>t</w:t>
      </w:r>
      <w:r w:rsidR="00103673">
        <w:t xml:space="preserve"> entend, </w:t>
      </w:r>
      <w:r w:rsidR="00A97E74">
        <w:t>sans auc</w:t>
      </w:r>
      <w:r w:rsidR="00D238A8">
        <w:t>un doute</w:t>
      </w:r>
      <w:r w:rsidR="00103673">
        <w:t>,</w:t>
      </w:r>
      <w:r w:rsidR="00D238A8">
        <w:t xml:space="preserve"> permettre plus largeme</w:t>
      </w:r>
      <w:r w:rsidR="00A97E74">
        <w:t>n</w:t>
      </w:r>
      <w:r w:rsidR="00D238A8">
        <w:t>t</w:t>
      </w:r>
      <w:r w:rsidR="00A97E74">
        <w:t xml:space="preserve"> les dissociations de </w:t>
      </w:r>
      <w:r w:rsidR="00460B68">
        <w:t>la propriété immobilière via la co</w:t>
      </w:r>
      <w:r w:rsidR="00A97E74">
        <w:t>n</w:t>
      </w:r>
      <w:r w:rsidR="00460B68">
        <w:t>s</w:t>
      </w:r>
      <w:r w:rsidR="00A97E74">
        <w:t xml:space="preserve">titution d’un droit de superficie </w:t>
      </w:r>
      <w:r w:rsidR="00460B68">
        <w:t xml:space="preserve">et </w:t>
      </w:r>
      <w:r w:rsidR="00A97E74">
        <w:t xml:space="preserve">résoudre </w:t>
      </w:r>
      <w:r w:rsidR="00460B68">
        <w:t xml:space="preserve">ainsi </w:t>
      </w:r>
      <w:r w:rsidR="00A97E74">
        <w:t>certaine</w:t>
      </w:r>
      <w:r>
        <w:t>s</w:t>
      </w:r>
      <w:r w:rsidR="00A97E74">
        <w:t xml:space="preserve"> </w:t>
      </w:r>
      <w:r w:rsidR="00460B68">
        <w:t>controverses, il risque to</w:t>
      </w:r>
      <w:r>
        <w:t>u</w:t>
      </w:r>
      <w:r w:rsidR="00460B68">
        <w:t>tefo</w:t>
      </w:r>
      <w:r>
        <w:t>i</w:t>
      </w:r>
      <w:r w:rsidR="00460B68">
        <w:t>s</w:t>
      </w:r>
      <w:r>
        <w:t xml:space="preserve"> </w:t>
      </w:r>
      <w:r w:rsidR="00794886">
        <w:t>de susciter de no</w:t>
      </w:r>
      <w:r w:rsidR="00460B68">
        <w:t>u</w:t>
      </w:r>
      <w:r w:rsidR="00794886">
        <w:t>v</w:t>
      </w:r>
      <w:r w:rsidR="00460B68">
        <w:t>elles questions, faute d’une approche globale.</w:t>
      </w:r>
    </w:p>
    <w:p w14:paraId="7D34B060" w14:textId="77777777" w:rsidR="008B5A91" w:rsidRDefault="008B5A91" w:rsidP="00BB523B">
      <w:pPr>
        <w:jc w:val="both"/>
      </w:pPr>
    </w:p>
    <w:p w14:paraId="4F865417" w14:textId="6BE261BF" w:rsidR="00794886" w:rsidRDefault="00460B68" w:rsidP="00BB523B">
      <w:pPr>
        <w:jc w:val="both"/>
      </w:pPr>
      <w:r>
        <w:t xml:space="preserve">Sans pouvoir les citer, ni même les imaginer, toutes, </w:t>
      </w:r>
      <w:r w:rsidR="00794886">
        <w:t xml:space="preserve">l’on peut à tout le moins songer </w:t>
      </w:r>
      <w:r w:rsidR="00D238A8">
        <w:t xml:space="preserve">à </w:t>
      </w:r>
      <w:r w:rsidR="00794886">
        <w:t xml:space="preserve">la </w:t>
      </w:r>
      <w:r w:rsidR="00851D5D">
        <w:t>problématique</w:t>
      </w:r>
      <w:r w:rsidR="00794886">
        <w:t xml:space="preserve"> </w:t>
      </w:r>
      <w:r w:rsidR="00851D5D">
        <w:t>toute</w:t>
      </w:r>
      <w:r w:rsidR="002F7A14">
        <w:t xml:space="preserve"> contemporaine des volumes.</w:t>
      </w:r>
    </w:p>
    <w:p w14:paraId="03479316" w14:textId="77777777" w:rsidR="002F7A14" w:rsidRDefault="002F7A14" w:rsidP="00BB523B">
      <w:pPr>
        <w:jc w:val="both"/>
      </w:pPr>
    </w:p>
    <w:p w14:paraId="55DCC5B0" w14:textId="559A7454" w:rsidR="001376F8" w:rsidRDefault="002F7A14" w:rsidP="001376F8">
      <w:pPr>
        <w:widowControl w:val="0"/>
        <w:autoSpaceDE w:val="0"/>
        <w:autoSpaceDN w:val="0"/>
        <w:adjustRightInd w:val="0"/>
        <w:spacing w:after="240"/>
        <w:jc w:val="both"/>
        <w:rPr>
          <w:rFonts w:cs="Times New Roman"/>
        </w:rPr>
      </w:pPr>
      <w:r>
        <w:t>Brièvement on rappellera en effet que durant le vingtième siècle sont apparus d’impérieux besoins de</w:t>
      </w:r>
      <w:r w:rsidRPr="00250F50">
        <w:t xml:space="preserve"> dissociation </w:t>
      </w:r>
      <w:r w:rsidR="000B343E">
        <w:t xml:space="preserve">de </w:t>
      </w:r>
      <w:r>
        <w:t xml:space="preserve">la propriété immobilière </w:t>
      </w:r>
      <w:r w:rsidR="001376F8">
        <w:t xml:space="preserve">résultant, d’une part, </w:t>
      </w:r>
      <w:r w:rsidRPr="00250F50">
        <w:t>des limites naturelles de l’espace face à une population</w:t>
      </w:r>
      <w:r>
        <w:t xml:space="preserve"> sans cesse croissante et</w:t>
      </w:r>
      <w:r w:rsidR="001376F8">
        <w:t xml:space="preserve">, d’autre part, de </w:t>
      </w:r>
      <w:r w:rsidRPr="00250F50">
        <w:t>l’urbanis</w:t>
      </w:r>
      <w:r w:rsidR="001376F8">
        <w:t>ation accélérée de nos sociétés. Peu à peu, en France, la doctrine a suggéré de tirer le plus large parti de la finale de l’article 553 du Code civil qui prévoit la possibilité qu’un tiers acquiert ou ait acquis la propriété soit d’un souterrain sous le bâtiment d’autrui soit de toute autre partie du bâtiment d’autrui. On a donc permis non seulement de</w:t>
      </w:r>
      <w:r w:rsidR="00BA5F15">
        <w:t xml:space="preserve"> diviser la propriété immobiliè</w:t>
      </w:r>
      <w:r w:rsidR="001376F8">
        <w:t xml:space="preserve">re en une multitude de volumes bâtis appartenant en propriété (perpétuelle) à des propriétaires </w:t>
      </w:r>
      <w:r w:rsidR="00391018">
        <w:t>différents mais, avant même toute co</w:t>
      </w:r>
      <w:r w:rsidR="001376F8">
        <w:t>n</w:t>
      </w:r>
      <w:r w:rsidR="00391018">
        <w:t>s</w:t>
      </w:r>
      <w:r w:rsidR="001376F8">
        <w:t>truction, d’opérer une</w:t>
      </w:r>
      <w:r w:rsidR="001376F8" w:rsidRPr="00250F50">
        <w:t xml:space="preserve"> division volumétrique où le droit de propriété s’exerce non sur le sol mais sur un volume défini au moyen de cotes planimétriques et altimétriques. </w:t>
      </w:r>
      <w:r w:rsidR="001376F8">
        <w:t xml:space="preserve">Pour reprendre les termes d’un éminent spécialiste français du droit des biens, le professeur H. PERINET-MARQUET </w:t>
      </w:r>
      <w:r w:rsidR="001376F8">
        <w:rPr>
          <w:rStyle w:val="Marquenotebasdepage"/>
        </w:rPr>
        <w:footnoteReference w:id="30"/>
      </w:r>
      <w:r w:rsidR="001376F8">
        <w:t xml:space="preserve">, </w:t>
      </w:r>
      <w:r w:rsidR="001376F8">
        <w:rPr>
          <w:rFonts w:cs="Times New Roman"/>
        </w:rPr>
        <w:t>l</w:t>
      </w:r>
      <w:r w:rsidR="001376F8" w:rsidRPr="00260250">
        <w:rPr>
          <w:rFonts w:cs="Times New Roman"/>
        </w:rPr>
        <w:t xml:space="preserve">es volumes ainsi créés sont des espaces géométriques à trois dimensions, géographiquement situés dans un lieu précis. Ils sont donc, comme les fonds de terre, uniques. </w:t>
      </w:r>
      <w:r w:rsidR="00391018">
        <w:rPr>
          <w:rFonts w:cs="Times New Roman"/>
        </w:rPr>
        <w:t xml:space="preserve">Ce sont certes des cubes d’air ; </w:t>
      </w:r>
      <w:r w:rsidR="001376F8" w:rsidRPr="00260250">
        <w:rPr>
          <w:rFonts w:cs="Times New Roman"/>
        </w:rPr>
        <w:t xml:space="preserve">ce n’est </w:t>
      </w:r>
      <w:r w:rsidR="00391018">
        <w:rPr>
          <w:rFonts w:cs="Times New Roman"/>
        </w:rPr>
        <w:t xml:space="preserve">toutefois </w:t>
      </w:r>
      <w:r w:rsidR="001376F8" w:rsidRPr="00260250">
        <w:rPr>
          <w:rFonts w:cs="Times New Roman"/>
        </w:rPr>
        <w:t xml:space="preserve">pas leur contenant qui est important mais </w:t>
      </w:r>
      <w:r w:rsidR="001376F8">
        <w:rPr>
          <w:rFonts w:cs="Times New Roman"/>
        </w:rPr>
        <w:t xml:space="preserve">bien </w:t>
      </w:r>
      <w:r w:rsidR="001376F8" w:rsidRPr="00260250">
        <w:rPr>
          <w:rFonts w:cs="Times New Roman"/>
        </w:rPr>
        <w:t>l’espace qu’ils délimitent et dans lequel pourront être réalisées diverses constructions.</w:t>
      </w:r>
      <w:r w:rsidR="001376F8">
        <w:rPr>
          <w:rFonts w:cs="Times New Roman"/>
        </w:rPr>
        <w:t xml:space="preserve"> Le volume</w:t>
      </w:r>
      <w:r w:rsidR="00391018">
        <w:rPr>
          <w:rFonts w:cs="Times New Roman"/>
        </w:rPr>
        <w:t>, certes incorporel tant qu’il n’est pas construit,</w:t>
      </w:r>
      <w:r w:rsidR="001376F8">
        <w:rPr>
          <w:rFonts w:cs="Times New Roman"/>
        </w:rPr>
        <w:t xml:space="preserve"> est d’ailleurs aujourd’hui cité dans le projet de réforme </w:t>
      </w:r>
      <w:r w:rsidR="00C7183D">
        <w:rPr>
          <w:rFonts w:cs="Times New Roman"/>
        </w:rPr>
        <w:t xml:space="preserve">français </w:t>
      </w:r>
      <w:r w:rsidR="001376F8">
        <w:rPr>
          <w:rFonts w:cs="Times New Roman"/>
        </w:rPr>
        <w:t>du Livre II du Code civil parmi les immeubles par nature</w:t>
      </w:r>
      <w:r w:rsidR="00C7183D">
        <w:rPr>
          <w:rFonts w:cs="Times New Roman"/>
        </w:rPr>
        <w:t>,</w:t>
      </w:r>
      <w:r w:rsidR="001376F8">
        <w:rPr>
          <w:rFonts w:cs="Times New Roman"/>
        </w:rPr>
        <w:t xml:space="preserve"> </w:t>
      </w:r>
      <w:r w:rsidR="00C7183D">
        <w:rPr>
          <w:rFonts w:cs="Times New Roman"/>
        </w:rPr>
        <w:t>à savoir</w:t>
      </w:r>
      <w:r w:rsidR="001376F8">
        <w:rPr>
          <w:rFonts w:cs="Times New Roman"/>
        </w:rPr>
        <w:t xml:space="preserve"> les </w:t>
      </w:r>
      <w:r w:rsidR="00391018">
        <w:rPr>
          <w:rFonts w:cs="Times New Roman"/>
        </w:rPr>
        <w:t xml:space="preserve">parties déterminées de l’espace terrestre </w:t>
      </w:r>
      <w:r w:rsidR="00391018">
        <w:rPr>
          <w:rStyle w:val="Marquenotebasdepage"/>
          <w:rFonts w:cs="Times New Roman"/>
        </w:rPr>
        <w:footnoteReference w:id="31"/>
      </w:r>
      <w:r w:rsidR="00391018">
        <w:rPr>
          <w:rFonts w:cs="Times New Roman"/>
        </w:rPr>
        <w:t xml:space="preserve"> . </w:t>
      </w:r>
    </w:p>
    <w:p w14:paraId="241CFBD4" w14:textId="77777777" w:rsidR="00794886" w:rsidRDefault="00794886" w:rsidP="00BB523B">
      <w:pPr>
        <w:jc w:val="both"/>
      </w:pPr>
    </w:p>
    <w:p w14:paraId="2820A9B5" w14:textId="67A71E76" w:rsidR="0037162F" w:rsidRDefault="00391018" w:rsidP="00794886">
      <w:pPr>
        <w:jc w:val="both"/>
      </w:pPr>
      <w:r>
        <w:t>En Belgique, o</w:t>
      </w:r>
      <w:r w:rsidR="00794886">
        <w:t>n le sait, les avis sont partagés sur la question si, en l’état actuel des textes, il y a</w:t>
      </w:r>
      <w:r w:rsidR="00DE46E0">
        <w:t xml:space="preserve"> place </w:t>
      </w:r>
      <w:r w:rsidR="00794886">
        <w:t>pour la propriété des volumes, dans le</w:t>
      </w:r>
      <w:r w:rsidR="0037162F">
        <w:t xml:space="preserve"> sens de véritable droit d</w:t>
      </w:r>
      <w:r w:rsidR="00794886">
        <w:t>e propr</w:t>
      </w:r>
      <w:r w:rsidR="0037162F">
        <w:t>iété perpétuel en princi</w:t>
      </w:r>
      <w:r w:rsidR="00794886">
        <w:t>pe</w:t>
      </w:r>
      <w:r w:rsidR="0037162F">
        <w:t>,</w:t>
      </w:r>
      <w:r w:rsidR="00794886">
        <w:t xml:space="preserve"> ou si </w:t>
      </w:r>
      <w:r w:rsidR="007C648D">
        <w:t xml:space="preserve">toute dissociation du sol et du sur-sol </w:t>
      </w:r>
      <w:r w:rsidR="0037162F">
        <w:t xml:space="preserve">relève </w:t>
      </w:r>
      <w:r w:rsidR="00DE46E0">
        <w:t xml:space="preserve">de la loi sur la superficie, </w:t>
      </w:r>
      <w:r w:rsidR="0037162F">
        <w:t>avec son maximum légal de 50 ans</w:t>
      </w:r>
      <w:r w:rsidR="007C648D">
        <w:t xml:space="preserve"> </w:t>
      </w:r>
      <w:r w:rsidR="00F56626">
        <w:rPr>
          <w:rStyle w:val="Marquenotebasdepage"/>
        </w:rPr>
        <w:footnoteReference w:id="32"/>
      </w:r>
      <w:r w:rsidR="00DE46E0">
        <w:t>?</w:t>
      </w:r>
      <w:r w:rsidR="0037162F">
        <w:t xml:space="preserve"> </w:t>
      </w:r>
    </w:p>
    <w:p w14:paraId="5520CF5E" w14:textId="77777777" w:rsidR="00F56626" w:rsidRDefault="00F56626" w:rsidP="00794886">
      <w:pPr>
        <w:jc w:val="both"/>
      </w:pPr>
    </w:p>
    <w:p w14:paraId="20C3F11D" w14:textId="16A67F56" w:rsidR="004013A0" w:rsidRDefault="00F56626" w:rsidP="00794886">
      <w:pPr>
        <w:jc w:val="both"/>
      </w:pPr>
      <w:r>
        <w:t xml:space="preserve">Le texte </w:t>
      </w:r>
      <w:r w:rsidR="007C648D">
        <w:t xml:space="preserve">de l’article 553 du Code civil </w:t>
      </w:r>
      <w:r>
        <w:t>est le même dans les deux pays certes, mais en Belgique, le législateur a fait sienne</w:t>
      </w:r>
      <w:r w:rsidR="00EC7965">
        <w:t>,</w:t>
      </w:r>
      <w:r>
        <w:t xml:space="preserve"> dès le départ, aux côtés du Code civil, la loi sur la superficie du 10 janvier 1824 d’origine néerlandaise et toujours en vigueur en droit belge ; il a donc décidé que la division horizontale de la propriété ne pouvait avoir lieu que de façon temporaire, pour un maximum impératif, voire d’ordre public, de 50 ans, comme l’énonce l’article 4 de la loi de 1824. Certains en déduisent que toute division horizontale de la prop</w:t>
      </w:r>
      <w:r w:rsidR="003153C4">
        <w:t>r</w:t>
      </w:r>
      <w:r>
        <w:t xml:space="preserve">iété </w:t>
      </w:r>
      <w:r w:rsidR="00851D5D">
        <w:t>immobilière</w:t>
      </w:r>
      <w:r w:rsidR="00EC7965">
        <w:t xml:space="preserve"> ne peut durer que 50 ans et d’autres, à l’autre extrême, </w:t>
      </w:r>
      <w:r w:rsidR="00391018">
        <w:t xml:space="preserve">considèrent </w:t>
      </w:r>
      <w:r>
        <w:t>que la loi sur la superficie ne vise pas les volumes et que ceux ci son</w:t>
      </w:r>
      <w:r w:rsidR="005165C9">
        <w:t>t donc permis. Personnellement,</w:t>
      </w:r>
      <w:r>
        <w:t xml:space="preserve"> </w:t>
      </w:r>
      <w:r w:rsidR="003153C4">
        <w:t xml:space="preserve">nous avons </w:t>
      </w:r>
      <w:r w:rsidR="00826FA8">
        <w:t>tenté de tracer le départ entre le champs d’application de la finale de l’article 553 et celui</w:t>
      </w:r>
      <w:r w:rsidR="002032DC">
        <w:t xml:space="preserve"> d</w:t>
      </w:r>
      <w:r w:rsidR="00826FA8">
        <w:t>e l’article 1</w:t>
      </w:r>
      <w:r w:rsidR="00826FA8" w:rsidRPr="00826FA8">
        <w:rPr>
          <w:vertAlign w:val="superscript"/>
        </w:rPr>
        <w:t>er</w:t>
      </w:r>
      <w:r w:rsidR="00826FA8">
        <w:t xml:space="preserve"> de la loi sur la superficie</w:t>
      </w:r>
      <w:r w:rsidR="00391018">
        <w:t>. L</w:t>
      </w:r>
      <w:r w:rsidR="005165C9">
        <w:t xml:space="preserve">’acquisition par </w:t>
      </w:r>
      <w:r w:rsidR="007C648D">
        <w:t>p</w:t>
      </w:r>
      <w:r w:rsidR="005165C9">
        <w:t>r</w:t>
      </w:r>
      <w:r w:rsidR="007C648D">
        <w:t>escription visée da</w:t>
      </w:r>
      <w:r w:rsidR="005165C9">
        <w:t xml:space="preserve">ns cet article </w:t>
      </w:r>
      <w:r w:rsidR="00EC7965">
        <w:t xml:space="preserve">553 </w:t>
      </w:r>
      <w:r w:rsidR="005165C9">
        <w:t>e</w:t>
      </w:r>
      <w:r w:rsidR="007C648D">
        <w:t>t</w:t>
      </w:r>
      <w:r w:rsidR="005165C9">
        <w:t xml:space="preserve"> </w:t>
      </w:r>
      <w:r w:rsidR="007C648D">
        <w:t>le co</w:t>
      </w:r>
      <w:r w:rsidR="005165C9">
        <w:t>n</w:t>
      </w:r>
      <w:r w:rsidR="007C648D">
        <w:t xml:space="preserve">texte dans lequel il </w:t>
      </w:r>
      <w:r w:rsidR="00EC7965">
        <w:t>fût</w:t>
      </w:r>
      <w:r w:rsidR="007C648D">
        <w:t xml:space="preserve"> adopté </w:t>
      </w:r>
      <w:r w:rsidR="005165C9">
        <w:t>(la vis</w:t>
      </w:r>
      <w:r w:rsidR="00BF3C3E">
        <w:t>i</w:t>
      </w:r>
      <w:r w:rsidR="005165C9">
        <w:t xml:space="preserve">on </w:t>
      </w:r>
      <w:r w:rsidR="00391018">
        <w:t>unitaire et absolue de la propr</w:t>
      </w:r>
      <w:r w:rsidR="005165C9">
        <w:t>i</w:t>
      </w:r>
      <w:r w:rsidR="00391018">
        <w:t>é</w:t>
      </w:r>
      <w:r w:rsidR="005165C9">
        <w:t xml:space="preserve">té immobilière) nous </w:t>
      </w:r>
      <w:r w:rsidR="00391018">
        <w:t xml:space="preserve">incitent </w:t>
      </w:r>
      <w:r w:rsidR="005165C9">
        <w:t xml:space="preserve">à considérer </w:t>
      </w:r>
      <w:r w:rsidR="00391018">
        <w:t xml:space="preserve">– tant qu’il n’y aura pas de réforme législative sur ce point - </w:t>
      </w:r>
      <w:r w:rsidR="005165C9">
        <w:t xml:space="preserve">cette finale </w:t>
      </w:r>
      <w:r w:rsidR="000B343E">
        <w:t xml:space="preserve">de l’article 553 </w:t>
      </w:r>
      <w:r w:rsidR="005165C9">
        <w:t>co</w:t>
      </w:r>
      <w:r w:rsidR="00EC7965">
        <w:t xml:space="preserve">mme une exception et à limiter, par conséquent, </w:t>
      </w:r>
      <w:r w:rsidR="00826FA8">
        <w:t>la div</w:t>
      </w:r>
      <w:r w:rsidR="002032DC">
        <w:t>i</w:t>
      </w:r>
      <w:r w:rsidR="00826FA8">
        <w:t xml:space="preserve">sion en volumes perpétuels </w:t>
      </w:r>
      <w:r w:rsidR="00391018">
        <w:t xml:space="preserve">sur cette base </w:t>
      </w:r>
      <w:r w:rsidR="00826FA8">
        <w:t>à des cas d’imbrications entre propriétés vo</w:t>
      </w:r>
      <w:r w:rsidR="005F1CC1">
        <w:t>i</w:t>
      </w:r>
      <w:r w:rsidR="00826FA8">
        <w:t>sines</w:t>
      </w:r>
      <w:r w:rsidR="005165C9">
        <w:t>, toute autre dissociation ayant manife</w:t>
      </w:r>
      <w:r w:rsidR="00BF3C3E">
        <w:t>stement été voulue par le légis</w:t>
      </w:r>
      <w:r w:rsidR="005165C9">
        <w:t>l</w:t>
      </w:r>
      <w:r w:rsidR="00BF3C3E">
        <w:t>a</w:t>
      </w:r>
      <w:r w:rsidR="005165C9">
        <w:t>teur de 1824</w:t>
      </w:r>
      <w:r w:rsidR="00391018">
        <w:t xml:space="preserve"> (et ensuite le législateur belge de 1830)</w:t>
      </w:r>
      <w:r w:rsidR="005165C9">
        <w:t xml:space="preserve"> comme temporaire </w:t>
      </w:r>
      <w:r w:rsidR="00826FA8">
        <w:rPr>
          <w:rStyle w:val="Marquenotebasdepage"/>
        </w:rPr>
        <w:footnoteReference w:id="33"/>
      </w:r>
      <w:r w:rsidR="004013A0">
        <w:t>.</w:t>
      </w:r>
    </w:p>
    <w:p w14:paraId="2BF0E110" w14:textId="77777777" w:rsidR="004013A0" w:rsidRDefault="004013A0" w:rsidP="00794886">
      <w:pPr>
        <w:jc w:val="both"/>
      </w:pPr>
    </w:p>
    <w:p w14:paraId="09CFABF8" w14:textId="5B8B7C1E" w:rsidR="004013A0" w:rsidRDefault="00391018" w:rsidP="00794886">
      <w:pPr>
        <w:jc w:val="both"/>
      </w:pPr>
      <w:r>
        <w:t>Tou</w:t>
      </w:r>
      <w:r w:rsidR="00C7183D">
        <w:t>tefois, puisque nous considérons</w:t>
      </w:r>
      <w:r>
        <w:t xml:space="preserve">, </w:t>
      </w:r>
      <w:r w:rsidR="00826FA8">
        <w:t xml:space="preserve">comme évoqué ci-dessus, </w:t>
      </w:r>
      <w:r>
        <w:t xml:space="preserve">que </w:t>
      </w:r>
      <w:r w:rsidR="00826FA8">
        <w:t xml:space="preserve">le </w:t>
      </w:r>
      <w:r w:rsidR="005165C9">
        <w:t xml:space="preserve">droit de superficie </w:t>
      </w:r>
      <w:r>
        <w:t xml:space="preserve">se limite </w:t>
      </w:r>
      <w:r w:rsidR="004013A0">
        <w:t>au sur-sol, serait en revanche</w:t>
      </w:r>
      <w:r w:rsidR="005F1CC1">
        <w:t xml:space="preserve"> </w:t>
      </w:r>
      <w:r w:rsidR="004013A0">
        <w:t>permise</w:t>
      </w:r>
      <w:r w:rsidR="00C7183D">
        <w:t>, dans notre conception,</w:t>
      </w:r>
      <w:r w:rsidR="005F1CC1">
        <w:t xml:space="preserve"> une large application de l’article 553</w:t>
      </w:r>
      <w:r w:rsidR="00C7183D">
        <w:t xml:space="preserve"> en sous-sol</w:t>
      </w:r>
      <w:r w:rsidR="004013A0">
        <w:t>. Cette position</w:t>
      </w:r>
      <w:r w:rsidR="00C7183D">
        <w:t>,</w:t>
      </w:r>
      <w:r w:rsidR="004013A0">
        <w:t xml:space="preserve"> quant au champ d’application de la loi sur la superficie</w:t>
      </w:r>
      <w:r w:rsidR="00C7183D">
        <w:t>,</w:t>
      </w:r>
      <w:r w:rsidR="004013A0">
        <w:t xml:space="preserve"> a donc l’avantage </w:t>
      </w:r>
      <w:r w:rsidR="005F1CC1">
        <w:t>d’autoriser certaines dissociations perpétuelles en so</w:t>
      </w:r>
      <w:r w:rsidR="002032DC">
        <w:t>us-sol, comme le décide d’aille</w:t>
      </w:r>
      <w:r w:rsidR="005F1CC1">
        <w:t>u</w:t>
      </w:r>
      <w:r w:rsidR="002032DC">
        <w:t>r</w:t>
      </w:r>
      <w:r w:rsidR="005F1CC1">
        <w:t xml:space="preserve">s certaine jurisprudence </w:t>
      </w:r>
      <w:r w:rsidR="005F1CC1">
        <w:rPr>
          <w:rStyle w:val="Marquenotebasdepage"/>
        </w:rPr>
        <w:footnoteReference w:id="34"/>
      </w:r>
      <w:r w:rsidR="005F1CC1">
        <w:t>, y compris cel</w:t>
      </w:r>
      <w:r w:rsidR="007C648D">
        <w:t xml:space="preserve">le de notre Cour de cassation ; </w:t>
      </w:r>
      <w:r w:rsidR="005F1CC1">
        <w:t>dans un arrêt du 28 novembre 1969 relatif à un emplacement propre à servir de parking, la Cour énonce que « </w:t>
      </w:r>
      <w:r w:rsidR="005F1CC1">
        <w:rPr>
          <w:rStyle w:val="italic"/>
          <w:iCs/>
        </w:rPr>
        <w:t xml:space="preserve">(...) la disposition de l’article 552 du Code civil aux termes de laquelle la propriété du sol emporte la propriété du dessus et du dessous n’implique pas qu’une personne ne puisse être propriétaire du sous-sol d’un bien immobilier dont le sol n’est pas sa propriété </w:t>
      </w:r>
      <w:r w:rsidR="005F1CC1">
        <w:rPr>
          <w:rStyle w:val="italic"/>
          <w:rFonts w:ascii="細明體" w:eastAsia="細明體" w:hAnsi="細明體" w:cs="細明體" w:hint="eastAsia"/>
          <w:iCs/>
        </w:rPr>
        <w:t></w:t>
      </w:r>
      <w:r w:rsidR="005F1CC1">
        <w:rPr>
          <w:rStyle w:val="italic"/>
          <w:iCs/>
        </w:rPr>
        <w:t> </w:t>
      </w:r>
      <w:r w:rsidR="005F1CC1">
        <w:t xml:space="preserve">» </w:t>
      </w:r>
      <w:r w:rsidR="005F1CC1">
        <w:rPr>
          <w:rStyle w:val="Marquenotebasdepage"/>
        </w:rPr>
        <w:footnoteReference w:id="35"/>
      </w:r>
      <w:r w:rsidR="005F1CC1">
        <w:t xml:space="preserve">. </w:t>
      </w:r>
      <w:r w:rsidR="002032DC">
        <w:t xml:space="preserve">Cet arrêt </w:t>
      </w:r>
      <w:r w:rsidR="005165C9">
        <w:t xml:space="preserve">de notre Cour suprême </w:t>
      </w:r>
      <w:r w:rsidR="002032DC">
        <w:t xml:space="preserve">est </w:t>
      </w:r>
      <w:r w:rsidR="00406379">
        <w:t xml:space="preserve">globalement </w:t>
      </w:r>
      <w:r w:rsidR="002032DC">
        <w:t>approu</w:t>
      </w:r>
      <w:r w:rsidR="00260E29">
        <w:t>vé en doctrine, ce qui perme</w:t>
      </w:r>
      <w:r w:rsidR="002032DC">
        <w:t>t</w:t>
      </w:r>
      <w:r w:rsidR="00406379">
        <w:t>,</w:t>
      </w:r>
      <w:r w:rsidR="002032DC">
        <w:t xml:space="preserve"> gén</w:t>
      </w:r>
      <w:r w:rsidR="00260E29">
        <w:t>éraleme</w:t>
      </w:r>
      <w:r w:rsidR="002032DC">
        <w:t>n</w:t>
      </w:r>
      <w:r w:rsidR="00260E29">
        <w:t>t</w:t>
      </w:r>
      <w:r w:rsidR="002032DC">
        <w:t xml:space="preserve"> de</w:t>
      </w:r>
      <w:r w:rsidR="00260E29">
        <w:t xml:space="preserve"> réunir la majorité de</w:t>
      </w:r>
      <w:r w:rsidR="002032DC">
        <w:t>s</w:t>
      </w:r>
      <w:r w:rsidR="00260E29">
        <w:t xml:space="preserve"> </w:t>
      </w:r>
      <w:r w:rsidR="002032DC">
        <w:t>auteurs sur un point </w:t>
      </w:r>
      <w:r w:rsidR="00260E29">
        <w:t>au moins : les vol</w:t>
      </w:r>
      <w:r w:rsidR="002032DC">
        <w:t>umes perpétuels sont envisageables en s</w:t>
      </w:r>
      <w:r w:rsidR="00FD3B83">
        <w:t>ous</w:t>
      </w:r>
      <w:r w:rsidR="00396ED6">
        <w:t>-sol puisque la loi sur la su</w:t>
      </w:r>
      <w:r w:rsidR="002032DC">
        <w:t>p</w:t>
      </w:r>
      <w:r w:rsidR="00396ED6">
        <w:t>e</w:t>
      </w:r>
      <w:r w:rsidR="002032DC">
        <w:t>r</w:t>
      </w:r>
      <w:r w:rsidR="00396ED6">
        <w:t>f</w:t>
      </w:r>
      <w:r w:rsidR="004013A0">
        <w:t>icie ne s’y applique pas.</w:t>
      </w:r>
    </w:p>
    <w:p w14:paraId="7D1261F1" w14:textId="77777777" w:rsidR="004013A0" w:rsidRDefault="004013A0" w:rsidP="00794886">
      <w:pPr>
        <w:jc w:val="both"/>
      </w:pPr>
    </w:p>
    <w:p w14:paraId="66C03EB5" w14:textId="193021A7" w:rsidR="00F56626" w:rsidRDefault="004013A0" w:rsidP="00794886">
      <w:pPr>
        <w:jc w:val="both"/>
      </w:pPr>
      <w:r>
        <w:t>D’où la difficulté que suscite le projet de réforme:</w:t>
      </w:r>
      <w:r w:rsidR="00476B0E">
        <w:t xml:space="preserve"> </w:t>
      </w:r>
      <w:r>
        <w:t xml:space="preserve"> c</w:t>
      </w:r>
      <w:r w:rsidR="00476B0E">
        <w:t xml:space="preserve">omment les auteurs </w:t>
      </w:r>
      <w:r w:rsidR="002032DC">
        <w:t xml:space="preserve">vont-ils concilier désormais cette jurisprudence </w:t>
      </w:r>
      <w:r w:rsidR="00476B0E">
        <w:t xml:space="preserve">et leurs différentes conceptions </w:t>
      </w:r>
      <w:r w:rsidR="002032DC">
        <w:t xml:space="preserve">avec la nouvelle définition du droit de superficie </w:t>
      </w:r>
      <w:r w:rsidR="00476B0E">
        <w:t xml:space="preserve">qui peut désormais viser </w:t>
      </w:r>
      <w:r w:rsidR="002032DC">
        <w:t>des bâtiments, constructions ou plantations en-dessous du fonds d’autrui ?</w:t>
      </w:r>
      <w:r w:rsidR="005165C9">
        <w:t xml:space="preserve"> N</w:t>
      </w:r>
      <w:r w:rsidR="000E3DA2">
        <w:t xml:space="preserve">e faudrait-il pas au moins </w:t>
      </w:r>
      <w:r w:rsidR="005165C9">
        <w:t xml:space="preserve">réserver </w:t>
      </w:r>
      <w:r w:rsidR="000E3DA2">
        <w:t>dans le nouvel article 1</w:t>
      </w:r>
      <w:r w:rsidR="000E3DA2" w:rsidRPr="000E3DA2">
        <w:rPr>
          <w:vertAlign w:val="superscript"/>
        </w:rPr>
        <w:t>er</w:t>
      </w:r>
      <w:r w:rsidR="000E3DA2">
        <w:t xml:space="preserve"> de la loi du 10 janvier 1824 sur la superficie l’éventuelle application de l’article 553 du Code civil</w:t>
      </w:r>
      <w:r w:rsidR="005165C9">
        <w:t xml:space="preserve"> en sous-sol</w:t>
      </w:r>
      <w:r w:rsidR="000E3DA2">
        <w:t> ?</w:t>
      </w:r>
    </w:p>
    <w:p w14:paraId="4501750B" w14:textId="77777777" w:rsidR="002032DC" w:rsidRDefault="002032DC" w:rsidP="00794886">
      <w:pPr>
        <w:jc w:val="both"/>
      </w:pPr>
    </w:p>
    <w:p w14:paraId="63F40627" w14:textId="00AAB400" w:rsidR="002032DC" w:rsidRDefault="004013A0" w:rsidP="00794886">
      <w:pPr>
        <w:jc w:val="both"/>
      </w:pPr>
      <w:r>
        <w:t xml:space="preserve">Pour conclure, </w:t>
      </w:r>
      <w:r w:rsidR="000E3DA2">
        <w:t>nous écrirons</w:t>
      </w:r>
      <w:r w:rsidR="005165C9">
        <w:t xml:space="preserve"> que la plus grande difficulté quant à</w:t>
      </w:r>
      <w:r w:rsidR="000E3DA2">
        <w:t xml:space="preserve"> l’admission des volumes en droit b</w:t>
      </w:r>
      <w:r w:rsidR="00260250">
        <w:t xml:space="preserve">elge ne </w:t>
      </w:r>
      <w:r w:rsidR="005165C9">
        <w:t>réside</w:t>
      </w:r>
      <w:r w:rsidR="00260250">
        <w:t xml:space="preserve"> toutefois pas, à notre avis, </w:t>
      </w:r>
      <w:r w:rsidR="000E3DA2">
        <w:t>dans la modification projetée de l’article 1</w:t>
      </w:r>
      <w:r w:rsidR="000E3DA2" w:rsidRPr="000E3DA2">
        <w:rPr>
          <w:vertAlign w:val="superscript"/>
        </w:rPr>
        <w:t>er</w:t>
      </w:r>
      <w:r w:rsidR="000E3DA2">
        <w:t xml:space="preserve"> </w:t>
      </w:r>
      <w:r w:rsidR="00BF3C3E">
        <w:t>de la loi sur la</w:t>
      </w:r>
      <w:r w:rsidR="000E3DA2">
        <w:t xml:space="preserve"> superficie mais </w:t>
      </w:r>
      <w:r>
        <w:t>pourrait résulter d’</w:t>
      </w:r>
      <w:r w:rsidR="000E3DA2">
        <w:t xml:space="preserve">un récent arrêt de notre Cour de cassation </w:t>
      </w:r>
      <w:r w:rsidR="00F916CE">
        <w:t>du 13 septembre 2013</w:t>
      </w:r>
      <w:r w:rsidR="00406379">
        <w:t xml:space="preserve"> </w:t>
      </w:r>
      <w:r w:rsidR="00406379">
        <w:rPr>
          <w:rStyle w:val="Marquenotebasdepage"/>
        </w:rPr>
        <w:footnoteReference w:id="36"/>
      </w:r>
      <w:r w:rsidR="000E3DA2">
        <w:t xml:space="preserve"> qui</w:t>
      </w:r>
      <w:r w:rsidR="00252BF3">
        <w:t xml:space="preserve"> illustre bien le malaise juridique ambiant en la matière et la né</w:t>
      </w:r>
      <w:r w:rsidR="008960F3">
        <w:t>cessité de repenser notre propr</w:t>
      </w:r>
      <w:r w:rsidR="00252BF3">
        <w:t>i</w:t>
      </w:r>
      <w:r w:rsidR="008960F3">
        <w:t>é</w:t>
      </w:r>
      <w:r w:rsidR="00252BF3">
        <w:t xml:space="preserve">té immobilière. </w:t>
      </w:r>
      <w:r w:rsidR="008960F3">
        <w:t>Dans cett</w:t>
      </w:r>
      <w:r w:rsidR="00264E8F">
        <w:t>e affaire se pose, notamment</w:t>
      </w:r>
      <w:r w:rsidR="000E3DA2">
        <w:t>, la question</w:t>
      </w:r>
      <w:r w:rsidR="00264E8F">
        <w:t xml:space="preserve"> – et c’est à celle-là que la Cour répond -</w:t>
      </w:r>
      <w:r w:rsidR="008960F3">
        <w:t xml:space="preserve"> si des volumes en sur-sol correspondant à des espaces </w:t>
      </w:r>
      <w:r w:rsidR="00264E8F">
        <w:t xml:space="preserve">ouverts situés au-dessus du sol, </w:t>
      </w:r>
      <w:r w:rsidR="008960F3">
        <w:t xml:space="preserve">délimités par un marquage au sol et destinés à servir d’emplacements de parking, </w:t>
      </w:r>
      <w:r w:rsidR="00E36520">
        <w:t>peuv</w:t>
      </w:r>
      <w:r w:rsidR="008960F3">
        <w:t>e</w:t>
      </w:r>
      <w:r w:rsidR="00E36520">
        <w:t>n</w:t>
      </w:r>
      <w:r w:rsidR="008960F3">
        <w:t xml:space="preserve">t faire l’objet d’un droit de propriété immobilier distinct de la propriété du sol. </w:t>
      </w:r>
      <w:r w:rsidR="00396ED6">
        <w:t>Lisant en parallèle les articles 552, 553 et l’article 1</w:t>
      </w:r>
      <w:r w:rsidR="00396ED6" w:rsidRPr="00396ED6">
        <w:rPr>
          <w:vertAlign w:val="superscript"/>
        </w:rPr>
        <w:t>er</w:t>
      </w:r>
      <w:r w:rsidR="00396ED6">
        <w:t xml:space="preserve"> de la loi du 10 janvier 1824</w:t>
      </w:r>
      <w:r w:rsidR="00476B0E">
        <w:t>, dispositions</w:t>
      </w:r>
      <w:r w:rsidR="00396ED6">
        <w:t xml:space="preserve"> qu’elle considère comme violés par l’arrêt dont pourvoi, la Cour </w:t>
      </w:r>
      <w:r w:rsidR="000E3DA2">
        <w:t xml:space="preserve">de cassation </w:t>
      </w:r>
      <w:r w:rsidR="00264E8F">
        <w:t>affirme qu’un dro</w:t>
      </w:r>
      <w:r w:rsidR="00396ED6">
        <w:t>i</w:t>
      </w:r>
      <w:r w:rsidR="00264E8F">
        <w:t>t de propr</w:t>
      </w:r>
      <w:r w:rsidR="00396ED6">
        <w:t>i</w:t>
      </w:r>
      <w:r w:rsidR="00264E8F">
        <w:t>é</w:t>
      </w:r>
      <w:r w:rsidR="00396ED6">
        <w:t>té immob</w:t>
      </w:r>
      <w:r w:rsidR="00264E8F">
        <w:t>ilier dis</w:t>
      </w:r>
      <w:r w:rsidR="00396ED6">
        <w:t>t</w:t>
      </w:r>
      <w:r w:rsidR="00264E8F">
        <w:t>i</w:t>
      </w:r>
      <w:r w:rsidR="00396ED6">
        <w:t>nc</w:t>
      </w:r>
      <w:r w:rsidR="00264E8F">
        <w:t>t de la propr</w:t>
      </w:r>
      <w:r w:rsidR="00396ED6">
        <w:t>i</w:t>
      </w:r>
      <w:r w:rsidR="00264E8F">
        <w:t>été du sol ne pe</w:t>
      </w:r>
      <w:r w:rsidR="00396ED6">
        <w:t>u</w:t>
      </w:r>
      <w:r w:rsidR="00264E8F">
        <w:t>t</w:t>
      </w:r>
      <w:r w:rsidR="00396ED6">
        <w:t xml:space="preserve"> porter que su</w:t>
      </w:r>
      <w:r w:rsidR="000E3DA2">
        <w:t>r des co</w:t>
      </w:r>
      <w:r w:rsidR="00264E8F">
        <w:t>n</w:t>
      </w:r>
      <w:r w:rsidR="000E3DA2">
        <w:t>s</w:t>
      </w:r>
      <w:r w:rsidR="00264E8F">
        <w:t>tructions, ouvrages ou plantations, ce que n’es</w:t>
      </w:r>
      <w:r w:rsidR="00396ED6">
        <w:t>t</w:t>
      </w:r>
      <w:r w:rsidR="00264E8F">
        <w:t xml:space="preserve"> </w:t>
      </w:r>
      <w:r w:rsidR="00396ED6">
        <w:t xml:space="preserve">pas un simple espace ouvert situé au-dessus du sol. </w:t>
      </w:r>
    </w:p>
    <w:p w14:paraId="5906ED1D" w14:textId="77777777" w:rsidR="00396ED6" w:rsidRDefault="00396ED6" w:rsidP="00794886">
      <w:pPr>
        <w:jc w:val="both"/>
      </w:pPr>
    </w:p>
    <w:p w14:paraId="79C35064" w14:textId="7D1E7250" w:rsidR="00396ED6" w:rsidRDefault="00264E8F" w:rsidP="00794886">
      <w:pPr>
        <w:jc w:val="both"/>
      </w:pPr>
      <w:r>
        <w:t>En l’espèce</w:t>
      </w:r>
      <w:r w:rsidR="00396ED6">
        <w:t>,</w:t>
      </w:r>
      <w:r w:rsidR="00396ED6" w:rsidRPr="00396ED6">
        <w:t xml:space="preserve"> </w:t>
      </w:r>
      <w:r>
        <w:t>il est vra</w:t>
      </w:r>
      <w:r w:rsidR="000E3DA2">
        <w:t>i</w:t>
      </w:r>
      <w:r>
        <w:t>,</w:t>
      </w:r>
      <w:r w:rsidR="00C72AC8">
        <w:t xml:space="preserve"> les faits sont complexes. L</w:t>
      </w:r>
      <w:r w:rsidR="00396ED6">
        <w:t>es emplacem</w:t>
      </w:r>
      <w:r w:rsidR="00C72AC8">
        <w:t>ents litigieux se trouvaient au sein d’un ensemble immobilier en état de</w:t>
      </w:r>
      <w:r w:rsidR="00396ED6">
        <w:t xml:space="preserve"> copropr</w:t>
      </w:r>
      <w:r w:rsidR="000E3DA2">
        <w:t>iété forcée d’immeubles bâtis</w:t>
      </w:r>
      <w:r w:rsidR="00396ED6">
        <w:t xml:space="preserve"> et étaient qualifiés d</w:t>
      </w:r>
      <w:r>
        <w:t>a</w:t>
      </w:r>
      <w:r w:rsidR="00396ED6">
        <w:t>ns les statuts, de façon contradictoire, à la fois de parties privat</w:t>
      </w:r>
      <w:r>
        <w:t>ives (sans quotes-parts dans le</w:t>
      </w:r>
      <w:r w:rsidR="00396ED6">
        <w:t>s</w:t>
      </w:r>
      <w:r>
        <w:t xml:space="preserve"> parties communes associées to</w:t>
      </w:r>
      <w:r w:rsidR="00396ED6">
        <w:t>u</w:t>
      </w:r>
      <w:r>
        <w:t>t</w:t>
      </w:r>
      <w:r w:rsidR="00396ED6">
        <w:t>efo</w:t>
      </w:r>
      <w:r>
        <w:t>is) et de parties communes ; le</w:t>
      </w:r>
      <w:r w:rsidR="00396ED6">
        <w:t>s</w:t>
      </w:r>
      <w:r>
        <w:t xml:space="preserve"> </w:t>
      </w:r>
      <w:r w:rsidR="00396ED6">
        <w:t>emplacements étaient uniquement délimités par un marquage au sol e</w:t>
      </w:r>
      <w:r>
        <w:t>t définis</w:t>
      </w:r>
      <w:r w:rsidR="00B86AD2">
        <w:t>, de façon ambiguë,</w:t>
      </w:r>
      <w:r>
        <w:t xml:space="preserve"> à l’aide du mot </w:t>
      </w:r>
      <w:r w:rsidR="00C72AC8">
        <w:t>« </w:t>
      </w:r>
      <w:r>
        <w:t>assiette</w:t>
      </w:r>
      <w:r w:rsidR="00C72AC8">
        <w:t> »</w:t>
      </w:r>
      <w:r>
        <w:t xml:space="preserve"> qui vise pourtant gén</w:t>
      </w:r>
      <w:r w:rsidR="00B86AD2">
        <w:t>éraleme</w:t>
      </w:r>
      <w:r>
        <w:t>n</w:t>
      </w:r>
      <w:r w:rsidR="00B86AD2">
        <w:t>t</w:t>
      </w:r>
      <w:r>
        <w:t xml:space="preserve"> le terrain</w:t>
      </w:r>
      <w:r w:rsidR="00B86AD2">
        <w:t xml:space="preserve"> </w:t>
      </w:r>
      <w:r w:rsidR="00B86AD2">
        <w:rPr>
          <w:rStyle w:val="Marquenotebasdepage"/>
        </w:rPr>
        <w:footnoteReference w:id="37"/>
      </w:r>
      <w:r w:rsidR="000E3DA2">
        <w:t> ; enfin ces espaces étaient certes délimit</w:t>
      </w:r>
      <w:r w:rsidR="00F05D00">
        <w:t>és au sol mais point en hauteur et</w:t>
      </w:r>
      <w:r w:rsidR="000E3DA2">
        <w:t xml:space="preserve"> </w:t>
      </w:r>
      <w:r w:rsidR="00851D5D">
        <w:t>constituaient</w:t>
      </w:r>
      <w:r w:rsidR="00F05D00">
        <w:t xml:space="preserve"> donc </w:t>
      </w:r>
      <w:r w:rsidR="000E3DA2">
        <w:t xml:space="preserve">des espaces ouverts. </w:t>
      </w:r>
    </w:p>
    <w:p w14:paraId="2CA9F9CC" w14:textId="77777777" w:rsidR="000E3DA2" w:rsidRDefault="000E3DA2" w:rsidP="00794886">
      <w:pPr>
        <w:jc w:val="both"/>
      </w:pPr>
    </w:p>
    <w:p w14:paraId="40CE1626" w14:textId="234058E2" w:rsidR="001D286A" w:rsidRPr="004013A0" w:rsidRDefault="001D286A" w:rsidP="00260250">
      <w:pPr>
        <w:widowControl w:val="0"/>
        <w:autoSpaceDE w:val="0"/>
        <w:autoSpaceDN w:val="0"/>
        <w:adjustRightInd w:val="0"/>
        <w:spacing w:after="240"/>
        <w:jc w:val="both"/>
      </w:pPr>
      <w:r>
        <w:t>Sans prétendre, dans le cadre de la présent</w:t>
      </w:r>
      <w:r w:rsidR="00DB01D3">
        <w:t>e</w:t>
      </w:r>
      <w:r>
        <w:t xml:space="preserve"> contribution, faire une analyse détaillée de cet arrêt, n</w:t>
      </w:r>
      <w:r w:rsidR="003B5BE2" w:rsidRPr="00250F50">
        <w:t xml:space="preserve">ous ne pensons </w:t>
      </w:r>
      <w:r w:rsidR="00E73EA2" w:rsidRPr="00250F50">
        <w:t>p</w:t>
      </w:r>
      <w:r w:rsidR="003B5BE2" w:rsidRPr="00250F50">
        <w:t>a</w:t>
      </w:r>
      <w:r w:rsidR="00E73EA2" w:rsidRPr="00250F50">
        <w:t>s</w:t>
      </w:r>
      <w:r w:rsidR="00105DEF">
        <w:t>, à première vue,</w:t>
      </w:r>
      <w:r w:rsidR="00E73EA2" w:rsidRPr="00250F50">
        <w:t xml:space="preserve"> que la</w:t>
      </w:r>
      <w:r w:rsidR="00DB01D3">
        <w:t xml:space="preserve"> Cour ait pris ici </w:t>
      </w:r>
      <w:r w:rsidR="00E73EA2" w:rsidRPr="00250F50">
        <w:t xml:space="preserve">position quant au départ entre </w:t>
      </w:r>
      <w:r w:rsidR="003B5BE2" w:rsidRPr="00250F50">
        <w:t>l’article 553 du Code civil e</w:t>
      </w:r>
      <w:r w:rsidR="00E73EA2" w:rsidRPr="00250F50">
        <w:t>t l’article 1</w:t>
      </w:r>
      <w:r w:rsidR="00E73EA2" w:rsidRPr="00250F50">
        <w:rPr>
          <w:vertAlign w:val="superscript"/>
        </w:rPr>
        <w:t>er</w:t>
      </w:r>
      <w:r w:rsidR="003B5BE2" w:rsidRPr="00250F50">
        <w:t xml:space="preserve"> de la loi sur la superficie</w:t>
      </w:r>
      <w:r w:rsidR="00E73EA2" w:rsidRPr="00250F50">
        <w:t xml:space="preserve"> et décidé si oui ou non pouvait être imaginée une dissociation sol sur-sol en propriété perpétuelle ou si seul un droit </w:t>
      </w:r>
      <w:r w:rsidR="00260250">
        <w:t>de superficie de maximum 50 ans</w:t>
      </w:r>
      <w:r w:rsidR="00E73EA2" w:rsidRPr="00250F50">
        <w:t xml:space="preserve"> pouvait être envisagé</w:t>
      </w:r>
      <w:r w:rsidR="000B343E">
        <w:t xml:space="preserve">. Elle a, en revanche, </w:t>
      </w:r>
      <w:r w:rsidR="003B5BE2" w:rsidRPr="00250F50">
        <w:t>plus fondamentalement, mais aussi plus restrictivement</w:t>
      </w:r>
      <w:r w:rsidR="00260250">
        <w:t>,</w:t>
      </w:r>
      <w:r w:rsidR="003B5BE2" w:rsidRPr="00250F50">
        <w:t xml:space="preserve"> décidé, dans un</w:t>
      </w:r>
      <w:r w:rsidR="00250F50" w:rsidRPr="00250F50">
        <w:t xml:space="preserve">e hypothèse en sur-sol, </w:t>
      </w:r>
      <w:r w:rsidR="00260250">
        <w:t xml:space="preserve">que </w:t>
      </w:r>
      <w:r w:rsidR="00250F50" w:rsidRPr="00250F50">
        <w:t xml:space="preserve">le droit </w:t>
      </w:r>
      <w:r w:rsidR="00260250">
        <w:t>d</w:t>
      </w:r>
      <w:r w:rsidR="003B5BE2" w:rsidRPr="00250F50">
        <w:t>e propriété immob</w:t>
      </w:r>
      <w:r w:rsidR="00260250">
        <w:t>i</w:t>
      </w:r>
      <w:r w:rsidR="003B5BE2" w:rsidRPr="00250F50">
        <w:t>lier</w:t>
      </w:r>
      <w:r w:rsidR="00C72AC8">
        <w:t>,</w:t>
      </w:r>
      <w:r w:rsidR="003B5BE2" w:rsidRPr="00250F50">
        <w:t xml:space="preserve"> lorsqu’il es</w:t>
      </w:r>
      <w:r w:rsidR="00260250">
        <w:t>t distinct de la propr</w:t>
      </w:r>
      <w:r w:rsidR="003B5BE2" w:rsidRPr="00250F50">
        <w:t>i</w:t>
      </w:r>
      <w:r w:rsidR="00260250">
        <w:t>été du</w:t>
      </w:r>
      <w:r w:rsidR="003B5BE2" w:rsidRPr="00250F50">
        <w:t xml:space="preserve"> sol</w:t>
      </w:r>
      <w:r w:rsidR="00C72AC8">
        <w:t>,</w:t>
      </w:r>
      <w:r w:rsidR="003B5BE2" w:rsidRPr="00250F50">
        <w:t xml:space="preserve"> ne peut porter que sur des constructions, ouvrages et plantations et non sur des espaces ouverts. Il s’agit d’un</w:t>
      </w:r>
      <w:r>
        <w:t xml:space="preserve">e lecture extrêmement littérale </w:t>
      </w:r>
      <w:r w:rsidR="003B5BE2" w:rsidRPr="00250F50">
        <w:t>de ces articles qui ne visent en effet expressément que des constructions et plantations</w:t>
      </w:r>
      <w:r w:rsidR="00C72AC8">
        <w:t>, et non des volumes,</w:t>
      </w:r>
      <w:r w:rsidR="003B5BE2" w:rsidRPr="00250F50">
        <w:t xml:space="preserve"> encore moins des vol</w:t>
      </w:r>
      <w:r w:rsidR="004013A0">
        <w:t xml:space="preserve">umes d’air. </w:t>
      </w:r>
      <w:r w:rsidR="008D035C" w:rsidRPr="00250F50">
        <w:t>Ces articles ont to</w:t>
      </w:r>
      <w:r w:rsidR="003B5BE2" w:rsidRPr="00250F50">
        <w:t>u</w:t>
      </w:r>
      <w:r w:rsidR="008D035C" w:rsidRPr="00250F50">
        <w:t>tefo</w:t>
      </w:r>
      <w:r w:rsidR="003B5BE2" w:rsidRPr="00250F50">
        <w:t>i</w:t>
      </w:r>
      <w:r w:rsidR="008D035C" w:rsidRPr="00250F50">
        <w:t>s</w:t>
      </w:r>
      <w:r w:rsidR="00250F50" w:rsidRPr="00250F50">
        <w:t xml:space="preserve"> été rédigés en 1804 et 182</w:t>
      </w:r>
      <w:r w:rsidR="00F05D00">
        <w:t>4</w:t>
      </w:r>
      <w:r w:rsidR="00250F50" w:rsidRPr="00250F50">
        <w:t xml:space="preserve">, à une époque où </w:t>
      </w:r>
      <w:r w:rsidR="004013A0">
        <w:t xml:space="preserve">la pratique </w:t>
      </w:r>
      <w:r w:rsidR="00406379">
        <w:t xml:space="preserve">ne </w:t>
      </w:r>
      <w:r w:rsidR="00C72AC8">
        <w:t>ressentait</w:t>
      </w:r>
      <w:r w:rsidR="00406379">
        <w:t xml:space="preserve"> </w:t>
      </w:r>
      <w:r w:rsidR="004013A0">
        <w:t>évidemment pas l’utilit</w:t>
      </w:r>
      <w:r w:rsidR="000B343E">
        <w:t>é des volumes et où, d’ailleurs</w:t>
      </w:r>
      <w:r w:rsidR="00406379">
        <w:t>,</w:t>
      </w:r>
      <w:r w:rsidR="00250F50" w:rsidRPr="00250F50">
        <w:t xml:space="preserve"> les techniques de constructi</w:t>
      </w:r>
      <w:r w:rsidR="00406379">
        <w:t>on ne permettaient pas non plus d’envisager</w:t>
      </w:r>
      <w:r w:rsidR="00250F50" w:rsidRPr="00250F50">
        <w:t xml:space="preserve"> </w:t>
      </w:r>
      <w:r w:rsidR="00F05D00">
        <w:t xml:space="preserve">aisément </w:t>
      </w:r>
      <w:r w:rsidR="00250F50" w:rsidRPr="00250F50">
        <w:t xml:space="preserve">divers volumes superposés au sein d’une </w:t>
      </w:r>
      <w:r w:rsidR="00851D5D" w:rsidRPr="00250F50">
        <w:t>propriété</w:t>
      </w:r>
      <w:r w:rsidR="00250F50" w:rsidRPr="00250F50">
        <w:t xml:space="preserve"> immobilière. </w:t>
      </w:r>
      <w:r w:rsidR="004013A0">
        <w:t>Ces articles de loi</w:t>
      </w:r>
      <w:r w:rsidR="00F05D00">
        <w:t xml:space="preserve"> citaient donc expressément les dissociations de la propriété immobilière c</w:t>
      </w:r>
      <w:r w:rsidR="00260250">
        <w:t xml:space="preserve">onnues et pratiquées à l’époque, </w:t>
      </w:r>
      <w:r w:rsidR="000861A1">
        <w:t xml:space="preserve">soit </w:t>
      </w:r>
      <w:r w:rsidR="00260250">
        <w:t>les dissociations matérialisées par des choses corporelles</w:t>
      </w:r>
      <w:r w:rsidR="00C72AC8">
        <w:t>. I</w:t>
      </w:r>
      <w:r w:rsidR="000B343E">
        <w:t>l serait excessif,</w:t>
      </w:r>
      <w:r w:rsidR="00F05D00">
        <w:t xml:space="preserve"> à notre sens</w:t>
      </w:r>
      <w:r w:rsidR="00C72AC8">
        <w:t>,</w:t>
      </w:r>
      <w:r w:rsidR="00F05D00">
        <w:t xml:space="preserve"> </w:t>
      </w:r>
      <w:r w:rsidR="000B343E">
        <w:t>de déduire des termes utilisés à l’é</w:t>
      </w:r>
      <w:r w:rsidR="00AE34CE">
        <w:t>poque</w:t>
      </w:r>
      <w:r w:rsidR="00F05D00">
        <w:t xml:space="preserve"> que s</w:t>
      </w:r>
      <w:r w:rsidR="00260250">
        <w:t>eraient, exclues</w:t>
      </w:r>
      <w:r w:rsidR="000B343E">
        <w:t>, aujourd’hui,</w:t>
      </w:r>
      <w:r w:rsidR="00260250">
        <w:t xml:space="preserve"> les dissociatio</w:t>
      </w:r>
      <w:r w:rsidR="00F05D00">
        <w:t>n</w:t>
      </w:r>
      <w:r w:rsidR="00260250">
        <w:t>s</w:t>
      </w:r>
      <w:r w:rsidR="00F05D00">
        <w:t xml:space="preserve"> </w:t>
      </w:r>
      <w:r w:rsidR="00260250">
        <w:t xml:space="preserve">de propriété immobilière </w:t>
      </w:r>
      <w:r w:rsidR="00F05D00">
        <w:t>en volumes. C’es</w:t>
      </w:r>
      <w:r w:rsidR="00260250">
        <w:t>t d’aille</w:t>
      </w:r>
      <w:r w:rsidR="00F05D00">
        <w:t>u</w:t>
      </w:r>
      <w:r w:rsidR="00260250">
        <w:t>r</w:t>
      </w:r>
      <w:r w:rsidR="00F05D00">
        <w:t>s</w:t>
      </w:r>
      <w:r w:rsidR="004013A0">
        <w:t>, insistons-y,</w:t>
      </w:r>
      <w:r w:rsidR="00F05D00">
        <w:t xml:space="preserve"> de la finale de l’a</w:t>
      </w:r>
      <w:r w:rsidR="00260250">
        <w:t>rticle 553 telle que rédigée en 1804, visant un souterrain ou une partie du bâtiment d’autrui</w:t>
      </w:r>
      <w:r w:rsidR="000861A1">
        <w:t>,</w:t>
      </w:r>
      <w:r w:rsidR="00260250">
        <w:t xml:space="preserve"> que </w:t>
      </w:r>
      <w:r w:rsidR="00250F50" w:rsidRPr="00250F50">
        <w:t>s’est développée</w:t>
      </w:r>
      <w:r w:rsidR="00C72AC8">
        <w:t>,</w:t>
      </w:r>
      <w:r w:rsidR="004013A0">
        <w:t xml:space="preserve"> en France</w:t>
      </w:r>
      <w:r w:rsidR="00260250">
        <w:t>,</w:t>
      </w:r>
      <w:r w:rsidR="00250F50" w:rsidRPr="00250F50">
        <w:t xml:space="preserve"> la technique des volumes immobiliers</w:t>
      </w:r>
      <w:r w:rsidR="004013A0">
        <w:t>.</w:t>
      </w:r>
    </w:p>
    <w:p w14:paraId="08726753" w14:textId="03E138BC" w:rsidR="00A23ED3" w:rsidRDefault="00AE34CE" w:rsidP="00260250">
      <w:pPr>
        <w:widowControl w:val="0"/>
        <w:autoSpaceDE w:val="0"/>
        <w:autoSpaceDN w:val="0"/>
        <w:adjustRightInd w:val="0"/>
        <w:spacing w:after="240"/>
        <w:jc w:val="both"/>
        <w:rPr>
          <w:rFonts w:cs="Times New Roman"/>
        </w:rPr>
      </w:pPr>
      <w:r>
        <w:rPr>
          <w:rFonts w:cs="Times New Roman"/>
        </w:rPr>
        <w:t>Cet arrêt semble donc b</w:t>
      </w:r>
      <w:r w:rsidR="00406379">
        <w:rPr>
          <w:rFonts w:cs="Times New Roman"/>
        </w:rPr>
        <w:t>ien lancer un pavé dans la mare</w:t>
      </w:r>
      <w:r>
        <w:rPr>
          <w:rFonts w:cs="Times New Roman"/>
        </w:rPr>
        <w:t xml:space="preserve"> mais, vu le contexte tout à fait particulier dans lequel il e</w:t>
      </w:r>
      <w:r w:rsidR="00406379">
        <w:rPr>
          <w:rFonts w:cs="Times New Roman"/>
        </w:rPr>
        <w:t>st rendu, il serait divinatoire d’en ti</w:t>
      </w:r>
      <w:r>
        <w:rPr>
          <w:rFonts w:cs="Times New Roman"/>
        </w:rPr>
        <w:t xml:space="preserve">rer d’autres affirmations que celles énoncées expressément. </w:t>
      </w:r>
      <w:r w:rsidR="00A23ED3">
        <w:rPr>
          <w:rFonts w:cs="Times New Roman"/>
        </w:rPr>
        <w:t xml:space="preserve">La Cour de cassation admettrait-elle une dissociation en volumes si le volume </w:t>
      </w:r>
      <w:r w:rsidR="00DA6383">
        <w:rPr>
          <w:rFonts w:cs="Times New Roman"/>
        </w:rPr>
        <w:t>était bâti ? On peut le supposer mais point l’affirmer</w:t>
      </w:r>
      <w:r w:rsidR="00A23ED3">
        <w:rPr>
          <w:rFonts w:cs="Times New Roman"/>
        </w:rPr>
        <w:t>. L’admettrait-elle de façon perpétue</w:t>
      </w:r>
      <w:r w:rsidR="00DA6383">
        <w:rPr>
          <w:rFonts w:cs="Times New Roman"/>
        </w:rPr>
        <w:t>lle ou seulement pour 50 ans ? Selon nous,</w:t>
      </w:r>
      <w:r w:rsidR="00105DEF">
        <w:rPr>
          <w:rFonts w:cs="Times New Roman"/>
        </w:rPr>
        <w:t xml:space="preserve"> rien dans l’arrêt ne permet d’en </w:t>
      </w:r>
      <w:r w:rsidR="00DA6383">
        <w:rPr>
          <w:rFonts w:cs="Times New Roman"/>
        </w:rPr>
        <w:t>décider. S</w:t>
      </w:r>
      <w:r w:rsidR="00A23ED3">
        <w:rPr>
          <w:rFonts w:cs="Times New Roman"/>
        </w:rPr>
        <w:t xml:space="preserve">a position aurait-elle été différente si les </w:t>
      </w:r>
      <w:r w:rsidR="00BA5F15">
        <w:rPr>
          <w:rFonts w:cs="Times New Roman"/>
        </w:rPr>
        <w:t>emplacements</w:t>
      </w:r>
      <w:r w:rsidR="00A23ED3">
        <w:rPr>
          <w:rFonts w:cs="Times New Roman"/>
        </w:rPr>
        <w:t xml:space="preserve"> de parking avaient été délimités également en hauteur ? </w:t>
      </w:r>
      <w:r w:rsidR="00DA6383">
        <w:rPr>
          <w:rFonts w:cs="Times New Roman"/>
        </w:rPr>
        <w:t>Nous ne le croyons malheureusement pas.</w:t>
      </w:r>
    </w:p>
    <w:p w14:paraId="592B0683" w14:textId="77777777" w:rsidR="00DA6383" w:rsidRDefault="00DA6383" w:rsidP="00260250">
      <w:pPr>
        <w:widowControl w:val="0"/>
        <w:autoSpaceDE w:val="0"/>
        <w:autoSpaceDN w:val="0"/>
        <w:adjustRightInd w:val="0"/>
        <w:spacing w:after="240"/>
        <w:jc w:val="both"/>
        <w:rPr>
          <w:rFonts w:cs="Times New Roman"/>
        </w:rPr>
      </w:pPr>
    </w:p>
    <w:p w14:paraId="62A5C18E" w14:textId="17A009BA" w:rsidR="00DA6383" w:rsidRDefault="00DA6383" w:rsidP="00260250">
      <w:pPr>
        <w:widowControl w:val="0"/>
        <w:autoSpaceDE w:val="0"/>
        <w:autoSpaceDN w:val="0"/>
        <w:adjustRightInd w:val="0"/>
        <w:spacing w:after="240"/>
        <w:jc w:val="both"/>
        <w:rPr>
          <w:rFonts w:cs="Times New Roman"/>
        </w:rPr>
      </w:pPr>
      <w:r>
        <w:rPr>
          <w:rFonts w:cs="Times New Roman"/>
        </w:rPr>
        <w:t>Bref, affaire à suivre et à éclaircir</w:t>
      </w:r>
    </w:p>
    <w:p w14:paraId="15647336" w14:textId="05018A79" w:rsidR="001F4318" w:rsidRDefault="001F4318">
      <w:r>
        <w:br w:type="page"/>
      </w:r>
      <w:bookmarkStart w:id="0" w:name="_GoBack"/>
      <w:bookmarkEnd w:id="0"/>
    </w:p>
    <w:p w14:paraId="272A079E" w14:textId="12731311" w:rsidR="00BB523B" w:rsidRPr="00BB523B" w:rsidRDefault="001F4318" w:rsidP="00BB523B">
      <w:pPr>
        <w:jc w:val="both"/>
      </w:pPr>
      <w:r>
        <w:t>Insérer ici Cass., 13 septembre 2013 en annexe</w:t>
      </w:r>
    </w:p>
    <w:sectPr w:rsidR="00BB523B" w:rsidRPr="00BB523B" w:rsidSect="006C37DB">
      <w:headerReference w:type="even" r:id="rId9"/>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D1BE3" w14:textId="77777777" w:rsidR="00BA5F15" w:rsidRDefault="00BA5F15" w:rsidP="004D6AFD">
      <w:r>
        <w:separator/>
      </w:r>
    </w:p>
  </w:endnote>
  <w:endnote w:type="continuationSeparator" w:id="0">
    <w:p w14:paraId="1A2C509C" w14:textId="77777777" w:rsidR="00BA5F15" w:rsidRDefault="00BA5F15" w:rsidP="004D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4940A" w14:textId="77777777" w:rsidR="00BA5F15" w:rsidRDefault="00BA5F15" w:rsidP="004D6AFD">
      <w:r>
        <w:separator/>
      </w:r>
    </w:p>
  </w:footnote>
  <w:footnote w:type="continuationSeparator" w:id="0">
    <w:p w14:paraId="52F5BAE0" w14:textId="77777777" w:rsidR="00BA5F15" w:rsidRDefault="00BA5F15" w:rsidP="004D6AFD">
      <w:r>
        <w:continuationSeparator/>
      </w:r>
    </w:p>
  </w:footnote>
  <w:footnote w:id="1">
    <w:p w14:paraId="2F92AEC2" w14:textId="77777777" w:rsidR="00BA5F15" w:rsidRPr="004248AD" w:rsidRDefault="00BA5F15" w:rsidP="004248AD">
      <w:pPr>
        <w:pStyle w:val="Notedebasdepage"/>
        <w:jc w:val="both"/>
        <w:rPr>
          <w:sz w:val="20"/>
          <w:szCs w:val="20"/>
          <w:lang w:val="nl-NL"/>
        </w:rPr>
      </w:pPr>
      <w:r w:rsidRPr="004248AD">
        <w:rPr>
          <w:rStyle w:val="Marquenotebasdepage"/>
          <w:sz w:val="20"/>
          <w:szCs w:val="20"/>
        </w:rPr>
        <w:footnoteRef/>
      </w:r>
      <w:r w:rsidRPr="004248AD">
        <w:rPr>
          <w:sz w:val="20"/>
          <w:szCs w:val="20"/>
        </w:rPr>
        <w:t xml:space="preserve"> </w:t>
      </w:r>
      <w:r w:rsidRPr="004248AD">
        <w:rPr>
          <w:sz w:val="20"/>
          <w:szCs w:val="20"/>
          <w:lang w:val="nl-NL"/>
        </w:rPr>
        <w:t xml:space="preserve">Voy. Projet de loi portant des dispositions diverses, </w:t>
      </w:r>
      <w:r w:rsidRPr="004248AD">
        <w:rPr>
          <w:i/>
          <w:sz w:val="20"/>
          <w:szCs w:val="20"/>
          <w:lang w:val="nl-NL"/>
        </w:rPr>
        <w:t xml:space="preserve">Doc. Parl., </w:t>
      </w:r>
      <w:r w:rsidRPr="004248AD">
        <w:rPr>
          <w:sz w:val="20"/>
          <w:szCs w:val="20"/>
          <w:lang w:val="nl-NL"/>
        </w:rPr>
        <w:t>Ch. repr., sess. ord., 2013-2014, n° 3149/001, ci-après dénommé le projet.</w:t>
      </w:r>
    </w:p>
  </w:footnote>
  <w:footnote w:id="2">
    <w:p w14:paraId="294708D7" w14:textId="77777777" w:rsidR="00BA5F15" w:rsidRPr="004248AD" w:rsidRDefault="00BA5F15" w:rsidP="004248AD">
      <w:pPr>
        <w:pStyle w:val="Notedebasdepage"/>
        <w:jc w:val="both"/>
        <w:rPr>
          <w:sz w:val="20"/>
          <w:szCs w:val="20"/>
          <w:lang w:val="nl-NL"/>
        </w:rPr>
      </w:pPr>
      <w:r w:rsidRPr="004248AD">
        <w:rPr>
          <w:rStyle w:val="Marquenotebasdepage"/>
          <w:sz w:val="20"/>
          <w:szCs w:val="20"/>
        </w:rPr>
        <w:footnoteRef/>
      </w:r>
      <w:r w:rsidRPr="004248AD">
        <w:rPr>
          <w:sz w:val="20"/>
          <w:szCs w:val="20"/>
        </w:rPr>
        <w:t xml:space="preserve"> </w:t>
      </w:r>
      <w:r w:rsidRPr="004248AD">
        <w:rPr>
          <w:sz w:val="20"/>
          <w:szCs w:val="20"/>
          <w:lang w:val="nl-NL"/>
        </w:rPr>
        <w:t>Voy. le projet, Exposé des motifs, p. 107.</w:t>
      </w:r>
    </w:p>
  </w:footnote>
  <w:footnote w:id="3">
    <w:p w14:paraId="252AFB12" w14:textId="6519FCBE" w:rsidR="00BA5F15" w:rsidRPr="004248AD" w:rsidRDefault="00BA5F15" w:rsidP="004248AD">
      <w:pPr>
        <w:pStyle w:val="Notedebasdepage"/>
        <w:jc w:val="both"/>
        <w:rPr>
          <w:sz w:val="20"/>
          <w:szCs w:val="20"/>
          <w:lang w:val="nl-NL"/>
        </w:rPr>
      </w:pPr>
      <w:r w:rsidRPr="004248AD">
        <w:rPr>
          <w:rStyle w:val="Marquenotebasdepage"/>
          <w:sz w:val="20"/>
          <w:szCs w:val="20"/>
        </w:rPr>
        <w:footnoteRef/>
      </w:r>
      <w:r w:rsidRPr="004248AD">
        <w:rPr>
          <w:sz w:val="20"/>
          <w:szCs w:val="20"/>
        </w:rPr>
        <w:t xml:space="preserve"> </w:t>
      </w:r>
      <w:r w:rsidRPr="004248AD">
        <w:rPr>
          <w:sz w:val="20"/>
          <w:szCs w:val="20"/>
          <w:lang w:val="nl-NL"/>
        </w:rPr>
        <w:t xml:space="preserve">Voy. déjà, pour notre part, </w:t>
      </w:r>
      <w:r w:rsidRPr="004248AD">
        <w:rPr>
          <w:sz w:val="20"/>
          <w:szCs w:val="20"/>
        </w:rPr>
        <w:t xml:space="preserve">P. LECOCQ, </w:t>
      </w:r>
      <w:r w:rsidRPr="004248AD">
        <w:rPr>
          <w:i/>
          <w:sz w:val="20"/>
          <w:szCs w:val="20"/>
        </w:rPr>
        <w:t>Superficie et emphytéose</w:t>
      </w:r>
      <w:r w:rsidRPr="004248AD">
        <w:rPr>
          <w:sz w:val="20"/>
          <w:szCs w:val="20"/>
        </w:rPr>
        <w:t> </w:t>
      </w:r>
      <w:r w:rsidRPr="004248AD">
        <w:rPr>
          <w:i/>
          <w:sz w:val="20"/>
          <w:szCs w:val="20"/>
        </w:rPr>
        <w:t>: aspects civils</w:t>
      </w:r>
      <w:r w:rsidRPr="004248AD">
        <w:rPr>
          <w:sz w:val="20"/>
          <w:szCs w:val="20"/>
        </w:rPr>
        <w:t xml:space="preserve">, </w:t>
      </w:r>
      <w:r w:rsidRPr="004248AD">
        <w:rPr>
          <w:i/>
          <w:sz w:val="20"/>
          <w:szCs w:val="20"/>
        </w:rPr>
        <w:t xml:space="preserve">Guide juridique de l’entreprise, </w:t>
      </w:r>
      <w:r w:rsidRPr="004248AD">
        <w:rPr>
          <w:sz w:val="20"/>
          <w:szCs w:val="20"/>
        </w:rPr>
        <w:t>Titre III, Livre 34, Waterloo, Kluwer, 2007, n° 010, p. 7</w:t>
      </w:r>
      <w:r>
        <w:rPr>
          <w:sz w:val="20"/>
          <w:szCs w:val="20"/>
        </w:rPr>
        <w:t>.</w:t>
      </w:r>
    </w:p>
  </w:footnote>
  <w:footnote w:id="4">
    <w:p w14:paraId="7CEEA8A5" w14:textId="11F3CC71" w:rsidR="00BA5F15" w:rsidRPr="004248AD" w:rsidRDefault="00BA5F15" w:rsidP="004248AD">
      <w:pPr>
        <w:pStyle w:val="Notedebasdepage"/>
        <w:jc w:val="both"/>
        <w:rPr>
          <w:sz w:val="20"/>
          <w:szCs w:val="20"/>
          <w:lang w:val="nl-NL"/>
        </w:rPr>
      </w:pPr>
      <w:r w:rsidRPr="004248AD">
        <w:rPr>
          <w:rStyle w:val="Marquenotebasdepage"/>
          <w:sz w:val="20"/>
          <w:szCs w:val="20"/>
        </w:rPr>
        <w:footnoteRef/>
      </w:r>
      <w:r w:rsidRPr="004248AD">
        <w:rPr>
          <w:sz w:val="20"/>
          <w:szCs w:val="20"/>
        </w:rPr>
        <w:t xml:space="preserve"> </w:t>
      </w:r>
      <w:r w:rsidRPr="004248AD">
        <w:rPr>
          <w:sz w:val="20"/>
          <w:szCs w:val="20"/>
          <w:lang w:val="nl-NL"/>
        </w:rPr>
        <w:t xml:space="preserve">Voy. </w:t>
      </w:r>
      <w:r w:rsidRPr="004248AD">
        <w:rPr>
          <w:sz w:val="20"/>
          <w:szCs w:val="20"/>
        </w:rPr>
        <w:t xml:space="preserve">P. </w:t>
      </w:r>
      <w:r w:rsidRPr="004248AD">
        <w:rPr>
          <w:rStyle w:val="small"/>
          <w:sz w:val="20"/>
          <w:szCs w:val="20"/>
        </w:rPr>
        <w:t>Lecocq</w:t>
      </w:r>
      <w:r w:rsidRPr="004248AD">
        <w:rPr>
          <w:sz w:val="20"/>
          <w:szCs w:val="20"/>
        </w:rPr>
        <w:t xml:space="preserve">, « Superficie et emphytéose. Chronique de jurisprudence 2001-2008 », </w:t>
      </w:r>
      <w:r w:rsidRPr="004248AD">
        <w:rPr>
          <w:rStyle w:val="italic"/>
          <w:iCs/>
          <w:sz w:val="20"/>
          <w:szCs w:val="20"/>
        </w:rPr>
        <w:t>in Chronique de jurisprudence en droit des biens</w:t>
      </w:r>
      <w:r w:rsidRPr="004248AD">
        <w:rPr>
          <w:sz w:val="20"/>
          <w:szCs w:val="20"/>
        </w:rPr>
        <w:t xml:space="preserve"> (P. </w:t>
      </w:r>
      <w:r w:rsidRPr="004248AD">
        <w:rPr>
          <w:rStyle w:val="small"/>
          <w:sz w:val="20"/>
          <w:szCs w:val="20"/>
        </w:rPr>
        <w:t>Lecocq</w:t>
      </w:r>
      <w:r w:rsidRPr="004248AD">
        <w:rPr>
          <w:sz w:val="20"/>
          <w:szCs w:val="20"/>
        </w:rPr>
        <w:t xml:space="preserve"> dir.), CUP, v</w:t>
      </w:r>
      <w:r>
        <w:rPr>
          <w:sz w:val="20"/>
          <w:szCs w:val="20"/>
        </w:rPr>
        <w:t>ol. 104, Liège, Anthémis, 2008,</w:t>
      </w:r>
      <w:r w:rsidRPr="004248AD">
        <w:rPr>
          <w:sz w:val="20"/>
          <w:szCs w:val="20"/>
        </w:rPr>
        <w:t xml:space="preserve"> spécialement le n° 2.</w:t>
      </w:r>
    </w:p>
  </w:footnote>
  <w:footnote w:id="5">
    <w:p w14:paraId="6AC8AA3D" w14:textId="64371AA3" w:rsidR="00BA5F15" w:rsidRPr="00AF57EF" w:rsidRDefault="00BA5F15" w:rsidP="00AF57EF">
      <w:pPr>
        <w:pStyle w:val="Notedebasdepage"/>
        <w:jc w:val="both"/>
        <w:rPr>
          <w:sz w:val="20"/>
          <w:szCs w:val="20"/>
          <w:lang w:val="nl-NL"/>
        </w:rPr>
      </w:pPr>
      <w:r w:rsidRPr="00AF57EF">
        <w:rPr>
          <w:rStyle w:val="Marquenotebasdepage"/>
          <w:sz w:val="20"/>
          <w:szCs w:val="20"/>
        </w:rPr>
        <w:footnoteRef/>
      </w:r>
      <w:r w:rsidRPr="00AF57EF">
        <w:rPr>
          <w:sz w:val="20"/>
          <w:szCs w:val="20"/>
        </w:rPr>
        <w:t xml:space="preserve"> Voy., not., en France, où est admise la théorie des volumes perpétuels, H. </w:t>
      </w:r>
      <w:r w:rsidRPr="00AF57EF">
        <w:rPr>
          <w:rStyle w:val="small"/>
          <w:sz w:val="20"/>
          <w:szCs w:val="20"/>
        </w:rPr>
        <w:t>Perinet</w:t>
      </w:r>
      <w:r w:rsidRPr="00AF57EF">
        <w:rPr>
          <w:sz w:val="20"/>
          <w:szCs w:val="20"/>
        </w:rPr>
        <w:t>-</w:t>
      </w:r>
      <w:r w:rsidRPr="00AF57EF">
        <w:rPr>
          <w:rStyle w:val="small"/>
          <w:sz w:val="20"/>
          <w:szCs w:val="20"/>
        </w:rPr>
        <w:t>Marquet</w:t>
      </w:r>
      <w:r w:rsidRPr="00AF57EF">
        <w:rPr>
          <w:sz w:val="20"/>
          <w:szCs w:val="20"/>
        </w:rPr>
        <w:t xml:space="preserve">, « Actualités de la dissociation des droits sur le sol en droit privé », </w:t>
      </w:r>
      <w:r w:rsidRPr="00AF57EF">
        <w:rPr>
          <w:rStyle w:val="italic"/>
          <w:iCs/>
          <w:sz w:val="20"/>
          <w:szCs w:val="20"/>
        </w:rPr>
        <w:t xml:space="preserve">R.D.I., </w:t>
      </w:r>
      <w:r w:rsidRPr="00AF57EF">
        <w:rPr>
          <w:sz w:val="20"/>
          <w:szCs w:val="20"/>
        </w:rPr>
        <w:t>2009/1, p. 16 ; voy., en droit belge, N.</w:t>
      </w:r>
      <w:r>
        <w:rPr>
          <w:sz w:val="20"/>
          <w:szCs w:val="20"/>
        </w:rPr>
        <w:t> </w:t>
      </w:r>
      <w:r w:rsidRPr="00AF57EF">
        <w:rPr>
          <w:rStyle w:val="small"/>
          <w:sz w:val="20"/>
          <w:szCs w:val="20"/>
        </w:rPr>
        <w:t>Verheyden-Jeanmart</w:t>
      </w:r>
      <w:r w:rsidRPr="00AF57EF">
        <w:rPr>
          <w:sz w:val="20"/>
          <w:szCs w:val="20"/>
        </w:rPr>
        <w:t xml:space="preserve">, « De la propriété », </w:t>
      </w:r>
      <w:r w:rsidRPr="00AF57EF">
        <w:rPr>
          <w:rStyle w:val="italic"/>
          <w:iCs/>
          <w:sz w:val="20"/>
          <w:szCs w:val="20"/>
        </w:rPr>
        <w:t xml:space="preserve">J.T., </w:t>
      </w:r>
      <w:r w:rsidRPr="00AF57EF">
        <w:rPr>
          <w:sz w:val="20"/>
          <w:szCs w:val="20"/>
        </w:rPr>
        <w:t>2004, p. 279, à l’occasion du bicentaire du Code civil ; P.</w:t>
      </w:r>
      <w:r>
        <w:rPr>
          <w:sz w:val="20"/>
          <w:szCs w:val="20"/>
        </w:rPr>
        <w:t> </w:t>
      </w:r>
      <w:r w:rsidRPr="00AF57EF">
        <w:rPr>
          <w:rStyle w:val="small"/>
          <w:sz w:val="20"/>
          <w:szCs w:val="20"/>
        </w:rPr>
        <w:t>Lecocq</w:t>
      </w:r>
      <w:r w:rsidRPr="00AF57EF">
        <w:rPr>
          <w:sz w:val="20"/>
          <w:szCs w:val="20"/>
        </w:rPr>
        <w:t xml:space="preserve">, « Superficie, emphytéose et constructions », </w:t>
      </w:r>
      <w:r w:rsidRPr="00AF57EF">
        <w:rPr>
          <w:rStyle w:val="italic"/>
          <w:iCs/>
          <w:sz w:val="20"/>
          <w:szCs w:val="20"/>
        </w:rPr>
        <w:t xml:space="preserve">in Droit des biens/Zakenrecht, </w:t>
      </w:r>
      <w:r w:rsidRPr="00AF57EF">
        <w:rPr>
          <w:sz w:val="20"/>
          <w:szCs w:val="20"/>
        </w:rPr>
        <w:t>Bruges/Bruxelles, Die Keure/La charte, 2005, pp. 286 et s., spéc. n</w:t>
      </w:r>
      <w:r w:rsidRPr="00AF57EF">
        <w:rPr>
          <w:rStyle w:val="sup"/>
          <w:sz w:val="20"/>
          <w:szCs w:val="20"/>
        </w:rPr>
        <w:t>os</w:t>
      </w:r>
      <w:r w:rsidRPr="00AF57EF">
        <w:rPr>
          <w:sz w:val="20"/>
          <w:szCs w:val="20"/>
        </w:rPr>
        <w:t xml:space="preserve"> 16 à 20 ; N. </w:t>
      </w:r>
      <w:r w:rsidRPr="00AF57EF">
        <w:rPr>
          <w:rStyle w:val="small"/>
          <w:sz w:val="20"/>
          <w:szCs w:val="20"/>
        </w:rPr>
        <w:t xml:space="preserve">Verheyden-jeanmart </w:t>
      </w:r>
      <w:r w:rsidRPr="00AF57EF">
        <w:rPr>
          <w:sz w:val="20"/>
          <w:szCs w:val="20"/>
        </w:rPr>
        <w:t xml:space="preserve">et P.-P. </w:t>
      </w:r>
      <w:r w:rsidRPr="00AF57EF">
        <w:rPr>
          <w:rStyle w:val="small"/>
          <w:sz w:val="20"/>
          <w:szCs w:val="20"/>
        </w:rPr>
        <w:t xml:space="preserve">Renson, </w:t>
      </w:r>
      <w:r w:rsidRPr="00AF57EF">
        <w:rPr>
          <w:sz w:val="20"/>
          <w:szCs w:val="20"/>
        </w:rPr>
        <w:t xml:space="preserve">« La propriété et les enjeux urbanistiques du troisième millénaire. La propriété des volumes » </w:t>
      </w:r>
      <w:r w:rsidRPr="00AF57EF">
        <w:rPr>
          <w:rStyle w:val="italic"/>
          <w:iCs/>
          <w:sz w:val="20"/>
          <w:szCs w:val="20"/>
        </w:rPr>
        <w:t>in Le Code civil entre ius commune et droit privé européen. Etudes réunies et présentées par A. Wijffels</w:t>
      </w:r>
      <w:r w:rsidRPr="00AF57EF">
        <w:rPr>
          <w:sz w:val="20"/>
          <w:szCs w:val="20"/>
        </w:rPr>
        <w:t xml:space="preserve">, Bruxelles, Bruylant, 2005, pp. 333 à 358 ; P.-P. </w:t>
      </w:r>
      <w:r w:rsidRPr="00AF57EF">
        <w:rPr>
          <w:rStyle w:val="small"/>
          <w:sz w:val="20"/>
          <w:szCs w:val="20"/>
        </w:rPr>
        <w:t>Renson</w:t>
      </w:r>
      <w:r w:rsidRPr="00AF57EF">
        <w:rPr>
          <w:sz w:val="20"/>
          <w:szCs w:val="20"/>
        </w:rPr>
        <w:t xml:space="preserve">, « Les limites verticales de la propriété immobilière et l’accession », </w:t>
      </w:r>
      <w:r w:rsidRPr="00AF57EF">
        <w:rPr>
          <w:rStyle w:val="italic"/>
          <w:iCs/>
          <w:sz w:val="20"/>
          <w:szCs w:val="20"/>
        </w:rPr>
        <w:t xml:space="preserve">R.G.D.C., </w:t>
      </w:r>
      <w:r w:rsidRPr="00AF57EF">
        <w:rPr>
          <w:sz w:val="20"/>
          <w:szCs w:val="20"/>
        </w:rPr>
        <w:t xml:space="preserve">2006, p. 328 ; V. </w:t>
      </w:r>
      <w:r w:rsidRPr="00AF57EF">
        <w:rPr>
          <w:rStyle w:val="small"/>
          <w:sz w:val="20"/>
          <w:szCs w:val="20"/>
        </w:rPr>
        <w:t>Sagaert</w:t>
      </w:r>
      <w:r w:rsidRPr="00AF57EF">
        <w:rPr>
          <w:sz w:val="20"/>
          <w:szCs w:val="20"/>
        </w:rPr>
        <w:t xml:space="preserve">, « Volume-eigendom ; een verkenning van de verticale begrenzing van onroerende eigendom », </w:t>
      </w:r>
      <w:r w:rsidRPr="00AF57EF">
        <w:rPr>
          <w:rStyle w:val="italic"/>
          <w:iCs/>
          <w:sz w:val="20"/>
          <w:szCs w:val="20"/>
        </w:rPr>
        <w:t xml:space="preserve">T.P.R., </w:t>
      </w:r>
      <w:r w:rsidRPr="00AF57EF">
        <w:rPr>
          <w:sz w:val="20"/>
          <w:szCs w:val="20"/>
        </w:rPr>
        <w:t xml:space="preserve">2009, p. 21 ; voy. aussi, de façon générale, sur l’évolution du droit immobilier, J.-L. </w:t>
      </w:r>
      <w:r w:rsidRPr="00AF57EF">
        <w:rPr>
          <w:rStyle w:val="small"/>
          <w:sz w:val="20"/>
          <w:szCs w:val="20"/>
        </w:rPr>
        <w:t>Bergel</w:t>
      </w:r>
      <w:r w:rsidRPr="00AF57EF">
        <w:rPr>
          <w:sz w:val="20"/>
          <w:szCs w:val="20"/>
        </w:rPr>
        <w:t>, « Paradoxes du droit immobilier français à la fin du XX</w:t>
      </w:r>
      <w:r w:rsidRPr="00AF57EF">
        <w:rPr>
          <w:rStyle w:val="sup"/>
          <w:sz w:val="20"/>
          <w:szCs w:val="20"/>
        </w:rPr>
        <w:t>e</w:t>
      </w:r>
      <w:r w:rsidRPr="00AF57EF">
        <w:rPr>
          <w:sz w:val="20"/>
          <w:szCs w:val="20"/>
        </w:rPr>
        <w:t xml:space="preserve"> siècle », </w:t>
      </w:r>
      <w:r w:rsidRPr="00AF57EF">
        <w:rPr>
          <w:rStyle w:val="italic"/>
          <w:iCs/>
          <w:sz w:val="20"/>
          <w:szCs w:val="20"/>
        </w:rPr>
        <w:t xml:space="preserve">in Etudes offertes à Pierre Catala, </w:t>
      </w:r>
      <w:r w:rsidRPr="00AF57EF">
        <w:rPr>
          <w:sz w:val="20"/>
          <w:szCs w:val="20"/>
        </w:rPr>
        <w:t>Paris, Litec, 2001, pp. 641 et s.</w:t>
      </w:r>
    </w:p>
  </w:footnote>
  <w:footnote w:id="6">
    <w:p w14:paraId="2F37E05F" w14:textId="77777777" w:rsidR="00BA5F15" w:rsidRPr="001B7D77" w:rsidRDefault="00BA5F15" w:rsidP="001B7D77">
      <w:pPr>
        <w:pStyle w:val="Notedebasdepage"/>
        <w:jc w:val="both"/>
        <w:rPr>
          <w:sz w:val="20"/>
          <w:szCs w:val="20"/>
          <w:lang w:val="nl-NL"/>
        </w:rPr>
      </w:pPr>
      <w:r w:rsidRPr="001B7D77">
        <w:rPr>
          <w:rStyle w:val="Marquenotebasdepage"/>
          <w:sz w:val="20"/>
          <w:szCs w:val="20"/>
        </w:rPr>
        <w:footnoteRef/>
      </w:r>
      <w:r w:rsidRPr="001B7D77">
        <w:rPr>
          <w:sz w:val="20"/>
          <w:szCs w:val="20"/>
        </w:rPr>
        <w:t xml:space="preserve"> </w:t>
      </w:r>
      <w:r w:rsidRPr="001B7D77">
        <w:rPr>
          <w:sz w:val="20"/>
          <w:szCs w:val="20"/>
          <w:lang w:val="nl-NL"/>
        </w:rPr>
        <w:t>Voy., réc., sur le</w:t>
      </w:r>
      <w:r>
        <w:rPr>
          <w:sz w:val="20"/>
          <w:szCs w:val="20"/>
          <w:lang w:val="nl-NL"/>
        </w:rPr>
        <w:t>s c</w:t>
      </w:r>
      <w:r w:rsidRPr="001B7D77">
        <w:rPr>
          <w:sz w:val="20"/>
          <w:szCs w:val="20"/>
          <w:lang w:val="nl-NL"/>
        </w:rPr>
        <w:t xml:space="preserve">onceptions et les évolutions du droit de propriété, J.-L. BERGEL, “Aperçu comparatiste du droit de propriété”, </w:t>
      </w:r>
      <w:r w:rsidRPr="001B7D77">
        <w:rPr>
          <w:i/>
          <w:sz w:val="20"/>
          <w:szCs w:val="20"/>
          <w:lang w:val="nl-NL"/>
        </w:rPr>
        <w:t>in Liber Amicorum, Mélanges en l’honneur de Camille Jauffret-Spinosi</w:t>
      </w:r>
      <w:r w:rsidRPr="001B7D77">
        <w:rPr>
          <w:sz w:val="20"/>
          <w:szCs w:val="20"/>
          <w:lang w:val="nl-NL"/>
        </w:rPr>
        <w:t>, Paris, Dalloz, 2013, pp. 103 à 113.</w:t>
      </w:r>
    </w:p>
  </w:footnote>
  <w:footnote w:id="7">
    <w:p w14:paraId="2906B7B1" w14:textId="77777777" w:rsidR="00BA5F15" w:rsidRPr="00EB3F75" w:rsidRDefault="00BA5F15" w:rsidP="00B055C4">
      <w:pPr>
        <w:pStyle w:val="Notedebasdepage"/>
        <w:rPr>
          <w:sz w:val="20"/>
          <w:szCs w:val="20"/>
          <w:lang w:val="nl-NL"/>
        </w:rPr>
      </w:pPr>
      <w:r w:rsidRPr="00EB3F75">
        <w:rPr>
          <w:rStyle w:val="Marquenotebasdepage"/>
          <w:sz w:val="20"/>
          <w:szCs w:val="20"/>
        </w:rPr>
        <w:footnoteRef/>
      </w:r>
      <w:r w:rsidRPr="00EB3F75">
        <w:rPr>
          <w:sz w:val="20"/>
          <w:szCs w:val="20"/>
        </w:rPr>
        <w:t xml:space="preserve"> </w:t>
      </w:r>
      <w:r w:rsidRPr="00EB3F75">
        <w:rPr>
          <w:sz w:val="20"/>
          <w:szCs w:val="20"/>
          <w:lang w:val="nl-NL"/>
        </w:rPr>
        <w:t xml:space="preserve">Voy. </w:t>
      </w:r>
      <w:r w:rsidRPr="00EB3F75">
        <w:rPr>
          <w:i/>
          <w:sz w:val="20"/>
          <w:szCs w:val="20"/>
          <w:lang w:val="nl-NL"/>
        </w:rPr>
        <w:t xml:space="preserve">infra </w:t>
      </w:r>
      <w:r w:rsidRPr="00EB3F75">
        <w:rPr>
          <w:sz w:val="20"/>
          <w:szCs w:val="20"/>
          <w:lang w:val="nl-NL"/>
        </w:rPr>
        <w:t>le § 4.</w:t>
      </w:r>
    </w:p>
  </w:footnote>
  <w:footnote w:id="8">
    <w:p w14:paraId="18F33DD8" w14:textId="573D9605" w:rsidR="00BA5F15" w:rsidRPr="003A63A5" w:rsidRDefault="00BA5F15">
      <w:pPr>
        <w:pStyle w:val="Notedebasdepage"/>
        <w:rPr>
          <w:sz w:val="20"/>
          <w:szCs w:val="20"/>
          <w:lang w:val="nl-NL"/>
        </w:rPr>
      </w:pPr>
      <w:r w:rsidRPr="003A63A5">
        <w:rPr>
          <w:rStyle w:val="Marquenotebasdepage"/>
          <w:sz w:val="20"/>
          <w:szCs w:val="20"/>
        </w:rPr>
        <w:footnoteRef/>
      </w:r>
      <w:r w:rsidRPr="003A63A5">
        <w:rPr>
          <w:sz w:val="20"/>
          <w:szCs w:val="20"/>
        </w:rPr>
        <w:t xml:space="preserve"> </w:t>
      </w:r>
      <w:r w:rsidRPr="003A63A5">
        <w:rPr>
          <w:sz w:val="20"/>
          <w:szCs w:val="20"/>
          <w:lang w:val="nl-NL"/>
        </w:rPr>
        <w:t>A condition de réserver la superficie au sur</w:t>
      </w:r>
      <w:r>
        <w:rPr>
          <w:sz w:val="20"/>
          <w:szCs w:val="20"/>
          <w:lang w:val="nl-NL"/>
        </w:rPr>
        <w:t>-sol (voy. sur ce point la suit</w:t>
      </w:r>
      <w:r w:rsidRPr="003A63A5">
        <w:rPr>
          <w:sz w:val="20"/>
          <w:szCs w:val="20"/>
          <w:lang w:val="nl-NL"/>
        </w:rPr>
        <w:t>e</w:t>
      </w:r>
      <w:r>
        <w:rPr>
          <w:sz w:val="20"/>
          <w:szCs w:val="20"/>
          <w:lang w:val="nl-NL"/>
        </w:rPr>
        <w:t xml:space="preserve"> </w:t>
      </w:r>
      <w:r w:rsidRPr="003A63A5">
        <w:rPr>
          <w:sz w:val="20"/>
          <w:szCs w:val="20"/>
          <w:lang w:val="nl-NL"/>
        </w:rPr>
        <w:t xml:space="preserve">du texte). </w:t>
      </w:r>
    </w:p>
  </w:footnote>
  <w:footnote w:id="9">
    <w:p w14:paraId="6F0439E4" w14:textId="06AEBD34" w:rsidR="00BA5F15" w:rsidRPr="00DF6EC7" w:rsidRDefault="00BA5F15" w:rsidP="005165C9">
      <w:pPr>
        <w:pStyle w:val="Notedebasdepage"/>
        <w:jc w:val="both"/>
        <w:rPr>
          <w:sz w:val="20"/>
          <w:szCs w:val="20"/>
        </w:rPr>
      </w:pPr>
      <w:r w:rsidRPr="00DF6EC7">
        <w:rPr>
          <w:rStyle w:val="Marquenotebasdepage"/>
          <w:sz w:val="20"/>
          <w:szCs w:val="20"/>
        </w:rPr>
        <w:footnoteRef/>
      </w:r>
      <w:r w:rsidRPr="00DF6EC7">
        <w:rPr>
          <w:sz w:val="20"/>
          <w:szCs w:val="20"/>
        </w:rPr>
        <w:t xml:space="preserve"> Voy., sur cette question, J. HANSENNE, </w:t>
      </w:r>
      <w:r w:rsidRPr="00CF0094">
        <w:rPr>
          <w:i/>
          <w:sz w:val="20"/>
          <w:szCs w:val="20"/>
        </w:rPr>
        <w:t>Précis, Les biens,</w:t>
      </w:r>
      <w:r w:rsidRPr="00DF6EC7">
        <w:rPr>
          <w:sz w:val="20"/>
          <w:szCs w:val="20"/>
        </w:rPr>
        <w:t xml:space="preserve"> </w:t>
      </w:r>
      <w:r w:rsidRPr="00DF6EC7">
        <w:rPr>
          <w:i/>
          <w:sz w:val="20"/>
          <w:szCs w:val="20"/>
        </w:rPr>
        <w:t>op. cit.</w:t>
      </w:r>
      <w:r w:rsidRPr="00DF6EC7">
        <w:rPr>
          <w:sz w:val="20"/>
          <w:szCs w:val="20"/>
        </w:rPr>
        <w:t>, Ed. Collection Scientifique de la Faculté de Droit de Liège, 1996</w:t>
      </w:r>
      <w:r>
        <w:rPr>
          <w:sz w:val="20"/>
          <w:szCs w:val="20"/>
        </w:rPr>
        <w:t>, t . II,</w:t>
      </w:r>
      <w:r w:rsidRPr="00DF6EC7">
        <w:rPr>
          <w:sz w:val="20"/>
          <w:szCs w:val="20"/>
        </w:rPr>
        <w:t xml:space="preserve"> n°1239, spécialement la note (52) et les références y citées ; J.M. CHANDELLE,</w:t>
      </w:r>
      <w:r w:rsidRPr="00DF6EC7">
        <w:rPr>
          <w:i/>
          <w:sz w:val="20"/>
          <w:szCs w:val="20"/>
        </w:rPr>
        <w:t xml:space="preserve"> R .P .D .B .,</w:t>
      </w:r>
      <w:r w:rsidRPr="00DF6EC7">
        <w:rPr>
          <w:sz w:val="20"/>
          <w:szCs w:val="20"/>
        </w:rPr>
        <w:t xml:space="preserve"> Complément VII, Bruylant, Bruxelles, 1990, v° Superficie, note (4), n° 82 ; R. DERINE, F. VAN NESTE et H. VANDENBERGHE, </w:t>
      </w:r>
      <w:r w:rsidRPr="00DF6EC7">
        <w:rPr>
          <w:i/>
          <w:sz w:val="20"/>
          <w:szCs w:val="20"/>
        </w:rPr>
        <w:t>Beginselen van Belgisch Privaatrecht, Zakenrecht</w:t>
      </w:r>
      <w:r w:rsidRPr="00DF6EC7">
        <w:rPr>
          <w:sz w:val="20"/>
          <w:szCs w:val="20"/>
        </w:rPr>
        <w:t>, Deel, II, A, Story-Scientia, 1984, n°s 1022 et 1024.</w:t>
      </w:r>
    </w:p>
  </w:footnote>
  <w:footnote w:id="10">
    <w:p w14:paraId="102DE3A1" w14:textId="78014423" w:rsidR="00BA5F15" w:rsidRPr="00DF6EC7" w:rsidRDefault="00BA5F15" w:rsidP="005165C9">
      <w:pPr>
        <w:pStyle w:val="Notedebasdepage"/>
        <w:jc w:val="both"/>
        <w:rPr>
          <w:sz w:val="20"/>
          <w:szCs w:val="20"/>
        </w:rPr>
      </w:pPr>
      <w:r w:rsidRPr="00DF6EC7">
        <w:rPr>
          <w:rStyle w:val="Marquenotebasdepage"/>
          <w:sz w:val="20"/>
          <w:szCs w:val="20"/>
        </w:rPr>
        <w:footnoteRef/>
      </w:r>
      <w:r w:rsidRPr="00DF6EC7">
        <w:rPr>
          <w:sz w:val="20"/>
          <w:szCs w:val="20"/>
        </w:rPr>
        <w:t xml:space="preserve"> Nous soulignerons que l’expression « </w:t>
      </w:r>
      <w:r w:rsidRPr="00DF6EC7">
        <w:rPr>
          <w:b/>
          <w:sz w:val="20"/>
          <w:szCs w:val="20"/>
        </w:rPr>
        <w:t>sur</w:t>
      </w:r>
      <w:r w:rsidRPr="00DF6EC7">
        <w:rPr>
          <w:sz w:val="20"/>
          <w:szCs w:val="20"/>
        </w:rPr>
        <w:t xml:space="preserve"> un fonds appartenant à autrui » pourrait ne pas être considérée comme déterminante à elle seule lorsque l’on songe aux extensions, en matière de canalisations souterraines, dont a fait l’objet </w:t>
      </w:r>
      <w:r>
        <w:rPr>
          <w:sz w:val="20"/>
          <w:szCs w:val="20"/>
        </w:rPr>
        <w:t xml:space="preserve">la servitude </w:t>
      </w:r>
      <w:r w:rsidRPr="00DF6EC7">
        <w:rPr>
          <w:sz w:val="20"/>
          <w:szCs w:val="20"/>
        </w:rPr>
        <w:t>légal</w:t>
      </w:r>
      <w:r>
        <w:rPr>
          <w:sz w:val="20"/>
          <w:szCs w:val="20"/>
        </w:rPr>
        <w:t>e</w:t>
      </w:r>
      <w:r w:rsidRPr="00DF6EC7">
        <w:rPr>
          <w:sz w:val="20"/>
          <w:szCs w:val="20"/>
        </w:rPr>
        <w:t xml:space="preserve"> pour cause d’enclave. En effet, malgré l’utilisation à l’article 682 </w:t>
      </w:r>
      <w:r>
        <w:rPr>
          <w:sz w:val="20"/>
          <w:szCs w:val="20"/>
        </w:rPr>
        <w:t>du Code civil</w:t>
      </w:r>
      <w:r w:rsidRPr="00DF6EC7">
        <w:rPr>
          <w:sz w:val="20"/>
          <w:szCs w:val="20"/>
        </w:rPr>
        <w:t xml:space="preserve"> </w:t>
      </w:r>
      <w:r>
        <w:rPr>
          <w:sz w:val="20"/>
          <w:szCs w:val="20"/>
        </w:rPr>
        <w:t xml:space="preserve">des mots </w:t>
      </w:r>
      <w:r w:rsidRPr="00DF6EC7">
        <w:rPr>
          <w:sz w:val="20"/>
          <w:szCs w:val="20"/>
        </w:rPr>
        <w:t xml:space="preserve">« (…) un passage sur le fonds de ses voisins », </w:t>
      </w:r>
      <w:r>
        <w:rPr>
          <w:sz w:val="20"/>
          <w:szCs w:val="20"/>
        </w:rPr>
        <w:t>la Cour de cassation a</w:t>
      </w:r>
      <w:r w:rsidRPr="00DF6EC7">
        <w:rPr>
          <w:sz w:val="20"/>
          <w:szCs w:val="20"/>
        </w:rPr>
        <w:t xml:space="preserve"> d</w:t>
      </w:r>
      <w:r>
        <w:rPr>
          <w:sz w:val="20"/>
          <w:szCs w:val="20"/>
        </w:rPr>
        <w:t>écidé</w:t>
      </w:r>
      <w:r w:rsidRPr="00DF6EC7">
        <w:rPr>
          <w:sz w:val="20"/>
          <w:szCs w:val="20"/>
        </w:rPr>
        <w:t xml:space="preserve"> que l’article 682, § 1er, du Code civil n'exclut pas que le propriétaire d'un fonds enclavé puisse obtenir le passage, dans le fonds voisin, de canalisations souterraines, pour l'utilisation normale de sa propriété d'après sa</w:t>
      </w:r>
      <w:r w:rsidRPr="00DF6EC7">
        <w:rPr>
          <w:b/>
          <w:i/>
          <w:sz w:val="20"/>
          <w:szCs w:val="20"/>
        </w:rPr>
        <w:t xml:space="preserve"> </w:t>
      </w:r>
      <w:r w:rsidRPr="00DF6EC7">
        <w:rPr>
          <w:sz w:val="20"/>
          <w:szCs w:val="20"/>
        </w:rPr>
        <w:t xml:space="preserve">destination, et ce indépendamment de tout passage en surface (voy. Cass., 1er mars 1996, </w:t>
      </w:r>
      <w:r w:rsidRPr="004D58EC">
        <w:rPr>
          <w:i/>
          <w:sz w:val="20"/>
          <w:szCs w:val="20"/>
        </w:rPr>
        <w:t>R.C.J.B.,</w:t>
      </w:r>
      <w:r>
        <w:rPr>
          <w:sz w:val="20"/>
          <w:szCs w:val="20"/>
        </w:rPr>
        <w:t xml:space="preserve"> 1997, pp. 480 à 494, </w:t>
      </w:r>
      <w:r w:rsidRPr="00DF6EC7">
        <w:rPr>
          <w:sz w:val="20"/>
          <w:szCs w:val="20"/>
        </w:rPr>
        <w:t>note P . LECOCQ,"L'article 682, al. 1er, du Code civil et la pose de canalisations souterraines. De la victoire de la nécessité sur la propriété").</w:t>
      </w:r>
    </w:p>
  </w:footnote>
  <w:footnote w:id="11">
    <w:p w14:paraId="4B825E72" w14:textId="77777777" w:rsidR="00BA5F15" w:rsidRPr="001F4318" w:rsidRDefault="00BA5F15" w:rsidP="005165C9">
      <w:pPr>
        <w:pStyle w:val="Notedebasdepage"/>
        <w:jc w:val="both"/>
        <w:rPr>
          <w:sz w:val="20"/>
          <w:szCs w:val="20"/>
        </w:rPr>
      </w:pPr>
      <w:r w:rsidRPr="001F4318">
        <w:rPr>
          <w:rStyle w:val="Marquenotebasdepage"/>
          <w:sz w:val="20"/>
          <w:szCs w:val="20"/>
        </w:rPr>
        <w:footnoteRef/>
      </w:r>
      <w:r w:rsidRPr="001F4318">
        <w:rPr>
          <w:sz w:val="20"/>
          <w:szCs w:val="20"/>
        </w:rPr>
        <w:t xml:space="preserve"> Voy. R. SAVATIER, « La propriété des volumes dans l’espace et la technique juridique des grands ensembles immobiliers », </w:t>
      </w:r>
      <w:r w:rsidRPr="001F4318">
        <w:rPr>
          <w:i/>
          <w:sz w:val="20"/>
          <w:szCs w:val="20"/>
        </w:rPr>
        <w:t>Dalloz</w:t>
      </w:r>
      <w:r w:rsidRPr="001F4318">
        <w:rPr>
          <w:sz w:val="20"/>
          <w:szCs w:val="20"/>
        </w:rPr>
        <w:t>, 1976, pp. 103 et s., spécialement n° 6, p. 105.</w:t>
      </w:r>
    </w:p>
  </w:footnote>
  <w:footnote w:id="12">
    <w:p w14:paraId="636E15C7" w14:textId="08B2E481" w:rsidR="00BA5F15" w:rsidRPr="00DF6EC7" w:rsidRDefault="00BA5F15" w:rsidP="005165C9">
      <w:pPr>
        <w:pStyle w:val="Notedebasdepage"/>
        <w:jc w:val="both"/>
        <w:rPr>
          <w:sz w:val="20"/>
          <w:szCs w:val="20"/>
          <w:lang w:val="nl-NL"/>
        </w:rPr>
      </w:pPr>
      <w:r w:rsidRPr="00DF6EC7">
        <w:rPr>
          <w:rStyle w:val="Marquenotebasdepage"/>
          <w:sz w:val="20"/>
          <w:szCs w:val="20"/>
        </w:rPr>
        <w:footnoteRef/>
      </w:r>
      <w:r w:rsidRPr="00DF6EC7">
        <w:rPr>
          <w:sz w:val="20"/>
          <w:szCs w:val="20"/>
        </w:rPr>
        <w:t xml:space="preserve"> </w:t>
      </w:r>
      <w:r w:rsidRPr="00DF6EC7">
        <w:rPr>
          <w:sz w:val="20"/>
          <w:szCs w:val="20"/>
          <w:lang w:val="nl-NL"/>
        </w:rPr>
        <w:t xml:space="preserve">Voy., not., </w:t>
      </w:r>
      <w:r>
        <w:rPr>
          <w:sz w:val="20"/>
          <w:szCs w:val="20"/>
          <w:lang w:val="nl-NL"/>
        </w:rPr>
        <w:t xml:space="preserve">M. STORME, </w:t>
      </w:r>
      <w:r w:rsidRPr="00AA40C3">
        <w:rPr>
          <w:i/>
          <w:sz w:val="20"/>
          <w:szCs w:val="20"/>
          <w:lang w:val="nl-NL"/>
        </w:rPr>
        <w:t>Erfpacht en opstalrecht</w:t>
      </w:r>
      <w:r>
        <w:rPr>
          <w:sz w:val="20"/>
          <w:szCs w:val="20"/>
          <w:lang w:val="nl-NL"/>
        </w:rPr>
        <w:t xml:space="preserve"> (éd. 2013), sur </w:t>
      </w:r>
      <w:hyperlink r:id="rId1" w:history="1">
        <w:r w:rsidRPr="00133C30">
          <w:rPr>
            <w:rStyle w:val="Lienhypertexte"/>
            <w:sz w:val="20"/>
            <w:szCs w:val="20"/>
            <w:lang w:val="nl-NL"/>
          </w:rPr>
          <w:t>http://www.storme.be/ZCR-erfpachtopstal.pdf</w:t>
        </w:r>
      </w:hyperlink>
      <w:r>
        <w:rPr>
          <w:sz w:val="20"/>
          <w:szCs w:val="20"/>
          <w:lang w:val="nl-NL"/>
        </w:rPr>
        <w:t>, spéc. p. 35, visant des constructions souterraines.</w:t>
      </w:r>
    </w:p>
  </w:footnote>
  <w:footnote w:id="13">
    <w:p w14:paraId="737DECB1" w14:textId="5EBBA702" w:rsidR="00BA5F15" w:rsidRPr="001F4318" w:rsidRDefault="00BA5F15">
      <w:pPr>
        <w:pStyle w:val="Notedebasdepage"/>
        <w:rPr>
          <w:sz w:val="20"/>
          <w:szCs w:val="20"/>
          <w:lang w:val="nl-NL"/>
        </w:rPr>
      </w:pPr>
      <w:r w:rsidRPr="001F4318">
        <w:rPr>
          <w:rStyle w:val="Marquenotebasdepage"/>
          <w:sz w:val="20"/>
          <w:szCs w:val="20"/>
        </w:rPr>
        <w:footnoteRef/>
      </w:r>
      <w:r w:rsidRPr="001F4318">
        <w:rPr>
          <w:sz w:val="20"/>
          <w:szCs w:val="20"/>
        </w:rPr>
        <w:t xml:space="preserve"> </w:t>
      </w:r>
      <w:r w:rsidRPr="001F4318">
        <w:rPr>
          <w:sz w:val="20"/>
          <w:szCs w:val="20"/>
          <w:lang w:val="nl-NL"/>
        </w:rPr>
        <w:t>Comp. ci-après Cass., 13 septembre 2013, commenté au § 4.</w:t>
      </w:r>
    </w:p>
  </w:footnote>
  <w:footnote w:id="14">
    <w:p w14:paraId="0DA759E2" w14:textId="77777777" w:rsidR="00BA5F15" w:rsidRPr="00DF6EC7" w:rsidRDefault="00BA5F15" w:rsidP="007013B0">
      <w:pPr>
        <w:pStyle w:val="Notedebasdepage"/>
        <w:jc w:val="both"/>
        <w:rPr>
          <w:sz w:val="20"/>
          <w:szCs w:val="20"/>
        </w:rPr>
      </w:pPr>
      <w:r w:rsidRPr="00DF6EC7">
        <w:rPr>
          <w:rStyle w:val="Marquenotebasdepage"/>
          <w:sz w:val="20"/>
          <w:szCs w:val="20"/>
        </w:rPr>
        <w:footnoteRef/>
      </w:r>
      <w:r w:rsidRPr="00DF6EC7">
        <w:rPr>
          <w:sz w:val="20"/>
          <w:szCs w:val="20"/>
        </w:rPr>
        <w:t xml:space="preserve"> Le dictionnaire van Dale, Groot woordenboek, 2</w:t>
      </w:r>
      <w:r w:rsidRPr="00DF6EC7">
        <w:rPr>
          <w:sz w:val="20"/>
          <w:szCs w:val="20"/>
          <w:vertAlign w:val="superscript"/>
        </w:rPr>
        <w:t>e</w:t>
      </w:r>
      <w:r w:rsidRPr="00DF6EC7">
        <w:rPr>
          <w:sz w:val="20"/>
          <w:szCs w:val="20"/>
        </w:rPr>
        <w:t xml:space="preserve"> éd., 1991, Utrecht/Antwerpen, donne du mot « grond » les traductions suivantes : terre, terrain, sol et le dictionnaire juridique T.M.C. Asser Instituut, Maarten Kluwer’s, Amsterdam/Antwerpen, 1978, le traduit, pareillement, par sol, terrain.</w:t>
      </w:r>
    </w:p>
  </w:footnote>
  <w:footnote w:id="15">
    <w:p w14:paraId="682FDD82" w14:textId="3C8746D1" w:rsidR="00BA5F15" w:rsidRPr="00CF0094" w:rsidRDefault="00BA5F15" w:rsidP="007013B0">
      <w:pPr>
        <w:pStyle w:val="Notedebasdepage"/>
        <w:jc w:val="both"/>
        <w:rPr>
          <w:sz w:val="20"/>
          <w:szCs w:val="20"/>
        </w:rPr>
      </w:pPr>
      <w:r w:rsidRPr="00CF0094">
        <w:rPr>
          <w:rStyle w:val="Marquenotebasdepage"/>
          <w:sz w:val="20"/>
          <w:szCs w:val="20"/>
        </w:rPr>
        <w:footnoteRef/>
      </w:r>
      <w:r>
        <w:rPr>
          <w:sz w:val="20"/>
          <w:szCs w:val="20"/>
        </w:rPr>
        <w:t xml:space="preserve"> A</w:t>
      </w:r>
      <w:r w:rsidRPr="00CF0094">
        <w:rPr>
          <w:sz w:val="20"/>
          <w:szCs w:val="20"/>
        </w:rPr>
        <w:t xml:space="preserve"> strictement parler le tréfoncier ne serait propriétaire que du sous-sol. L’appellation est malencontreuse puisqu’elle trahit la réalité juridique (voy., not., J.-M. CHANDELLE, </w:t>
      </w:r>
      <w:r w:rsidRPr="00CF0094">
        <w:rPr>
          <w:i/>
          <w:sz w:val="20"/>
          <w:szCs w:val="20"/>
        </w:rPr>
        <w:t>R .P .D .B .,</w:t>
      </w:r>
      <w:r w:rsidRPr="00CF0094">
        <w:rPr>
          <w:sz w:val="20"/>
          <w:szCs w:val="20"/>
        </w:rPr>
        <w:t xml:space="preserve"> v° Superficie, </w:t>
      </w:r>
      <w:r w:rsidRPr="00CF0094">
        <w:rPr>
          <w:i/>
          <w:sz w:val="20"/>
          <w:szCs w:val="20"/>
        </w:rPr>
        <w:t xml:space="preserve">op. cit., </w:t>
      </w:r>
      <w:r w:rsidRPr="00CF0094">
        <w:rPr>
          <w:sz w:val="20"/>
          <w:szCs w:val="20"/>
        </w:rPr>
        <w:t xml:space="preserve">n° 4 ; </w:t>
      </w:r>
      <w:r w:rsidRPr="00CF0094">
        <w:rPr>
          <w:i/>
          <w:sz w:val="20"/>
          <w:szCs w:val="20"/>
        </w:rPr>
        <w:t>Rép. Not.,</w:t>
      </w:r>
      <w:r w:rsidRPr="00CF0094">
        <w:rPr>
          <w:sz w:val="20"/>
          <w:szCs w:val="20"/>
        </w:rPr>
        <w:t xml:space="preserve"> T. II, Livre 6, Emphytéose, superficie et leasing immobilier, Larcier, Bruxelles, 1974, par R. CARTON de TOURNAI et A. MERTENS de WILMARS, avec la collaboration de A. J. CHARLIER, mis à jour au 1</w:t>
      </w:r>
      <w:r w:rsidRPr="00CF0094">
        <w:rPr>
          <w:sz w:val="20"/>
          <w:szCs w:val="20"/>
          <w:vertAlign w:val="superscript"/>
        </w:rPr>
        <w:t>er</w:t>
      </w:r>
      <w:r w:rsidRPr="00CF0094">
        <w:rPr>
          <w:sz w:val="20"/>
          <w:szCs w:val="20"/>
        </w:rPr>
        <w:t xml:space="preserve"> janvier 1980 par F. HAUMONT, n° 89).</w:t>
      </w:r>
    </w:p>
  </w:footnote>
  <w:footnote w:id="16">
    <w:p w14:paraId="0F51BD17" w14:textId="77777777" w:rsidR="00BA5F15" w:rsidRPr="00CF0094" w:rsidRDefault="00BA5F15" w:rsidP="007013B0">
      <w:pPr>
        <w:pStyle w:val="Notedebasdepage"/>
        <w:jc w:val="both"/>
        <w:rPr>
          <w:sz w:val="20"/>
          <w:szCs w:val="20"/>
        </w:rPr>
      </w:pPr>
      <w:r w:rsidRPr="00CF0094">
        <w:rPr>
          <w:rStyle w:val="Marquenotebasdepage"/>
          <w:sz w:val="20"/>
          <w:szCs w:val="20"/>
        </w:rPr>
        <w:footnoteRef/>
      </w:r>
      <w:r w:rsidRPr="00CF0094">
        <w:rPr>
          <w:sz w:val="20"/>
          <w:szCs w:val="20"/>
        </w:rPr>
        <w:t xml:space="preserve"> Voy. H. de PAGE et R. DEKKERS, </w:t>
      </w:r>
      <w:r w:rsidRPr="00CF0094">
        <w:rPr>
          <w:i/>
          <w:sz w:val="20"/>
          <w:szCs w:val="20"/>
        </w:rPr>
        <w:t>Traité élémentaire de droit civil belge</w:t>
      </w:r>
      <w:r w:rsidRPr="00CF0094">
        <w:rPr>
          <w:sz w:val="20"/>
          <w:szCs w:val="20"/>
        </w:rPr>
        <w:t xml:space="preserve">, t. VI, </w:t>
      </w:r>
      <w:r w:rsidRPr="00CF0094">
        <w:rPr>
          <w:i/>
          <w:sz w:val="20"/>
          <w:szCs w:val="20"/>
        </w:rPr>
        <w:t>Les biens, Les sûretés</w:t>
      </w:r>
      <w:r w:rsidRPr="00CF0094">
        <w:rPr>
          <w:sz w:val="20"/>
          <w:szCs w:val="20"/>
        </w:rPr>
        <w:t>, Bruxelles, Bruylant, 1953, n° 681.</w:t>
      </w:r>
    </w:p>
  </w:footnote>
  <w:footnote w:id="17">
    <w:p w14:paraId="3A56BBE2" w14:textId="77777777" w:rsidR="00BA5F15" w:rsidRPr="00CF0094" w:rsidRDefault="00BA5F15" w:rsidP="003C5A26">
      <w:pPr>
        <w:pStyle w:val="Notedebasdepage"/>
        <w:jc w:val="both"/>
        <w:rPr>
          <w:sz w:val="20"/>
          <w:szCs w:val="20"/>
        </w:rPr>
      </w:pPr>
      <w:r w:rsidRPr="00CF0094">
        <w:rPr>
          <w:rStyle w:val="Marquenotebasdepage"/>
          <w:sz w:val="20"/>
          <w:szCs w:val="20"/>
        </w:rPr>
        <w:footnoteRef/>
      </w:r>
      <w:r w:rsidRPr="00CF0094">
        <w:rPr>
          <w:sz w:val="20"/>
          <w:szCs w:val="20"/>
        </w:rPr>
        <w:t xml:space="preserve"> Voy. P. LECOCQ, « Superficie et emphytéose : questions d’actualité » </w:t>
      </w:r>
      <w:r w:rsidRPr="00CF0094">
        <w:rPr>
          <w:i/>
          <w:sz w:val="20"/>
          <w:szCs w:val="20"/>
        </w:rPr>
        <w:t xml:space="preserve">in Le point sur le droit des biens, </w:t>
      </w:r>
      <w:r w:rsidRPr="00CF0094">
        <w:rPr>
          <w:sz w:val="20"/>
          <w:szCs w:val="20"/>
        </w:rPr>
        <w:t>CUP, novembre 2000, vol. 42, pp. 131 à 156, spécialement pp. 136 et 137.</w:t>
      </w:r>
    </w:p>
  </w:footnote>
  <w:footnote w:id="18">
    <w:p w14:paraId="6CCB187D" w14:textId="510F7C6B" w:rsidR="00BA5F15" w:rsidRPr="00AA40C3" w:rsidRDefault="00BA5F15" w:rsidP="00BA2E9B">
      <w:pPr>
        <w:pStyle w:val="Notedebasdepage"/>
        <w:jc w:val="both"/>
        <w:rPr>
          <w:sz w:val="20"/>
          <w:szCs w:val="20"/>
        </w:rPr>
      </w:pPr>
      <w:r w:rsidRPr="00AA40C3">
        <w:rPr>
          <w:rStyle w:val="Marquenotebasdepage"/>
          <w:sz w:val="20"/>
          <w:szCs w:val="20"/>
        </w:rPr>
        <w:footnoteRef/>
      </w:r>
      <w:r w:rsidRPr="00AA40C3">
        <w:rPr>
          <w:sz w:val="20"/>
          <w:szCs w:val="20"/>
        </w:rPr>
        <w:t xml:space="preserve"> Voy. J. HANSENNE, </w:t>
      </w:r>
      <w:r w:rsidRPr="00AA40C3">
        <w:rPr>
          <w:i/>
          <w:sz w:val="20"/>
          <w:szCs w:val="20"/>
        </w:rPr>
        <w:t>Précis, Les biens,</w:t>
      </w:r>
      <w:r w:rsidRPr="00AA40C3">
        <w:rPr>
          <w:sz w:val="20"/>
          <w:szCs w:val="20"/>
        </w:rPr>
        <w:t xml:space="preserve"> </w:t>
      </w:r>
      <w:r w:rsidRPr="00AA40C3">
        <w:rPr>
          <w:i/>
          <w:sz w:val="20"/>
          <w:szCs w:val="20"/>
        </w:rPr>
        <w:t>op. cit.,</w:t>
      </w:r>
      <w:r w:rsidRPr="00AA40C3">
        <w:rPr>
          <w:sz w:val="20"/>
          <w:szCs w:val="20"/>
        </w:rPr>
        <w:t xml:space="preserve"> t. II, n° 1239 a ; J. - M. CHANDELLE,</w:t>
      </w:r>
      <w:r w:rsidRPr="00AA40C3">
        <w:rPr>
          <w:i/>
          <w:sz w:val="20"/>
          <w:szCs w:val="20"/>
        </w:rPr>
        <w:t xml:space="preserve"> R.P.D.B </w:t>
      </w:r>
      <w:r w:rsidRPr="00AA40C3">
        <w:rPr>
          <w:sz w:val="20"/>
          <w:szCs w:val="20"/>
        </w:rPr>
        <w:t xml:space="preserve">., V° </w:t>
      </w:r>
      <w:r w:rsidRPr="00AA40C3">
        <w:rPr>
          <w:i/>
          <w:sz w:val="20"/>
          <w:szCs w:val="20"/>
        </w:rPr>
        <w:t>Superficie, op. cit.</w:t>
      </w:r>
      <w:r w:rsidRPr="00AA40C3">
        <w:rPr>
          <w:sz w:val="20"/>
          <w:szCs w:val="20"/>
        </w:rPr>
        <w:t xml:space="preserve">, n° 88 ; R. DERINE, F. VAN NESTE et H. VANDENBERGHE, </w:t>
      </w:r>
      <w:r w:rsidRPr="00AA40C3">
        <w:rPr>
          <w:i/>
          <w:sz w:val="20"/>
          <w:szCs w:val="20"/>
        </w:rPr>
        <w:t>op. cit.,</w:t>
      </w:r>
      <w:r w:rsidRPr="00AA40C3">
        <w:rPr>
          <w:sz w:val="20"/>
          <w:szCs w:val="20"/>
        </w:rPr>
        <w:t xml:space="preserve"> n° 1024 ; voy., en jurisprudence, pour une hypothèse de droit de superficie concédé sur des constructions existantes, Liège, 3 décembre 1998, </w:t>
      </w:r>
      <w:r w:rsidRPr="00AA40C3">
        <w:rPr>
          <w:i/>
          <w:sz w:val="20"/>
          <w:szCs w:val="20"/>
        </w:rPr>
        <w:t xml:space="preserve">R.G.E.N., </w:t>
      </w:r>
      <w:r w:rsidRPr="00AA40C3">
        <w:rPr>
          <w:sz w:val="20"/>
          <w:szCs w:val="20"/>
        </w:rPr>
        <w:t>2001, p. 91, où il est d’ailleurs affirmé que même lorsque la valeur des constructions n’est pas payée, le superficiaire n’en devient pas moins propriétaire temporaire desdites constructions.</w:t>
      </w:r>
    </w:p>
  </w:footnote>
  <w:footnote w:id="19">
    <w:p w14:paraId="2C146561" w14:textId="77777777" w:rsidR="00BA5F15" w:rsidRPr="00CF0094" w:rsidRDefault="00BA5F15" w:rsidP="00BA2E9B">
      <w:pPr>
        <w:pStyle w:val="Notedebasdepage"/>
        <w:rPr>
          <w:sz w:val="20"/>
          <w:szCs w:val="20"/>
        </w:rPr>
      </w:pPr>
      <w:r w:rsidRPr="00CF0094">
        <w:rPr>
          <w:rStyle w:val="Marquenotebasdepage"/>
          <w:sz w:val="20"/>
          <w:szCs w:val="20"/>
        </w:rPr>
        <w:footnoteRef/>
      </w:r>
      <w:r w:rsidRPr="00CF0094">
        <w:rPr>
          <w:sz w:val="20"/>
          <w:szCs w:val="20"/>
        </w:rPr>
        <w:t xml:space="preserve"> Voy. J.M. CHANDELLE,</w:t>
      </w:r>
      <w:r w:rsidRPr="00CF0094">
        <w:rPr>
          <w:i/>
          <w:sz w:val="20"/>
          <w:szCs w:val="20"/>
        </w:rPr>
        <w:t xml:space="preserve"> R .P .D .B </w:t>
      </w:r>
      <w:r w:rsidRPr="00CF0094">
        <w:rPr>
          <w:sz w:val="20"/>
          <w:szCs w:val="20"/>
        </w:rPr>
        <w:t xml:space="preserve">., V° </w:t>
      </w:r>
      <w:r w:rsidRPr="00CF0094">
        <w:rPr>
          <w:i/>
          <w:sz w:val="20"/>
          <w:szCs w:val="20"/>
        </w:rPr>
        <w:t>Superficie, op. cit.</w:t>
      </w:r>
      <w:r w:rsidRPr="00CF0094">
        <w:rPr>
          <w:sz w:val="20"/>
          <w:szCs w:val="20"/>
        </w:rPr>
        <w:t xml:space="preserve">, n° 93. </w:t>
      </w:r>
    </w:p>
  </w:footnote>
  <w:footnote w:id="20">
    <w:p w14:paraId="3FF2CC18" w14:textId="77777777" w:rsidR="00BA5F15" w:rsidRPr="00CF0094" w:rsidRDefault="00BA5F15" w:rsidP="00BA2E9B">
      <w:pPr>
        <w:pStyle w:val="Notedebasdepage"/>
        <w:jc w:val="both"/>
        <w:rPr>
          <w:sz w:val="20"/>
          <w:szCs w:val="20"/>
        </w:rPr>
      </w:pPr>
      <w:r w:rsidRPr="00CF0094">
        <w:rPr>
          <w:rStyle w:val="Marquenotebasdepage"/>
          <w:sz w:val="20"/>
          <w:szCs w:val="20"/>
        </w:rPr>
        <w:footnoteRef/>
      </w:r>
      <w:r w:rsidRPr="00CF0094">
        <w:rPr>
          <w:sz w:val="20"/>
          <w:szCs w:val="20"/>
        </w:rPr>
        <w:t xml:space="preserve"> Voy. P. LECOCQ, « Superficie, Emphytéose et constructions », </w:t>
      </w:r>
      <w:r w:rsidRPr="00CF0094">
        <w:rPr>
          <w:i/>
          <w:sz w:val="20"/>
          <w:szCs w:val="20"/>
        </w:rPr>
        <w:t xml:space="preserve">op. cit., </w:t>
      </w:r>
      <w:r w:rsidRPr="00CF0094">
        <w:rPr>
          <w:sz w:val="20"/>
          <w:szCs w:val="20"/>
        </w:rPr>
        <w:t>n°s 18 et 19.</w:t>
      </w:r>
    </w:p>
  </w:footnote>
  <w:footnote w:id="21">
    <w:p w14:paraId="34A7F586" w14:textId="77777777" w:rsidR="00BA5F15" w:rsidRPr="00CF0094" w:rsidRDefault="00BA5F15" w:rsidP="00CF0094">
      <w:pPr>
        <w:pStyle w:val="Notedebasdepage"/>
        <w:jc w:val="both"/>
        <w:rPr>
          <w:sz w:val="20"/>
          <w:szCs w:val="20"/>
        </w:rPr>
      </w:pPr>
      <w:r w:rsidRPr="00CF0094">
        <w:rPr>
          <w:rStyle w:val="Marquenotebasdepage"/>
          <w:sz w:val="20"/>
          <w:szCs w:val="20"/>
        </w:rPr>
        <w:footnoteRef/>
      </w:r>
      <w:r w:rsidRPr="00CF0094">
        <w:rPr>
          <w:sz w:val="20"/>
          <w:szCs w:val="20"/>
        </w:rPr>
        <w:t xml:space="preserve"> Voy. J.- M. CHANDELLE, </w:t>
      </w:r>
      <w:r w:rsidRPr="00CF0094">
        <w:rPr>
          <w:i/>
          <w:sz w:val="20"/>
          <w:szCs w:val="20"/>
        </w:rPr>
        <w:t>R.P.D.B., V° Superficie,</w:t>
      </w:r>
      <w:r w:rsidRPr="00CF0094">
        <w:rPr>
          <w:sz w:val="20"/>
          <w:szCs w:val="20"/>
        </w:rPr>
        <w:t xml:space="preserve"> </w:t>
      </w:r>
      <w:r w:rsidRPr="00CF0094">
        <w:rPr>
          <w:i/>
          <w:sz w:val="20"/>
          <w:szCs w:val="20"/>
        </w:rPr>
        <w:t>op. cit.</w:t>
      </w:r>
      <w:r w:rsidRPr="00CF0094">
        <w:rPr>
          <w:sz w:val="20"/>
          <w:szCs w:val="20"/>
        </w:rPr>
        <w:t xml:space="preserve">, qui affirme que le tréfoncier doit être propriétaire du fonds (n° 115). Voy. aussi C. RENARD, « La renonciation à l’accession », note sous Cass., 13 mai 1970, </w:t>
      </w:r>
      <w:r w:rsidRPr="00CF0094">
        <w:rPr>
          <w:i/>
          <w:sz w:val="20"/>
          <w:szCs w:val="20"/>
        </w:rPr>
        <w:t>R.C.J.B</w:t>
      </w:r>
      <w:r w:rsidRPr="00CF0094">
        <w:rPr>
          <w:sz w:val="20"/>
          <w:szCs w:val="20"/>
        </w:rPr>
        <w:t>., 1980, pp. 13 et s., n° 3, spécialement p. 22, qui énonce : « tandis que la superficie concerne le cas où une personne est propriétaire d’une construction reposant sur le sol d’autrui ».</w:t>
      </w:r>
    </w:p>
  </w:footnote>
  <w:footnote w:id="22">
    <w:p w14:paraId="2A82E422" w14:textId="17FA66BB" w:rsidR="00BA5F15" w:rsidRPr="00AA40C3" w:rsidRDefault="00BA5F15" w:rsidP="00AA40C3">
      <w:pPr>
        <w:pStyle w:val="Notedebasdepage"/>
        <w:jc w:val="both"/>
        <w:rPr>
          <w:sz w:val="20"/>
          <w:szCs w:val="20"/>
        </w:rPr>
      </w:pPr>
      <w:r w:rsidRPr="00AA40C3">
        <w:rPr>
          <w:rStyle w:val="Marquenotebasdepage"/>
          <w:sz w:val="20"/>
          <w:szCs w:val="20"/>
        </w:rPr>
        <w:footnoteRef/>
      </w:r>
      <w:r w:rsidRPr="00AA40C3">
        <w:rPr>
          <w:sz w:val="20"/>
          <w:szCs w:val="20"/>
        </w:rPr>
        <w:t xml:space="preserve"> Voy. C. MOSTIN, </w:t>
      </w:r>
      <w:r w:rsidRPr="00AA40C3">
        <w:rPr>
          <w:i/>
          <w:sz w:val="20"/>
          <w:szCs w:val="20"/>
        </w:rPr>
        <w:t xml:space="preserve">Emphytéose et superficie, Répertoire Notarial, </w:t>
      </w:r>
      <w:r w:rsidRPr="00AA40C3">
        <w:rPr>
          <w:sz w:val="20"/>
          <w:szCs w:val="20"/>
        </w:rPr>
        <w:t xml:space="preserve">Tome II, </w:t>
      </w:r>
      <w:r w:rsidRPr="00AA40C3">
        <w:rPr>
          <w:i/>
          <w:sz w:val="20"/>
          <w:szCs w:val="20"/>
        </w:rPr>
        <w:t>Les biens</w:t>
      </w:r>
      <w:r w:rsidRPr="00AA40C3">
        <w:rPr>
          <w:sz w:val="20"/>
          <w:szCs w:val="20"/>
        </w:rPr>
        <w:t>, Livre IV, Bruxelles Larcier, 2004, n° 140.</w:t>
      </w:r>
    </w:p>
  </w:footnote>
  <w:footnote w:id="23">
    <w:p w14:paraId="7A76A6A4" w14:textId="77777777" w:rsidR="00BA5F15" w:rsidRPr="00AA40C3" w:rsidRDefault="00BA5F15" w:rsidP="00AA40C3">
      <w:pPr>
        <w:pStyle w:val="Notedebasdepage"/>
        <w:jc w:val="both"/>
        <w:rPr>
          <w:sz w:val="20"/>
          <w:szCs w:val="20"/>
        </w:rPr>
      </w:pPr>
      <w:r w:rsidRPr="00AA40C3">
        <w:rPr>
          <w:rStyle w:val="Marquenotebasdepage"/>
          <w:sz w:val="20"/>
          <w:szCs w:val="20"/>
        </w:rPr>
        <w:footnoteRef/>
      </w:r>
      <w:r w:rsidRPr="00AA40C3">
        <w:rPr>
          <w:sz w:val="20"/>
          <w:szCs w:val="20"/>
        </w:rPr>
        <w:t xml:space="preserve"> Voy. C. MOSTIN, </w:t>
      </w:r>
      <w:r w:rsidRPr="00AA40C3">
        <w:rPr>
          <w:i/>
          <w:sz w:val="20"/>
          <w:szCs w:val="20"/>
        </w:rPr>
        <w:t>Emphytéose et superficie, Répertoire Notarial, op. cit.</w:t>
      </w:r>
      <w:r w:rsidRPr="00AA40C3">
        <w:rPr>
          <w:sz w:val="20"/>
          <w:szCs w:val="20"/>
        </w:rPr>
        <w:t>, n° 141.</w:t>
      </w:r>
    </w:p>
  </w:footnote>
  <w:footnote w:id="24">
    <w:p w14:paraId="34E3EDEB" w14:textId="74BA207E" w:rsidR="00BA5F15" w:rsidRPr="00AA40C3" w:rsidRDefault="00BA5F15" w:rsidP="00AA40C3">
      <w:pPr>
        <w:pStyle w:val="Notedebasdepage"/>
        <w:jc w:val="both"/>
        <w:rPr>
          <w:sz w:val="20"/>
          <w:szCs w:val="20"/>
        </w:rPr>
      </w:pPr>
      <w:r w:rsidRPr="00AA40C3">
        <w:rPr>
          <w:rStyle w:val="Marquenotebasdepage"/>
          <w:sz w:val="20"/>
          <w:szCs w:val="20"/>
        </w:rPr>
        <w:footnoteRef/>
      </w:r>
      <w:r w:rsidRPr="00AA40C3">
        <w:rPr>
          <w:sz w:val="20"/>
          <w:szCs w:val="20"/>
        </w:rPr>
        <w:t xml:space="preserve"> Voy. Rép. Not., T. II, Livre 6, </w:t>
      </w:r>
      <w:r w:rsidRPr="00AA40C3">
        <w:rPr>
          <w:i/>
          <w:sz w:val="20"/>
          <w:szCs w:val="20"/>
        </w:rPr>
        <w:t>Emphytéose, superficie et leasing immobilier</w:t>
      </w:r>
      <w:r w:rsidRPr="00AA40C3">
        <w:rPr>
          <w:sz w:val="20"/>
          <w:szCs w:val="20"/>
        </w:rPr>
        <w:t xml:space="preserve">, </w:t>
      </w:r>
      <w:r w:rsidRPr="00AA40C3">
        <w:rPr>
          <w:i/>
          <w:sz w:val="20"/>
          <w:szCs w:val="20"/>
        </w:rPr>
        <w:t>op. cit.</w:t>
      </w:r>
      <w:r w:rsidRPr="00AA40C3">
        <w:rPr>
          <w:sz w:val="20"/>
          <w:szCs w:val="20"/>
        </w:rPr>
        <w:t xml:space="preserve">, n° 22 ; J.M. CHANDELLE, </w:t>
      </w:r>
      <w:r w:rsidRPr="00AA40C3">
        <w:rPr>
          <w:i/>
          <w:sz w:val="20"/>
          <w:szCs w:val="20"/>
        </w:rPr>
        <w:t>R.P.D.B., V° Superficie, op. cit.</w:t>
      </w:r>
      <w:r w:rsidRPr="00AA40C3">
        <w:rPr>
          <w:sz w:val="20"/>
          <w:szCs w:val="20"/>
        </w:rPr>
        <w:t xml:space="preserve">, n° 68 ; C. MOSTIN, </w:t>
      </w:r>
      <w:r w:rsidRPr="00AA40C3">
        <w:rPr>
          <w:i/>
          <w:sz w:val="20"/>
          <w:szCs w:val="20"/>
        </w:rPr>
        <w:t>Emphytéose et superficie, Répertoire Notarial, op. cit.</w:t>
      </w:r>
      <w:r w:rsidRPr="00AA40C3">
        <w:rPr>
          <w:sz w:val="20"/>
          <w:szCs w:val="20"/>
        </w:rPr>
        <w:t xml:space="preserve">, n° 53 ; V. SAGAERT, « Oude zakenrechtelijke figuren met nut voor een moderne familiale vermogensplanning », </w:t>
      </w:r>
      <w:r w:rsidRPr="00AA40C3">
        <w:rPr>
          <w:rStyle w:val="italic"/>
          <w:iCs/>
          <w:sz w:val="20"/>
          <w:szCs w:val="20"/>
        </w:rPr>
        <w:t xml:space="preserve">in Familiale vermogensplanning, </w:t>
      </w:r>
      <w:r w:rsidRPr="00AA40C3">
        <w:rPr>
          <w:sz w:val="20"/>
          <w:szCs w:val="20"/>
        </w:rPr>
        <w:t>XXX</w:t>
      </w:r>
      <w:r w:rsidRPr="00AA40C3">
        <w:rPr>
          <w:rStyle w:val="sup"/>
          <w:sz w:val="20"/>
          <w:szCs w:val="20"/>
        </w:rPr>
        <w:t>e</w:t>
      </w:r>
      <w:r w:rsidRPr="00AA40C3">
        <w:rPr>
          <w:sz w:val="20"/>
          <w:szCs w:val="20"/>
        </w:rPr>
        <w:t xml:space="preserve"> Postuniversitaire cyclus Willy Delva 2003-2004, Antwerpen, Kluwer</w:t>
      </w:r>
      <w:r>
        <w:t xml:space="preserve">, </w:t>
      </w:r>
      <w:r w:rsidRPr="00AA40C3">
        <w:rPr>
          <w:sz w:val="20"/>
          <w:szCs w:val="20"/>
        </w:rPr>
        <w:t>n° 48 et n° 70.</w:t>
      </w:r>
    </w:p>
  </w:footnote>
  <w:footnote w:id="25">
    <w:p w14:paraId="56E2256A" w14:textId="77777777" w:rsidR="00BA5F15" w:rsidRPr="00AA40C3" w:rsidRDefault="00BA5F15" w:rsidP="00AA40C3">
      <w:pPr>
        <w:pStyle w:val="Notedebasdepage"/>
        <w:jc w:val="both"/>
        <w:rPr>
          <w:sz w:val="20"/>
          <w:szCs w:val="20"/>
        </w:rPr>
      </w:pPr>
      <w:r w:rsidRPr="00AA40C3">
        <w:rPr>
          <w:rStyle w:val="Marquenotebasdepage"/>
          <w:sz w:val="20"/>
          <w:szCs w:val="20"/>
        </w:rPr>
        <w:footnoteRef/>
      </w:r>
      <w:r w:rsidRPr="00AA40C3">
        <w:rPr>
          <w:sz w:val="20"/>
          <w:szCs w:val="20"/>
        </w:rPr>
        <w:t xml:space="preserve"> Voy. P. LECOCQ, « Superficie et emphytéose : questions d’actualité », </w:t>
      </w:r>
      <w:r w:rsidRPr="00AA40C3">
        <w:rPr>
          <w:i/>
          <w:sz w:val="20"/>
          <w:szCs w:val="20"/>
        </w:rPr>
        <w:t xml:space="preserve">op. cit., </w:t>
      </w:r>
      <w:r w:rsidRPr="00AA40C3">
        <w:rPr>
          <w:sz w:val="20"/>
          <w:szCs w:val="20"/>
        </w:rPr>
        <w:t xml:space="preserve">p. 137 ; voy. pour une interprétation erronée de nos propos, </w:t>
      </w:r>
      <w:r w:rsidRPr="00AA40C3">
        <w:rPr>
          <w:i/>
          <w:sz w:val="20"/>
          <w:szCs w:val="20"/>
        </w:rPr>
        <w:t xml:space="preserve">Droits réels, Chronique de jurisprudence 1998-2005, Les dossiers du Journal des tribunaux, </w:t>
      </w:r>
      <w:r w:rsidRPr="00AA40C3">
        <w:rPr>
          <w:sz w:val="20"/>
          <w:szCs w:val="20"/>
        </w:rPr>
        <w:t>Dossier n° 63, sous la direction de J.-Fr. ROMAIN, Bruxelles, Larcier, 2007, pp. 71 à 104, spécialement n° 264.</w:t>
      </w:r>
    </w:p>
  </w:footnote>
  <w:footnote w:id="26">
    <w:p w14:paraId="044C133A" w14:textId="77777777" w:rsidR="00BA5F15" w:rsidRPr="00AA40C3" w:rsidRDefault="00BA5F15" w:rsidP="00AA40C3">
      <w:pPr>
        <w:pStyle w:val="Notedebasdepage"/>
        <w:jc w:val="both"/>
        <w:rPr>
          <w:sz w:val="20"/>
          <w:szCs w:val="20"/>
        </w:rPr>
      </w:pPr>
      <w:r w:rsidRPr="00AA40C3">
        <w:rPr>
          <w:rStyle w:val="Marquenotebasdepage"/>
          <w:sz w:val="20"/>
          <w:szCs w:val="20"/>
        </w:rPr>
        <w:footnoteRef/>
      </w:r>
      <w:r w:rsidRPr="00AA40C3">
        <w:rPr>
          <w:sz w:val="20"/>
          <w:szCs w:val="20"/>
        </w:rPr>
        <w:t xml:space="preserve"> Voy. Liège, 3 décembre 1998, </w:t>
      </w:r>
      <w:r w:rsidRPr="00AA40C3">
        <w:rPr>
          <w:i/>
          <w:sz w:val="20"/>
          <w:szCs w:val="20"/>
        </w:rPr>
        <w:t xml:space="preserve">R.G.E.N., </w:t>
      </w:r>
      <w:r w:rsidRPr="00AA40C3">
        <w:rPr>
          <w:sz w:val="20"/>
          <w:szCs w:val="20"/>
        </w:rPr>
        <w:t xml:space="preserve">2001, n° 25.111, p. 91 ; voy. d’ailleurs la décision dont appel, Civ. Neufchâteau, 2 octobre 1996, </w:t>
      </w:r>
      <w:r w:rsidRPr="00AA40C3">
        <w:rPr>
          <w:i/>
          <w:sz w:val="20"/>
          <w:szCs w:val="20"/>
        </w:rPr>
        <w:t>R.G.E.N., </w:t>
      </w:r>
      <w:r w:rsidRPr="00AA40C3">
        <w:rPr>
          <w:sz w:val="20"/>
          <w:szCs w:val="20"/>
        </w:rPr>
        <w:t>1997, n° 24655, plus explicite quant aux faits de l’affaire.</w:t>
      </w:r>
    </w:p>
  </w:footnote>
  <w:footnote w:id="27">
    <w:p w14:paraId="165C6A96" w14:textId="34E0ED9F" w:rsidR="00BA5F15" w:rsidRPr="00AA40C3" w:rsidRDefault="00BA5F15" w:rsidP="00AA40C3">
      <w:pPr>
        <w:pStyle w:val="Notedebasdepage"/>
        <w:jc w:val="both"/>
        <w:rPr>
          <w:sz w:val="20"/>
          <w:szCs w:val="20"/>
          <w:lang w:val="nl-NL"/>
        </w:rPr>
      </w:pPr>
      <w:r w:rsidRPr="00AA40C3">
        <w:rPr>
          <w:rStyle w:val="Marquenotebasdepage"/>
          <w:sz w:val="20"/>
          <w:szCs w:val="20"/>
        </w:rPr>
        <w:footnoteRef/>
      </w:r>
      <w:r w:rsidRPr="00AA40C3">
        <w:rPr>
          <w:sz w:val="20"/>
          <w:szCs w:val="20"/>
        </w:rPr>
        <w:t xml:space="preserve"> </w:t>
      </w:r>
      <w:r w:rsidRPr="00AA40C3">
        <w:rPr>
          <w:sz w:val="20"/>
          <w:szCs w:val="20"/>
          <w:lang w:val="nl-NL"/>
        </w:rPr>
        <w:t xml:space="preserve">Voy. </w:t>
      </w:r>
      <w:r w:rsidRPr="00AA40C3">
        <w:rPr>
          <w:i/>
          <w:sz w:val="20"/>
          <w:szCs w:val="20"/>
          <w:lang w:val="nl-NL"/>
        </w:rPr>
        <w:t xml:space="preserve">infra </w:t>
      </w:r>
      <w:r w:rsidRPr="00AA40C3">
        <w:rPr>
          <w:sz w:val="20"/>
          <w:szCs w:val="20"/>
          <w:lang w:val="nl-NL"/>
        </w:rPr>
        <w:t>le § 4.</w:t>
      </w:r>
    </w:p>
  </w:footnote>
  <w:footnote w:id="28">
    <w:p w14:paraId="2288A132" w14:textId="1D4C7AD2" w:rsidR="00BA5F15" w:rsidRPr="008D44A2" w:rsidRDefault="00BA5F15" w:rsidP="00AA40C3">
      <w:pPr>
        <w:pStyle w:val="Notedebasdepage"/>
        <w:jc w:val="both"/>
        <w:rPr>
          <w:sz w:val="20"/>
          <w:szCs w:val="20"/>
          <w:lang w:val="nl-NL"/>
        </w:rPr>
      </w:pPr>
      <w:r w:rsidRPr="00AA40C3">
        <w:rPr>
          <w:rStyle w:val="Marquenotebasdepage"/>
          <w:sz w:val="20"/>
          <w:szCs w:val="20"/>
        </w:rPr>
        <w:footnoteRef/>
      </w:r>
      <w:r w:rsidRPr="00AA40C3">
        <w:rPr>
          <w:sz w:val="20"/>
          <w:szCs w:val="20"/>
        </w:rPr>
        <w:t xml:space="preserve"> Voy., sur cette question, et les incertitudes quant à la qualification du droit exact du superficiaire sur les constructions existantes lorsqu’il n’en a pas payé la valeur lors de la constitution de son droit, notre contribution et les références citées, P. LECOCQ, « Superficie et emphytéose. Chronique de jurisprudence 2001-2008 », </w:t>
      </w:r>
      <w:r w:rsidRPr="00AA40C3">
        <w:rPr>
          <w:rStyle w:val="italic"/>
          <w:iCs/>
          <w:sz w:val="20"/>
          <w:szCs w:val="20"/>
        </w:rPr>
        <w:t>op. cit.,</w:t>
      </w:r>
      <w:r w:rsidRPr="00AA40C3">
        <w:rPr>
          <w:sz w:val="20"/>
          <w:szCs w:val="20"/>
        </w:rPr>
        <w:t xml:space="preserve"> spéc. n° 11 ; voy. aussi, antérieurement, P. LECOCQ, « Superficie, Emphytéose et constructions », </w:t>
      </w:r>
      <w:r w:rsidRPr="00AA40C3">
        <w:rPr>
          <w:i/>
          <w:sz w:val="20"/>
          <w:szCs w:val="20"/>
        </w:rPr>
        <w:t xml:space="preserve">op. cit., </w:t>
      </w:r>
      <w:r w:rsidRPr="00AA40C3">
        <w:rPr>
          <w:sz w:val="20"/>
          <w:szCs w:val="20"/>
        </w:rPr>
        <w:t>n°s 16</w:t>
      </w:r>
      <w:r w:rsidRPr="008D44A2">
        <w:rPr>
          <w:sz w:val="20"/>
          <w:szCs w:val="20"/>
        </w:rPr>
        <w:t xml:space="preserve"> et 26, penchant plutôt pour la qualification de propriétaire des constructions en toutes hypothèses</w:t>
      </w:r>
      <w:r>
        <w:rPr>
          <w:sz w:val="20"/>
          <w:szCs w:val="20"/>
        </w:rPr>
        <w:t>.</w:t>
      </w:r>
    </w:p>
  </w:footnote>
  <w:footnote w:id="29">
    <w:p w14:paraId="0F0DBD24" w14:textId="035D23E1" w:rsidR="00BA5F15" w:rsidRPr="00BF3C3E" w:rsidRDefault="00BA5F15" w:rsidP="00103673">
      <w:pPr>
        <w:pStyle w:val="Notedebasdepage"/>
        <w:jc w:val="both"/>
        <w:rPr>
          <w:sz w:val="20"/>
          <w:szCs w:val="20"/>
          <w:lang w:val="nl-NL"/>
        </w:rPr>
      </w:pPr>
      <w:r w:rsidRPr="00BF3C3E">
        <w:rPr>
          <w:rStyle w:val="Marquenotebasdepage"/>
          <w:sz w:val="20"/>
          <w:szCs w:val="20"/>
        </w:rPr>
        <w:footnoteRef/>
      </w:r>
      <w:r w:rsidRPr="00BF3C3E">
        <w:rPr>
          <w:sz w:val="20"/>
          <w:szCs w:val="20"/>
        </w:rPr>
        <w:t xml:space="preserve"> </w:t>
      </w:r>
      <w:r w:rsidRPr="00BF3C3E">
        <w:rPr>
          <w:sz w:val="20"/>
          <w:szCs w:val="20"/>
          <w:lang w:val="nl-NL"/>
        </w:rPr>
        <w:t>Voy. les dif</w:t>
      </w:r>
      <w:r>
        <w:rPr>
          <w:sz w:val="20"/>
          <w:szCs w:val="20"/>
          <w:lang w:val="nl-NL"/>
        </w:rPr>
        <w:t>f</w:t>
      </w:r>
      <w:r w:rsidRPr="00BF3C3E">
        <w:rPr>
          <w:sz w:val="20"/>
          <w:szCs w:val="20"/>
          <w:lang w:val="nl-NL"/>
        </w:rPr>
        <w:t xml:space="preserve">érentes hypothèses visées </w:t>
      </w:r>
      <w:r>
        <w:rPr>
          <w:sz w:val="20"/>
          <w:szCs w:val="20"/>
          <w:lang w:val="nl-NL"/>
        </w:rPr>
        <w:t xml:space="preserve">dans les travaux préparatoires, </w:t>
      </w:r>
      <w:r w:rsidRPr="004248AD">
        <w:rPr>
          <w:sz w:val="20"/>
          <w:szCs w:val="20"/>
          <w:lang w:val="nl-NL"/>
        </w:rPr>
        <w:t xml:space="preserve">Projet de loi portant des dispositions diverses, </w:t>
      </w:r>
      <w:r w:rsidRPr="004248AD">
        <w:rPr>
          <w:i/>
          <w:sz w:val="20"/>
          <w:szCs w:val="20"/>
          <w:lang w:val="nl-NL"/>
        </w:rPr>
        <w:t xml:space="preserve">Doc. Parl., </w:t>
      </w:r>
      <w:r w:rsidRPr="004248AD">
        <w:rPr>
          <w:sz w:val="20"/>
          <w:szCs w:val="20"/>
          <w:lang w:val="nl-NL"/>
        </w:rPr>
        <w:t>Ch. repr., sess. ord., 2013-2014, n° 3149/001,</w:t>
      </w:r>
      <w:r>
        <w:rPr>
          <w:sz w:val="20"/>
          <w:szCs w:val="20"/>
          <w:lang w:val="nl-NL"/>
        </w:rPr>
        <w:t xml:space="preserve"> Exposé des motifs, p. 110.</w:t>
      </w:r>
    </w:p>
  </w:footnote>
  <w:footnote w:id="30">
    <w:p w14:paraId="1198D5A5" w14:textId="52075909" w:rsidR="00BA5F15" w:rsidRPr="00C72AC8" w:rsidRDefault="00BA5F15" w:rsidP="001376F8">
      <w:pPr>
        <w:pStyle w:val="Notedebasdepage"/>
        <w:jc w:val="both"/>
        <w:rPr>
          <w:sz w:val="20"/>
          <w:szCs w:val="20"/>
          <w:lang w:val="nl-NL"/>
        </w:rPr>
      </w:pPr>
      <w:r w:rsidRPr="00851D5D">
        <w:rPr>
          <w:rStyle w:val="Marquenotebasdepage"/>
          <w:sz w:val="20"/>
          <w:szCs w:val="20"/>
        </w:rPr>
        <w:footnoteRef/>
      </w:r>
      <w:r w:rsidRPr="00851D5D">
        <w:rPr>
          <w:sz w:val="20"/>
          <w:szCs w:val="20"/>
        </w:rPr>
        <w:t xml:space="preserve"> </w:t>
      </w:r>
      <w:r w:rsidRPr="00851D5D">
        <w:rPr>
          <w:sz w:val="20"/>
          <w:szCs w:val="20"/>
          <w:lang w:val="nl-NL"/>
        </w:rPr>
        <w:t>Voy., not., H. PERINET-MARQUET, “La propriété immobilière en droit français</w:t>
      </w:r>
      <w:r>
        <w:rPr>
          <w:sz w:val="20"/>
          <w:szCs w:val="20"/>
          <w:lang w:val="nl-NL"/>
        </w:rPr>
        <w:t>”</w:t>
      </w:r>
      <w:r w:rsidRPr="00851D5D">
        <w:rPr>
          <w:sz w:val="20"/>
          <w:szCs w:val="20"/>
          <w:lang w:val="nl-NL"/>
        </w:rPr>
        <w:t xml:space="preserve">, disponible sur </w:t>
      </w:r>
      <w:r w:rsidRPr="00851D5D">
        <w:rPr>
          <w:rStyle w:val="SiteHTML"/>
          <w:rFonts w:eastAsia="Times New Roman" w:cs="Times New Roman"/>
          <w:sz w:val="20"/>
          <w:szCs w:val="20"/>
        </w:rPr>
        <w:t>www.cnfr-notaire.org/Article.List3.f.asp?id=653</w:t>
      </w:r>
      <w:r w:rsidRPr="00851D5D">
        <w:rPr>
          <w:rFonts w:eastAsia="Times New Roman" w:cs="Times New Roman"/>
          <w:sz w:val="20"/>
          <w:szCs w:val="20"/>
        </w:rPr>
        <w:t>‎</w:t>
      </w:r>
      <w:r>
        <w:rPr>
          <w:rFonts w:eastAsia="Times New Roman" w:cs="Times New Roman"/>
          <w:sz w:val="20"/>
          <w:szCs w:val="20"/>
        </w:rPr>
        <w:t xml:space="preserve"> ;</w:t>
      </w:r>
      <w:r w:rsidRPr="00C72AC8">
        <w:rPr>
          <w:sz w:val="20"/>
          <w:szCs w:val="20"/>
          <w:lang w:val="nl-NL"/>
        </w:rPr>
        <w:t xml:space="preserve"> </w:t>
      </w:r>
      <w:r w:rsidRPr="00851D5D">
        <w:rPr>
          <w:sz w:val="20"/>
          <w:szCs w:val="20"/>
          <w:lang w:val="nl-NL"/>
        </w:rPr>
        <w:t>H. PERINET-MARQUET</w:t>
      </w:r>
      <w:r>
        <w:rPr>
          <w:sz w:val="20"/>
          <w:szCs w:val="20"/>
          <w:lang w:val="nl-NL"/>
        </w:rPr>
        <w:t>,</w:t>
      </w:r>
      <w:r>
        <w:rPr>
          <w:rFonts w:eastAsia="Times New Roman" w:cs="Times New Roman"/>
          <w:sz w:val="20"/>
          <w:szCs w:val="20"/>
        </w:rPr>
        <w:t xml:space="preserve"> </w:t>
      </w:r>
      <w:r w:rsidRPr="00C72AC8">
        <w:rPr>
          <w:sz w:val="20"/>
          <w:szCs w:val="20"/>
        </w:rPr>
        <w:t xml:space="preserve">« Actualités de la dissociation des droits sur le sol en droit privé », </w:t>
      </w:r>
      <w:r w:rsidRPr="00C72AC8">
        <w:rPr>
          <w:rStyle w:val="italic"/>
          <w:iCs/>
          <w:sz w:val="20"/>
          <w:szCs w:val="20"/>
        </w:rPr>
        <w:t xml:space="preserve">R.D.I., </w:t>
      </w:r>
      <w:r w:rsidRPr="00C72AC8">
        <w:rPr>
          <w:sz w:val="20"/>
          <w:szCs w:val="20"/>
        </w:rPr>
        <w:t>2009/1, p. 16 </w:t>
      </w:r>
      <w:r>
        <w:rPr>
          <w:sz w:val="20"/>
          <w:szCs w:val="20"/>
        </w:rPr>
        <w:t>.</w:t>
      </w:r>
    </w:p>
  </w:footnote>
  <w:footnote w:id="31">
    <w:p w14:paraId="704722FD" w14:textId="1D2A5631" w:rsidR="00BA5F15" w:rsidRPr="007B11AA" w:rsidRDefault="00BA5F15" w:rsidP="007B11AA">
      <w:pPr>
        <w:pStyle w:val="Notedebasdepage"/>
        <w:jc w:val="both"/>
        <w:rPr>
          <w:sz w:val="20"/>
          <w:szCs w:val="20"/>
          <w:lang w:val="nl-NL"/>
        </w:rPr>
      </w:pPr>
      <w:r w:rsidRPr="007B11AA">
        <w:rPr>
          <w:rStyle w:val="Marquenotebasdepage"/>
          <w:sz w:val="20"/>
          <w:szCs w:val="20"/>
        </w:rPr>
        <w:footnoteRef/>
      </w:r>
      <w:r w:rsidRPr="007B11AA">
        <w:rPr>
          <w:sz w:val="20"/>
          <w:szCs w:val="20"/>
        </w:rPr>
        <w:t xml:space="preserve"> </w:t>
      </w:r>
      <w:r w:rsidRPr="007B11AA">
        <w:rPr>
          <w:sz w:val="20"/>
          <w:szCs w:val="20"/>
          <w:lang w:val="nl-NL"/>
        </w:rPr>
        <w:t xml:space="preserve">Voy. l’article 527 </w:t>
      </w:r>
      <w:r w:rsidRPr="007B11AA">
        <w:rPr>
          <w:sz w:val="20"/>
          <w:szCs w:val="20"/>
        </w:rPr>
        <w:t xml:space="preserve">du projet repris et commenté </w:t>
      </w:r>
      <w:r w:rsidRPr="007B11AA">
        <w:rPr>
          <w:i/>
          <w:sz w:val="20"/>
          <w:szCs w:val="20"/>
        </w:rPr>
        <w:t>in</w:t>
      </w:r>
      <w:r w:rsidRPr="007B11AA">
        <w:rPr>
          <w:sz w:val="20"/>
          <w:szCs w:val="20"/>
        </w:rPr>
        <w:t xml:space="preserve"> </w:t>
      </w:r>
      <w:r w:rsidRPr="007B11AA">
        <w:rPr>
          <w:rStyle w:val="italic"/>
          <w:iCs/>
          <w:sz w:val="20"/>
          <w:szCs w:val="20"/>
        </w:rPr>
        <w:t>Propositions de l’Association Henri Capitant pour une réforme du droit des biens</w:t>
      </w:r>
      <w:r w:rsidRPr="007B11AA">
        <w:rPr>
          <w:sz w:val="20"/>
          <w:szCs w:val="20"/>
        </w:rPr>
        <w:t xml:space="preserve"> (H. </w:t>
      </w:r>
      <w:r w:rsidRPr="007B11AA">
        <w:rPr>
          <w:rStyle w:val="small"/>
          <w:sz w:val="20"/>
          <w:szCs w:val="20"/>
        </w:rPr>
        <w:t>Perinet-Marquet</w:t>
      </w:r>
      <w:r w:rsidRPr="007B11AA">
        <w:rPr>
          <w:sz w:val="20"/>
          <w:szCs w:val="20"/>
        </w:rPr>
        <w:t xml:space="preserve"> dir.), Paris, Litec, 2009, 148 p</w:t>
      </w:r>
      <w:r>
        <w:rPr>
          <w:sz w:val="20"/>
          <w:szCs w:val="20"/>
        </w:rPr>
        <w:t>.</w:t>
      </w:r>
    </w:p>
  </w:footnote>
  <w:footnote w:id="32">
    <w:p w14:paraId="6EE02741" w14:textId="355CD7B5" w:rsidR="00BA5F15" w:rsidRPr="00F56626" w:rsidRDefault="00BA5F15" w:rsidP="00F56626">
      <w:pPr>
        <w:pStyle w:val="Notedebasdepage"/>
        <w:jc w:val="both"/>
        <w:rPr>
          <w:sz w:val="20"/>
          <w:szCs w:val="20"/>
          <w:lang w:val="nl-NL"/>
        </w:rPr>
      </w:pPr>
      <w:r w:rsidRPr="00F56626">
        <w:rPr>
          <w:rStyle w:val="Marquenotebasdepage"/>
          <w:sz w:val="20"/>
          <w:szCs w:val="20"/>
        </w:rPr>
        <w:footnoteRef/>
      </w:r>
      <w:r>
        <w:rPr>
          <w:sz w:val="20"/>
          <w:szCs w:val="20"/>
        </w:rPr>
        <w:t xml:space="preserve"> V</w:t>
      </w:r>
      <w:r w:rsidRPr="00F56626">
        <w:rPr>
          <w:sz w:val="20"/>
          <w:szCs w:val="20"/>
        </w:rPr>
        <w:t xml:space="preserve">oy., en droit belge, N. </w:t>
      </w:r>
      <w:r w:rsidRPr="00F56626">
        <w:rPr>
          <w:rStyle w:val="small"/>
          <w:sz w:val="20"/>
          <w:szCs w:val="20"/>
        </w:rPr>
        <w:t>Verheyden-Jeanmart</w:t>
      </w:r>
      <w:r w:rsidRPr="00F56626">
        <w:rPr>
          <w:sz w:val="20"/>
          <w:szCs w:val="20"/>
        </w:rPr>
        <w:t xml:space="preserve">, « De la propriété », </w:t>
      </w:r>
      <w:r w:rsidRPr="00F56626">
        <w:rPr>
          <w:rStyle w:val="italic"/>
          <w:iCs/>
          <w:sz w:val="20"/>
          <w:szCs w:val="20"/>
        </w:rPr>
        <w:t xml:space="preserve">J.T., </w:t>
      </w:r>
      <w:r w:rsidRPr="00F56626">
        <w:rPr>
          <w:sz w:val="20"/>
          <w:szCs w:val="20"/>
        </w:rPr>
        <w:t xml:space="preserve">2004, p. 279, à l’occasion du bicentaire du Code civil ; P. </w:t>
      </w:r>
      <w:r w:rsidRPr="00F56626">
        <w:rPr>
          <w:rStyle w:val="small"/>
          <w:sz w:val="20"/>
          <w:szCs w:val="20"/>
        </w:rPr>
        <w:t>Lecocq</w:t>
      </w:r>
      <w:r w:rsidRPr="00F56626">
        <w:rPr>
          <w:sz w:val="20"/>
          <w:szCs w:val="20"/>
        </w:rPr>
        <w:t xml:space="preserve">, « Superficie, emphytéose et constructions », </w:t>
      </w:r>
      <w:r>
        <w:rPr>
          <w:rStyle w:val="italic"/>
          <w:iCs/>
          <w:sz w:val="20"/>
          <w:szCs w:val="20"/>
        </w:rPr>
        <w:t>op. cit.,</w:t>
      </w:r>
      <w:r w:rsidRPr="00F56626">
        <w:rPr>
          <w:sz w:val="20"/>
          <w:szCs w:val="20"/>
        </w:rPr>
        <w:t xml:space="preserve"> pp. 286 et s., spéc. n</w:t>
      </w:r>
      <w:r w:rsidRPr="00F56626">
        <w:rPr>
          <w:rStyle w:val="sup"/>
          <w:sz w:val="20"/>
          <w:szCs w:val="20"/>
        </w:rPr>
        <w:t>os</w:t>
      </w:r>
      <w:r w:rsidRPr="00F56626">
        <w:rPr>
          <w:sz w:val="20"/>
          <w:szCs w:val="20"/>
        </w:rPr>
        <w:t xml:space="preserve"> 16 à 20 ; N. </w:t>
      </w:r>
      <w:r w:rsidRPr="00F56626">
        <w:rPr>
          <w:rStyle w:val="small"/>
          <w:sz w:val="20"/>
          <w:szCs w:val="20"/>
        </w:rPr>
        <w:t xml:space="preserve">Verheyden-jeanmart </w:t>
      </w:r>
      <w:r w:rsidRPr="00F56626">
        <w:rPr>
          <w:sz w:val="20"/>
          <w:szCs w:val="20"/>
        </w:rPr>
        <w:t xml:space="preserve">et P.-P. </w:t>
      </w:r>
      <w:r w:rsidRPr="00F56626">
        <w:rPr>
          <w:rStyle w:val="small"/>
          <w:sz w:val="20"/>
          <w:szCs w:val="20"/>
        </w:rPr>
        <w:t xml:space="preserve">Renson, </w:t>
      </w:r>
      <w:r w:rsidRPr="00F56626">
        <w:rPr>
          <w:sz w:val="20"/>
          <w:szCs w:val="20"/>
        </w:rPr>
        <w:t xml:space="preserve">« La propriété et les enjeux urbanistiques du troisième millénaire. La propriété des volumes » </w:t>
      </w:r>
      <w:r>
        <w:rPr>
          <w:rStyle w:val="italic"/>
          <w:iCs/>
          <w:sz w:val="20"/>
          <w:szCs w:val="20"/>
        </w:rPr>
        <w:t>op. cit.,</w:t>
      </w:r>
      <w:r w:rsidRPr="00F56626">
        <w:rPr>
          <w:sz w:val="20"/>
          <w:szCs w:val="20"/>
        </w:rPr>
        <w:t xml:space="preserve"> pp. 333 à 358 ; P.-P. </w:t>
      </w:r>
      <w:r w:rsidRPr="00F56626">
        <w:rPr>
          <w:rStyle w:val="small"/>
          <w:sz w:val="20"/>
          <w:szCs w:val="20"/>
        </w:rPr>
        <w:t>Renson</w:t>
      </w:r>
      <w:r w:rsidRPr="00F56626">
        <w:rPr>
          <w:sz w:val="20"/>
          <w:szCs w:val="20"/>
        </w:rPr>
        <w:t xml:space="preserve">, « Les limites verticales de la propriété immobilière et l’accession », </w:t>
      </w:r>
      <w:r w:rsidRPr="00F56626">
        <w:rPr>
          <w:rStyle w:val="italic"/>
          <w:iCs/>
          <w:sz w:val="20"/>
          <w:szCs w:val="20"/>
        </w:rPr>
        <w:t xml:space="preserve">R.G.D.C., </w:t>
      </w:r>
      <w:r w:rsidRPr="00F56626">
        <w:rPr>
          <w:sz w:val="20"/>
          <w:szCs w:val="20"/>
        </w:rPr>
        <w:t xml:space="preserve">2006, p. 328 ; V. </w:t>
      </w:r>
      <w:r w:rsidRPr="00F56626">
        <w:rPr>
          <w:rStyle w:val="small"/>
          <w:sz w:val="20"/>
          <w:szCs w:val="20"/>
        </w:rPr>
        <w:t>Sagaert</w:t>
      </w:r>
      <w:r w:rsidRPr="00F56626">
        <w:rPr>
          <w:sz w:val="20"/>
          <w:szCs w:val="20"/>
        </w:rPr>
        <w:t xml:space="preserve">, « Volume-eigendom ; een verkenning van de verticale begrenzing van onroerende eigendom », </w:t>
      </w:r>
      <w:r w:rsidRPr="00F56626">
        <w:rPr>
          <w:rStyle w:val="italic"/>
          <w:iCs/>
          <w:sz w:val="20"/>
          <w:szCs w:val="20"/>
        </w:rPr>
        <w:t xml:space="preserve">T.P.R., </w:t>
      </w:r>
      <w:r w:rsidRPr="00F56626">
        <w:rPr>
          <w:sz w:val="20"/>
          <w:szCs w:val="20"/>
        </w:rPr>
        <w:t>2009, p. 21</w:t>
      </w:r>
      <w:r>
        <w:rPr>
          <w:sz w:val="20"/>
          <w:szCs w:val="20"/>
        </w:rPr>
        <w:t>.</w:t>
      </w:r>
    </w:p>
  </w:footnote>
  <w:footnote w:id="33">
    <w:p w14:paraId="2EA26294" w14:textId="59C57B20" w:rsidR="00BA5F15" w:rsidRPr="005F1CC1" w:rsidRDefault="00BA5F15" w:rsidP="005F1CC1">
      <w:pPr>
        <w:pStyle w:val="Notedebasdepage"/>
        <w:jc w:val="both"/>
        <w:rPr>
          <w:sz w:val="20"/>
          <w:szCs w:val="20"/>
        </w:rPr>
      </w:pPr>
      <w:r w:rsidRPr="005F1CC1">
        <w:rPr>
          <w:rStyle w:val="Marquenotebasdepage"/>
          <w:sz w:val="20"/>
          <w:szCs w:val="20"/>
        </w:rPr>
        <w:footnoteRef/>
      </w:r>
      <w:r w:rsidRPr="005F1CC1">
        <w:rPr>
          <w:sz w:val="20"/>
          <w:szCs w:val="20"/>
        </w:rPr>
        <w:t xml:space="preserve"> </w:t>
      </w:r>
      <w:r w:rsidRPr="005F1CC1">
        <w:rPr>
          <w:sz w:val="20"/>
          <w:szCs w:val="20"/>
          <w:lang w:val="nl-NL"/>
        </w:rPr>
        <w:t xml:space="preserve">Voy. pour un résumé de notre raisonnement, P. LECOCQ, </w:t>
      </w:r>
      <w:r w:rsidRPr="005F1CC1">
        <w:rPr>
          <w:i/>
          <w:sz w:val="20"/>
          <w:szCs w:val="20"/>
          <w:lang w:val="nl-NL"/>
        </w:rPr>
        <w:t>Manuel de droi</w:t>
      </w:r>
      <w:r>
        <w:rPr>
          <w:i/>
          <w:sz w:val="20"/>
          <w:szCs w:val="20"/>
          <w:lang w:val="nl-NL"/>
        </w:rPr>
        <w:t>t</w:t>
      </w:r>
      <w:r w:rsidRPr="005F1CC1">
        <w:rPr>
          <w:i/>
          <w:sz w:val="20"/>
          <w:szCs w:val="20"/>
          <w:lang w:val="nl-NL"/>
        </w:rPr>
        <w:t xml:space="preserve"> des biens, t. 1, Biens et Propriété, </w:t>
      </w:r>
      <w:r w:rsidRPr="005F1CC1">
        <w:rPr>
          <w:sz w:val="20"/>
          <w:szCs w:val="20"/>
          <w:lang w:val="nl-NL"/>
        </w:rPr>
        <w:t>Bruxelles, Larcier, 2012</w:t>
      </w:r>
      <w:r>
        <w:rPr>
          <w:sz w:val="20"/>
          <w:szCs w:val="20"/>
          <w:lang w:val="nl-NL"/>
        </w:rPr>
        <w:t>, Titre 2, spécialement n° 110; voy. toutefois en jurisprudence</w:t>
      </w:r>
      <w:r w:rsidRPr="005F1CC1">
        <w:rPr>
          <w:sz w:val="20"/>
          <w:szCs w:val="20"/>
          <w:lang w:val="nl-NL"/>
        </w:rPr>
        <w:t xml:space="preserve">, </w:t>
      </w:r>
      <w:r w:rsidRPr="005F1CC1">
        <w:rPr>
          <w:sz w:val="20"/>
          <w:szCs w:val="20"/>
        </w:rPr>
        <w:t xml:space="preserve">Civ. Ypres, 18 février 2005, </w:t>
      </w:r>
      <w:r w:rsidRPr="005F1CC1">
        <w:rPr>
          <w:rStyle w:val="italic"/>
          <w:iCs/>
          <w:sz w:val="20"/>
          <w:szCs w:val="20"/>
        </w:rPr>
        <w:t>R.A.B.G.</w:t>
      </w:r>
      <w:r w:rsidRPr="005F1CC1">
        <w:rPr>
          <w:sz w:val="20"/>
          <w:szCs w:val="20"/>
        </w:rPr>
        <w:t>, 2006, p. 754, note</w:t>
      </w:r>
      <w:r>
        <w:rPr>
          <w:sz w:val="20"/>
          <w:szCs w:val="20"/>
        </w:rPr>
        <w:t xml:space="preserve"> J. VERSTAPPEN, où le tribunal opte pourtant pour la qualification en un droit de superficie en sur-sol alors que les faits semblaient précisément correspondre à un cas d’imbrication entre propriétés voisines.</w:t>
      </w:r>
    </w:p>
  </w:footnote>
  <w:footnote w:id="34">
    <w:p w14:paraId="2C8F93CF" w14:textId="55D5AD0A" w:rsidR="00BA5F15" w:rsidRPr="005F1CC1" w:rsidRDefault="00BA5F15" w:rsidP="005F1CC1">
      <w:pPr>
        <w:pStyle w:val="Notedebasdepage"/>
        <w:jc w:val="both"/>
        <w:rPr>
          <w:sz w:val="20"/>
          <w:szCs w:val="20"/>
          <w:lang w:val="nl-NL"/>
        </w:rPr>
      </w:pPr>
      <w:r w:rsidRPr="005F1CC1">
        <w:rPr>
          <w:rStyle w:val="Marquenotebasdepage"/>
          <w:sz w:val="20"/>
          <w:szCs w:val="20"/>
        </w:rPr>
        <w:footnoteRef/>
      </w:r>
      <w:r w:rsidRPr="005F1CC1">
        <w:rPr>
          <w:sz w:val="20"/>
          <w:szCs w:val="20"/>
        </w:rPr>
        <w:t xml:space="preserve"> </w:t>
      </w:r>
      <w:r w:rsidRPr="005F1CC1">
        <w:rPr>
          <w:sz w:val="20"/>
          <w:szCs w:val="20"/>
          <w:lang w:val="nl-NL"/>
        </w:rPr>
        <w:t xml:space="preserve">Voy. </w:t>
      </w:r>
      <w:r w:rsidRPr="005F1CC1">
        <w:rPr>
          <w:sz w:val="20"/>
          <w:szCs w:val="20"/>
        </w:rPr>
        <w:t xml:space="preserve">not., Civ. Bruxelles, 25 mai 1999, </w:t>
      </w:r>
      <w:r w:rsidRPr="005F1CC1">
        <w:rPr>
          <w:rStyle w:val="italic"/>
          <w:iCs/>
          <w:sz w:val="20"/>
          <w:szCs w:val="20"/>
        </w:rPr>
        <w:t>R.G.D.C.</w:t>
      </w:r>
      <w:r w:rsidRPr="005F1CC1">
        <w:rPr>
          <w:sz w:val="20"/>
          <w:szCs w:val="20"/>
        </w:rPr>
        <w:t>, 2006, p. 390, à propos de caves à l’arrière d’une église à Bruxelles</w:t>
      </w:r>
      <w:r>
        <w:rPr>
          <w:sz w:val="20"/>
          <w:szCs w:val="20"/>
        </w:rPr>
        <w:t>.</w:t>
      </w:r>
    </w:p>
  </w:footnote>
  <w:footnote w:id="35">
    <w:p w14:paraId="624B7896" w14:textId="45CC00D0" w:rsidR="00BA5F15" w:rsidRPr="005F1CC1" w:rsidRDefault="00BA5F15" w:rsidP="005F1CC1">
      <w:pPr>
        <w:pStyle w:val="Notedebasdepage"/>
        <w:jc w:val="both"/>
        <w:rPr>
          <w:sz w:val="20"/>
          <w:szCs w:val="20"/>
          <w:lang w:val="nl-NL"/>
        </w:rPr>
      </w:pPr>
      <w:r w:rsidRPr="005F1CC1">
        <w:rPr>
          <w:rStyle w:val="Marquenotebasdepage"/>
          <w:sz w:val="20"/>
          <w:szCs w:val="20"/>
        </w:rPr>
        <w:footnoteRef/>
      </w:r>
      <w:r w:rsidRPr="005F1CC1">
        <w:rPr>
          <w:sz w:val="20"/>
          <w:szCs w:val="20"/>
        </w:rPr>
        <w:t xml:space="preserve"> </w:t>
      </w:r>
      <w:r w:rsidRPr="005F1CC1">
        <w:rPr>
          <w:sz w:val="20"/>
          <w:szCs w:val="20"/>
          <w:lang w:val="nl-NL"/>
        </w:rPr>
        <w:t xml:space="preserve">Voy. </w:t>
      </w:r>
      <w:r w:rsidRPr="005F1CC1">
        <w:rPr>
          <w:sz w:val="20"/>
          <w:szCs w:val="20"/>
        </w:rPr>
        <w:t xml:space="preserve">Cass., 28 novembre 1969, </w:t>
      </w:r>
      <w:r w:rsidRPr="005F1CC1">
        <w:rPr>
          <w:rStyle w:val="italic"/>
          <w:iCs/>
          <w:sz w:val="20"/>
          <w:szCs w:val="20"/>
        </w:rPr>
        <w:t>Pas.</w:t>
      </w:r>
      <w:r w:rsidRPr="005F1CC1">
        <w:rPr>
          <w:sz w:val="20"/>
          <w:szCs w:val="20"/>
        </w:rPr>
        <w:t xml:space="preserve">, 1970, I, p. 294 ; voy. aussi Cass., 22 février 1991, </w:t>
      </w:r>
      <w:r w:rsidRPr="005F1CC1">
        <w:rPr>
          <w:rStyle w:val="italic"/>
          <w:iCs/>
          <w:sz w:val="20"/>
          <w:szCs w:val="20"/>
        </w:rPr>
        <w:t xml:space="preserve">Pas., </w:t>
      </w:r>
      <w:r w:rsidRPr="005F1CC1">
        <w:rPr>
          <w:sz w:val="20"/>
          <w:szCs w:val="20"/>
        </w:rPr>
        <w:t xml:space="preserve">1991, I, p. 607 ; Cass., 2 mars 1992, </w:t>
      </w:r>
      <w:r w:rsidRPr="005F1CC1">
        <w:rPr>
          <w:rStyle w:val="italic"/>
          <w:iCs/>
          <w:sz w:val="20"/>
          <w:szCs w:val="20"/>
        </w:rPr>
        <w:t>Pas.,</w:t>
      </w:r>
      <w:r w:rsidRPr="005F1CC1">
        <w:rPr>
          <w:sz w:val="20"/>
          <w:szCs w:val="20"/>
        </w:rPr>
        <w:t xml:space="preserve"> 1992, I, p. 589 ; voy. aussi, antérieurement, Cass., 26 juin 1890, </w:t>
      </w:r>
      <w:r w:rsidRPr="005F1CC1">
        <w:rPr>
          <w:rStyle w:val="italic"/>
          <w:iCs/>
          <w:sz w:val="20"/>
          <w:szCs w:val="20"/>
        </w:rPr>
        <w:t xml:space="preserve">Pas., </w:t>
      </w:r>
      <w:r w:rsidRPr="005F1CC1">
        <w:rPr>
          <w:sz w:val="20"/>
          <w:szCs w:val="20"/>
        </w:rPr>
        <w:t xml:space="preserve">1890, I, p. 233 ; Cass., 4 juin 1914, </w:t>
      </w:r>
      <w:r w:rsidRPr="005F1CC1">
        <w:rPr>
          <w:rStyle w:val="italic"/>
          <w:iCs/>
          <w:sz w:val="20"/>
          <w:szCs w:val="20"/>
        </w:rPr>
        <w:t xml:space="preserve">Pas., </w:t>
      </w:r>
      <w:r w:rsidRPr="005F1CC1">
        <w:rPr>
          <w:sz w:val="20"/>
          <w:szCs w:val="20"/>
        </w:rPr>
        <w:t xml:space="preserve">1914, I, p. 301 ; voy. égal. C.E., 18 mars 1969, </w:t>
      </w:r>
      <w:r w:rsidRPr="005F1CC1">
        <w:rPr>
          <w:rStyle w:val="italic"/>
          <w:iCs/>
          <w:sz w:val="20"/>
          <w:szCs w:val="20"/>
        </w:rPr>
        <w:t xml:space="preserve">Mouv. comm., </w:t>
      </w:r>
      <w:r w:rsidRPr="005F1CC1">
        <w:rPr>
          <w:sz w:val="20"/>
          <w:szCs w:val="20"/>
        </w:rPr>
        <w:t>1970, p. 138, qui énonce qu’aucune loi n’interdit à la commune de dissocier la propriété du sous-sol de celle de la surface par voie de cession ou de vente</w:t>
      </w:r>
    </w:p>
  </w:footnote>
  <w:footnote w:id="36">
    <w:p w14:paraId="56A00EAB" w14:textId="45275955" w:rsidR="00BA5F15" w:rsidRPr="00476B0E" w:rsidRDefault="00BA5F15" w:rsidP="00476B0E">
      <w:pPr>
        <w:pStyle w:val="Notedebasdepage"/>
        <w:jc w:val="both"/>
        <w:rPr>
          <w:sz w:val="20"/>
          <w:szCs w:val="20"/>
          <w:lang w:val="nl-NL"/>
        </w:rPr>
      </w:pPr>
      <w:r w:rsidRPr="00476B0E">
        <w:rPr>
          <w:rStyle w:val="Marquenotebasdepage"/>
          <w:sz w:val="20"/>
          <w:szCs w:val="20"/>
        </w:rPr>
        <w:footnoteRef/>
      </w:r>
      <w:r w:rsidRPr="00476B0E">
        <w:rPr>
          <w:sz w:val="20"/>
          <w:szCs w:val="20"/>
        </w:rPr>
        <w:t xml:space="preserve"> Voy., Cass., 13 sep</w:t>
      </w:r>
      <w:r>
        <w:rPr>
          <w:sz w:val="20"/>
          <w:szCs w:val="20"/>
        </w:rPr>
        <w:t xml:space="preserve">tembre 2013, C.12.0422F et C.12.0606 F, </w:t>
      </w:r>
      <w:r w:rsidRPr="00476B0E">
        <w:rPr>
          <w:sz w:val="20"/>
          <w:szCs w:val="20"/>
        </w:rPr>
        <w:t xml:space="preserve">disponible </w:t>
      </w:r>
      <w:r>
        <w:rPr>
          <w:sz w:val="20"/>
          <w:szCs w:val="20"/>
        </w:rPr>
        <w:t>sur le site de la Cour et reproduit</w:t>
      </w:r>
      <w:r w:rsidRPr="00476B0E">
        <w:rPr>
          <w:sz w:val="20"/>
          <w:szCs w:val="20"/>
        </w:rPr>
        <w:t xml:space="preserve"> en annexe. </w:t>
      </w:r>
    </w:p>
  </w:footnote>
  <w:footnote w:id="37">
    <w:p w14:paraId="00FF575D" w14:textId="1493AC88" w:rsidR="00BA5F15" w:rsidRPr="00B86AD2" w:rsidRDefault="00BA5F15" w:rsidP="00B86AD2">
      <w:pPr>
        <w:pStyle w:val="Notedebasdepage"/>
        <w:jc w:val="both"/>
        <w:rPr>
          <w:sz w:val="20"/>
          <w:szCs w:val="20"/>
          <w:lang w:val="nl-NL"/>
        </w:rPr>
      </w:pPr>
      <w:r w:rsidRPr="00B86AD2">
        <w:rPr>
          <w:rStyle w:val="Marquenotebasdepage"/>
          <w:sz w:val="20"/>
          <w:szCs w:val="20"/>
        </w:rPr>
        <w:footnoteRef/>
      </w:r>
      <w:r w:rsidRPr="00B86AD2">
        <w:rPr>
          <w:sz w:val="20"/>
          <w:szCs w:val="20"/>
        </w:rPr>
        <w:t xml:space="preserve"> Le</w:t>
      </w:r>
      <w:r>
        <w:rPr>
          <w:sz w:val="20"/>
          <w:szCs w:val="20"/>
        </w:rPr>
        <w:t xml:space="preserve"> </w:t>
      </w:r>
      <w:r w:rsidRPr="00B86AD2">
        <w:rPr>
          <w:sz w:val="20"/>
          <w:szCs w:val="20"/>
        </w:rPr>
        <w:t>notaire, invité à s’explique</w:t>
      </w:r>
      <w:r>
        <w:rPr>
          <w:sz w:val="20"/>
          <w:szCs w:val="20"/>
        </w:rPr>
        <w:t>r</w:t>
      </w:r>
      <w:r w:rsidRPr="00B86AD2">
        <w:rPr>
          <w:sz w:val="20"/>
          <w:szCs w:val="20"/>
        </w:rPr>
        <w:t xml:space="preserve"> quant aux </w:t>
      </w:r>
      <w:r>
        <w:rPr>
          <w:sz w:val="20"/>
          <w:szCs w:val="20"/>
        </w:rPr>
        <w:t>termes utilisés par lui, regrette</w:t>
      </w:r>
      <w:r w:rsidRPr="00B86AD2">
        <w:rPr>
          <w:sz w:val="20"/>
          <w:szCs w:val="20"/>
        </w:rPr>
        <w:t xml:space="preserve"> l’</w:t>
      </w:r>
      <w:r>
        <w:rPr>
          <w:sz w:val="20"/>
          <w:szCs w:val="20"/>
        </w:rPr>
        <w:t>uti</w:t>
      </w:r>
      <w:r w:rsidRPr="00B86AD2">
        <w:rPr>
          <w:sz w:val="20"/>
          <w:szCs w:val="20"/>
        </w:rPr>
        <w:t>l</w:t>
      </w:r>
      <w:r>
        <w:rPr>
          <w:sz w:val="20"/>
          <w:szCs w:val="20"/>
        </w:rPr>
        <w:t>isation de c</w:t>
      </w:r>
      <w:r w:rsidRPr="00B86AD2">
        <w:rPr>
          <w:sz w:val="20"/>
          <w:szCs w:val="20"/>
        </w:rPr>
        <w:t>e</w:t>
      </w:r>
      <w:r>
        <w:rPr>
          <w:sz w:val="20"/>
          <w:szCs w:val="20"/>
        </w:rPr>
        <w:t xml:space="preserve"> </w:t>
      </w:r>
      <w:r w:rsidRPr="00B86AD2">
        <w:rPr>
          <w:sz w:val="20"/>
          <w:szCs w:val="20"/>
        </w:rPr>
        <w:t xml:space="preserve">mot </w:t>
      </w:r>
      <w:r>
        <w:rPr>
          <w:sz w:val="20"/>
          <w:szCs w:val="20"/>
        </w:rPr>
        <w:t>« </w:t>
      </w:r>
      <w:r w:rsidRPr="00B86AD2">
        <w:rPr>
          <w:sz w:val="20"/>
          <w:szCs w:val="20"/>
        </w:rPr>
        <w:t>assiette</w:t>
      </w:r>
      <w:r>
        <w:rPr>
          <w:sz w:val="20"/>
          <w:szCs w:val="20"/>
        </w:rPr>
        <w:t> » et reconnait que le terme « délimitation » eut été plus opportun, puisque précisément, l’assiette, au sens de terrain, était restée partie commune.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09F5" w14:textId="77777777" w:rsidR="00BA5F15" w:rsidRDefault="00BA5F15" w:rsidP="00DF6EC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B82137" w14:textId="77777777" w:rsidR="00BA5F15" w:rsidRDefault="00BA5F15" w:rsidP="00434A42">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464D" w14:textId="77777777" w:rsidR="00BA5F15" w:rsidRDefault="00BA5F15" w:rsidP="00DF6EC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92438">
      <w:rPr>
        <w:rStyle w:val="Numrodepage"/>
        <w:noProof/>
      </w:rPr>
      <w:t>1</w:t>
    </w:r>
    <w:r>
      <w:rPr>
        <w:rStyle w:val="Numrodepage"/>
      </w:rPr>
      <w:fldChar w:fldCharType="end"/>
    </w:r>
  </w:p>
  <w:p w14:paraId="1826F59D" w14:textId="77777777" w:rsidR="00BA5F15" w:rsidRDefault="00BA5F15" w:rsidP="00434A42">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3F2"/>
    <w:multiLevelType w:val="hybridMultilevel"/>
    <w:tmpl w:val="50EE50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62419D"/>
    <w:multiLevelType w:val="hybridMultilevel"/>
    <w:tmpl w:val="EC249E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3B"/>
    <w:rsid w:val="00025748"/>
    <w:rsid w:val="00084BCE"/>
    <w:rsid w:val="000861A1"/>
    <w:rsid w:val="000909E1"/>
    <w:rsid w:val="000B08F2"/>
    <w:rsid w:val="000B343E"/>
    <w:rsid w:val="000E3DA2"/>
    <w:rsid w:val="00103673"/>
    <w:rsid w:val="00105DEF"/>
    <w:rsid w:val="00136DA4"/>
    <w:rsid w:val="001376F8"/>
    <w:rsid w:val="00150138"/>
    <w:rsid w:val="001B7D77"/>
    <w:rsid w:val="001D286A"/>
    <w:rsid w:val="001F04B4"/>
    <w:rsid w:val="001F4318"/>
    <w:rsid w:val="002032DC"/>
    <w:rsid w:val="002506CB"/>
    <w:rsid w:val="00250F50"/>
    <w:rsid w:val="00252BF3"/>
    <w:rsid w:val="00260250"/>
    <w:rsid w:val="00260E29"/>
    <w:rsid w:val="00264E8F"/>
    <w:rsid w:val="00290CF8"/>
    <w:rsid w:val="002E046C"/>
    <w:rsid w:val="002F7A14"/>
    <w:rsid w:val="003153C4"/>
    <w:rsid w:val="00345AE5"/>
    <w:rsid w:val="0037162F"/>
    <w:rsid w:val="00384137"/>
    <w:rsid w:val="00391018"/>
    <w:rsid w:val="00396ED6"/>
    <w:rsid w:val="003A63A5"/>
    <w:rsid w:val="003B414E"/>
    <w:rsid w:val="003B5BE2"/>
    <w:rsid w:val="003C5A26"/>
    <w:rsid w:val="004013A0"/>
    <w:rsid w:val="00406379"/>
    <w:rsid w:val="004248AD"/>
    <w:rsid w:val="00434A42"/>
    <w:rsid w:val="00460B68"/>
    <w:rsid w:val="0046669A"/>
    <w:rsid w:val="00476B0E"/>
    <w:rsid w:val="00492438"/>
    <w:rsid w:val="004D58EC"/>
    <w:rsid w:val="004D6AFD"/>
    <w:rsid w:val="00500FF0"/>
    <w:rsid w:val="005165C9"/>
    <w:rsid w:val="005C7391"/>
    <w:rsid w:val="005D1124"/>
    <w:rsid w:val="005F1CC1"/>
    <w:rsid w:val="006A13DC"/>
    <w:rsid w:val="006A356A"/>
    <w:rsid w:val="006C37DB"/>
    <w:rsid w:val="006E1DAC"/>
    <w:rsid w:val="007006BF"/>
    <w:rsid w:val="007013B0"/>
    <w:rsid w:val="00781673"/>
    <w:rsid w:val="00794886"/>
    <w:rsid w:val="007B11AA"/>
    <w:rsid w:val="007C648D"/>
    <w:rsid w:val="007E7CE6"/>
    <w:rsid w:val="00826FA8"/>
    <w:rsid w:val="008468C9"/>
    <w:rsid w:val="00847B2D"/>
    <w:rsid w:val="00851D5D"/>
    <w:rsid w:val="008547A9"/>
    <w:rsid w:val="008960F3"/>
    <w:rsid w:val="008B5A91"/>
    <w:rsid w:val="008C79C1"/>
    <w:rsid w:val="008D035C"/>
    <w:rsid w:val="008D44A2"/>
    <w:rsid w:val="00A1767C"/>
    <w:rsid w:val="00A23ED3"/>
    <w:rsid w:val="00A97E74"/>
    <w:rsid w:val="00AA40C3"/>
    <w:rsid w:val="00AE34CE"/>
    <w:rsid w:val="00AF57EF"/>
    <w:rsid w:val="00B055C4"/>
    <w:rsid w:val="00B51BC7"/>
    <w:rsid w:val="00B86AD2"/>
    <w:rsid w:val="00BA2E9B"/>
    <w:rsid w:val="00BA5F15"/>
    <w:rsid w:val="00BB523B"/>
    <w:rsid w:val="00BC3FDB"/>
    <w:rsid w:val="00BC5571"/>
    <w:rsid w:val="00BC6C31"/>
    <w:rsid w:val="00BF3C3E"/>
    <w:rsid w:val="00C7183D"/>
    <w:rsid w:val="00C72AC8"/>
    <w:rsid w:val="00CE2902"/>
    <w:rsid w:val="00CF0094"/>
    <w:rsid w:val="00CF09CD"/>
    <w:rsid w:val="00D238A8"/>
    <w:rsid w:val="00D63A93"/>
    <w:rsid w:val="00D64022"/>
    <w:rsid w:val="00DA6383"/>
    <w:rsid w:val="00DB01D3"/>
    <w:rsid w:val="00DE46E0"/>
    <w:rsid w:val="00DF6EC7"/>
    <w:rsid w:val="00E32AD1"/>
    <w:rsid w:val="00E36520"/>
    <w:rsid w:val="00E73EA2"/>
    <w:rsid w:val="00EB3F75"/>
    <w:rsid w:val="00EC7965"/>
    <w:rsid w:val="00F05D00"/>
    <w:rsid w:val="00F52AB4"/>
    <w:rsid w:val="00F56626"/>
    <w:rsid w:val="00F916CE"/>
    <w:rsid w:val="00FD3B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5F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Not,footnote,Sprotna opomba - besedilo Znak,Sprotna opomba - besedilo Znak Znak Znak Znak Znak Znak Znak,Sprotna opomba - besedilo Znak Znak Znak Znak Znak Znak Znak Znak Znak Znak Char Char Char Char Char Char"/>
    <w:basedOn w:val="Normal"/>
    <w:link w:val="NotedebasdepageCar"/>
    <w:unhideWhenUsed/>
    <w:rsid w:val="004D6AFD"/>
  </w:style>
  <w:style w:type="character" w:customStyle="1" w:styleId="NotedebasdepageCar">
    <w:name w:val="Note de bas de page Car"/>
    <w:aliases w:val="Note de bas de pageNot Car,footnote Car,Sprotna opomba - besedilo Znak Car,Sprotna opomba - besedilo Znak Znak Znak Znak Znak Znak Znak Car"/>
    <w:basedOn w:val="Policepardfaut"/>
    <w:link w:val="Notedebasdepage"/>
    <w:uiPriority w:val="99"/>
    <w:rsid w:val="004D6AFD"/>
    <w:rPr>
      <w:lang w:val="fr-FR"/>
    </w:rPr>
  </w:style>
  <w:style w:type="character" w:styleId="Marquenotebasdepage">
    <w:name w:val="footnote reference"/>
    <w:basedOn w:val="Policepardfaut"/>
    <w:unhideWhenUsed/>
    <w:rsid w:val="004D6AFD"/>
    <w:rPr>
      <w:vertAlign w:val="superscript"/>
    </w:rPr>
  </w:style>
  <w:style w:type="paragraph" w:styleId="Paragraphedeliste">
    <w:name w:val="List Paragraph"/>
    <w:basedOn w:val="Normal"/>
    <w:uiPriority w:val="34"/>
    <w:qFormat/>
    <w:rsid w:val="00F52AB4"/>
    <w:pPr>
      <w:ind w:left="720"/>
      <w:contextualSpacing/>
    </w:pPr>
  </w:style>
  <w:style w:type="character" w:customStyle="1" w:styleId="italic">
    <w:name w:val="italic"/>
    <w:uiPriority w:val="99"/>
    <w:rsid w:val="004248AD"/>
    <w:rPr>
      <w:i/>
    </w:rPr>
  </w:style>
  <w:style w:type="character" w:customStyle="1" w:styleId="small">
    <w:name w:val="small"/>
    <w:uiPriority w:val="99"/>
    <w:rsid w:val="004248AD"/>
    <w:rPr>
      <w:smallCaps/>
    </w:rPr>
  </w:style>
  <w:style w:type="character" w:customStyle="1" w:styleId="sup">
    <w:name w:val="sup"/>
    <w:uiPriority w:val="99"/>
    <w:rsid w:val="00AF57EF"/>
    <w:rPr>
      <w:vertAlign w:val="superscript"/>
    </w:rPr>
  </w:style>
  <w:style w:type="paragraph" w:styleId="Corpsdetexte">
    <w:name w:val="Body Text"/>
    <w:basedOn w:val="Normal"/>
    <w:link w:val="CorpsdetexteCar"/>
    <w:rsid w:val="008C79C1"/>
    <w:pPr>
      <w:jc w:val="both"/>
    </w:pPr>
    <w:rPr>
      <w:rFonts w:ascii="Times" w:eastAsia="Times" w:hAnsi="Times" w:cs="Times New Roman"/>
      <w:szCs w:val="20"/>
    </w:rPr>
  </w:style>
  <w:style w:type="character" w:customStyle="1" w:styleId="CorpsdetexteCar">
    <w:name w:val="Corps de texte Car"/>
    <w:basedOn w:val="Policepardfaut"/>
    <w:link w:val="Corpsdetexte"/>
    <w:rsid w:val="008C79C1"/>
    <w:rPr>
      <w:rFonts w:ascii="Times" w:eastAsia="Times" w:hAnsi="Times" w:cs="Times New Roman"/>
      <w:szCs w:val="20"/>
      <w:lang w:val="fr-FR"/>
    </w:rPr>
  </w:style>
  <w:style w:type="paragraph" w:styleId="En-tte">
    <w:name w:val="header"/>
    <w:basedOn w:val="Normal"/>
    <w:link w:val="En-tteCar"/>
    <w:uiPriority w:val="99"/>
    <w:unhideWhenUsed/>
    <w:rsid w:val="00434A42"/>
    <w:pPr>
      <w:tabs>
        <w:tab w:val="center" w:pos="4536"/>
        <w:tab w:val="right" w:pos="9072"/>
      </w:tabs>
    </w:pPr>
  </w:style>
  <w:style w:type="character" w:customStyle="1" w:styleId="En-tteCar">
    <w:name w:val="En-tête Car"/>
    <w:basedOn w:val="Policepardfaut"/>
    <w:link w:val="En-tte"/>
    <w:uiPriority w:val="99"/>
    <w:rsid w:val="00434A42"/>
    <w:rPr>
      <w:lang w:val="fr-FR"/>
    </w:rPr>
  </w:style>
  <w:style w:type="character" w:styleId="Numrodepage">
    <w:name w:val="page number"/>
    <w:basedOn w:val="Policepardfaut"/>
    <w:uiPriority w:val="99"/>
    <w:semiHidden/>
    <w:unhideWhenUsed/>
    <w:rsid w:val="00434A42"/>
  </w:style>
  <w:style w:type="character" w:styleId="Lienhypertexte">
    <w:name w:val="Hyperlink"/>
    <w:basedOn w:val="Policepardfaut"/>
    <w:uiPriority w:val="99"/>
    <w:unhideWhenUsed/>
    <w:rsid w:val="00E32AD1"/>
    <w:rPr>
      <w:color w:val="0000FF" w:themeColor="hyperlink"/>
      <w:u w:val="single"/>
    </w:rPr>
  </w:style>
  <w:style w:type="character" w:styleId="SiteHTML">
    <w:name w:val="HTML Cite"/>
    <w:basedOn w:val="Policepardfaut"/>
    <w:uiPriority w:val="99"/>
    <w:semiHidden/>
    <w:unhideWhenUsed/>
    <w:rsid w:val="00851D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Not,footnote,Sprotna opomba - besedilo Znak,Sprotna opomba - besedilo Znak Znak Znak Znak Znak Znak Znak,Sprotna opomba - besedilo Znak Znak Znak Znak Znak Znak Znak Znak Znak Znak Char Char Char Char Char Char"/>
    <w:basedOn w:val="Normal"/>
    <w:link w:val="NotedebasdepageCar"/>
    <w:unhideWhenUsed/>
    <w:rsid w:val="004D6AFD"/>
  </w:style>
  <w:style w:type="character" w:customStyle="1" w:styleId="NotedebasdepageCar">
    <w:name w:val="Note de bas de page Car"/>
    <w:aliases w:val="Note de bas de pageNot Car,footnote Car,Sprotna opomba - besedilo Znak Car,Sprotna opomba - besedilo Znak Znak Znak Znak Znak Znak Znak Car"/>
    <w:basedOn w:val="Policepardfaut"/>
    <w:link w:val="Notedebasdepage"/>
    <w:uiPriority w:val="99"/>
    <w:rsid w:val="004D6AFD"/>
    <w:rPr>
      <w:lang w:val="fr-FR"/>
    </w:rPr>
  </w:style>
  <w:style w:type="character" w:styleId="Marquenotebasdepage">
    <w:name w:val="footnote reference"/>
    <w:basedOn w:val="Policepardfaut"/>
    <w:unhideWhenUsed/>
    <w:rsid w:val="004D6AFD"/>
    <w:rPr>
      <w:vertAlign w:val="superscript"/>
    </w:rPr>
  </w:style>
  <w:style w:type="paragraph" w:styleId="Paragraphedeliste">
    <w:name w:val="List Paragraph"/>
    <w:basedOn w:val="Normal"/>
    <w:uiPriority w:val="34"/>
    <w:qFormat/>
    <w:rsid w:val="00F52AB4"/>
    <w:pPr>
      <w:ind w:left="720"/>
      <w:contextualSpacing/>
    </w:pPr>
  </w:style>
  <w:style w:type="character" w:customStyle="1" w:styleId="italic">
    <w:name w:val="italic"/>
    <w:uiPriority w:val="99"/>
    <w:rsid w:val="004248AD"/>
    <w:rPr>
      <w:i/>
    </w:rPr>
  </w:style>
  <w:style w:type="character" w:customStyle="1" w:styleId="small">
    <w:name w:val="small"/>
    <w:uiPriority w:val="99"/>
    <w:rsid w:val="004248AD"/>
    <w:rPr>
      <w:smallCaps/>
    </w:rPr>
  </w:style>
  <w:style w:type="character" w:customStyle="1" w:styleId="sup">
    <w:name w:val="sup"/>
    <w:uiPriority w:val="99"/>
    <w:rsid w:val="00AF57EF"/>
    <w:rPr>
      <w:vertAlign w:val="superscript"/>
    </w:rPr>
  </w:style>
  <w:style w:type="paragraph" w:styleId="Corpsdetexte">
    <w:name w:val="Body Text"/>
    <w:basedOn w:val="Normal"/>
    <w:link w:val="CorpsdetexteCar"/>
    <w:rsid w:val="008C79C1"/>
    <w:pPr>
      <w:jc w:val="both"/>
    </w:pPr>
    <w:rPr>
      <w:rFonts w:ascii="Times" w:eastAsia="Times" w:hAnsi="Times" w:cs="Times New Roman"/>
      <w:szCs w:val="20"/>
    </w:rPr>
  </w:style>
  <w:style w:type="character" w:customStyle="1" w:styleId="CorpsdetexteCar">
    <w:name w:val="Corps de texte Car"/>
    <w:basedOn w:val="Policepardfaut"/>
    <w:link w:val="Corpsdetexte"/>
    <w:rsid w:val="008C79C1"/>
    <w:rPr>
      <w:rFonts w:ascii="Times" w:eastAsia="Times" w:hAnsi="Times" w:cs="Times New Roman"/>
      <w:szCs w:val="20"/>
      <w:lang w:val="fr-FR"/>
    </w:rPr>
  </w:style>
  <w:style w:type="paragraph" w:styleId="En-tte">
    <w:name w:val="header"/>
    <w:basedOn w:val="Normal"/>
    <w:link w:val="En-tteCar"/>
    <w:uiPriority w:val="99"/>
    <w:unhideWhenUsed/>
    <w:rsid w:val="00434A42"/>
    <w:pPr>
      <w:tabs>
        <w:tab w:val="center" w:pos="4536"/>
        <w:tab w:val="right" w:pos="9072"/>
      </w:tabs>
    </w:pPr>
  </w:style>
  <w:style w:type="character" w:customStyle="1" w:styleId="En-tteCar">
    <w:name w:val="En-tête Car"/>
    <w:basedOn w:val="Policepardfaut"/>
    <w:link w:val="En-tte"/>
    <w:uiPriority w:val="99"/>
    <w:rsid w:val="00434A42"/>
    <w:rPr>
      <w:lang w:val="fr-FR"/>
    </w:rPr>
  </w:style>
  <w:style w:type="character" w:styleId="Numrodepage">
    <w:name w:val="page number"/>
    <w:basedOn w:val="Policepardfaut"/>
    <w:uiPriority w:val="99"/>
    <w:semiHidden/>
    <w:unhideWhenUsed/>
    <w:rsid w:val="00434A42"/>
  </w:style>
  <w:style w:type="character" w:styleId="Lienhypertexte">
    <w:name w:val="Hyperlink"/>
    <w:basedOn w:val="Policepardfaut"/>
    <w:uiPriority w:val="99"/>
    <w:unhideWhenUsed/>
    <w:rsid w:val="00E32AD1"/>
    <w:rPr>
      <w:color w:val="0000FF" w:themeColor="hyperlink"/>
      <w:u w:val="single"/>
    </w:rPr>
  </w:style>
  <w:style w:type="character" w:styleId="SiteHTML">
    <w:name w:val="HTML Cite"/>
    <w:basedOn w:val="Policepardfaut"/>
    <w:uiPriority w:val="99"/>
    <w:semiHidden/>
    <w:unhideWhenUsed/>
    <w:rsid w:val="00851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torme.be/ZCR-erfpachtopstal.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4F245-E5EC-B146-92EC-741C2719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10</Pages>
  <Words>3539</Words>
  <Characters>19467</Characters>
  <Application>Microsoft Macintosh Word</Application>
  <DocSecurity>0</DocSecurity>
  <Lines>162</Lines>
  <Paragraphs>45</Paragraphs>
  <ScaleCrop>false</ScaleCrop>
  <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Lecocq Pascale</dc:creator>
  <cp:keywords/>
  <dc:description/>
  <cp:lastModifiedBy>Lecocq Pascale</cp:lastModifiedBy>
  <cp:revision>17</cp:revision>
  <cp:lastPrinted>2013-12-04T17:14:00Z</cp:lastPrinted>
  <dcterms:created xsi:type="dcterms:W3CDTF">2013-12-01T08:57:00Z</dcterms:created>
  <dcterms:modified xsi:type="dcterms:W3CDTF">2013-12-05T18:46:00Z</dcterms:modified>
</cp:coreProperties>
</file>