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798" w:rsidRPr="0001137B" w:rsidRDefault="00B26798" w:rsidP="00B26798">
      <w:pPr>
        <w:pStyle w:val="Titre1"/>
        <w:spacing w:after="360"/>
        <w:rPr>
          <w:rStyle w:val="Accentuationdiscrte"/>
          <w:lang w:val="en-GB"/>
        </w:rPr>
      </w:pPr>
      <w:bookmarkStart w:id="0" w:name="_GoBack"/>
      <w:bookmarkEnd w:id="0"/>
      <w:proofErr w:type="gramStart"/>
      <w:r w:rsidRPr="0001137B">
        <w:rPr>
          <w:rStyle w:val="Accentuationdiscrte"/>
          <w:lang w:val="en-GB"/>
        </w:rPr>
        <w:t>Chapter 6 - Trickle-up in Politics?</w:t>
      </w:r>
      <w:proofErr w:type="gramEnd"/>
    </w:p>
    <w:p w:rsidR="00B26798" w:rsidRPr="0001137B" w:rsidRDefault="00B26798" w:rsidP="00B26798">
      <w:pPr>
        <w:spacing w:before="720" w:after="0"/>
        <w:jc w:val="right"/>
        <w:rPr>
          <w:sz w:val="24"/>
          <w:szCs w:val="24"/>
          <w:lang w:val="en-GB"/>
        </w:rPr>
      </w:pPr>
      <w:r w:rsidRPr="0001137B">
        <w:rPr>
          <w:i/>
          <w:sz w:val="24"/>
          <w:szCs w:val="24"/>
          <w:lang w:val="en-GB"/>
        </w:rPr>
        <w:t>Ignace Pollet</w:t>
      </w:r>
    </w:p>
    <w:p w:rsidR="00B26798" w:rsidRPr="0001137B" w:rsidRDefault="00B26798" w:rsidP="00B26798">
      <w:pPr>
        <w:jc w:val="right"/>
        <w:rPr>
          <w:lang w:val="en-GB"/>
        </w:rPr>
      </w:pPr>
      <w:r w:rsidRPr="0001137B">
        <w:rPr>
          <w:lang w:val="en-GB"/>
        </w:rPr>
        <w:t>HIVA - University of Leuven</w:t>
      </w:r>
    </w:p>
    <w:p w:rsidR="00B26798" w:rsidRPr="0001137B" w:rsidRDefault="00B26798" w:rsidP="00B26798">
      <w:pPr>
        <w:spacing w:after="0"/>
        <w:jc w:val="right"/>
        <w:rPr>
          <w:i/>
          <w:sz w:val="24"/>
          <w:szCs w:val="24"/>
          <w:lang w:val="en-GB"/>
        </w:rPr>
      </w:pPr>
      <w:r w:rsidRPr="0001137B">
        <w:rPr>
          <w:i/>
          <w:sz w:val="24"/>
          <w:szCs w:val="24"/>
          <w:lang w:val="en-GB"/>
        </w:rPr>
        <w:t>Benjamin Huybrechts</w:t>
      </w:r>
    </w:p>
    <w:p w:rsidR="00B26798" w:rsidRPr="0001137B" w:rsidRDefault="00B26798" w:rsidP="00B26798">
      <w:pPr>
        <w:jc w:val="right"/>
        <w:rPr>
          <w:lang w:val="en-GB"/>
        </w:rPr>
      </w:pPr>
      <w:r w:rsidRPr="0001137B">
        <w:rPr>
          <w:lang w:val="en-GB"/>
        </w:rPr>
        <w:t>CES - University of Liege</w:t>
      </w:r>
    </w:p>
    <w:p w:rsidR="00B26798" w:rsidRPr="0001137B" w:rsidRDefault="00B26798" w:rsidP="00B26798">
      <w:pPr>
        <w:jc w:val="left"/>
        <w:rPr>
          <w:sz w:val="24"/>
          <w:szCs w:val="24"/>
          <w:lang w:val="en-GB"/>
        </w:rPr>
      </w:pPr>
    </w:p>
    <w:p w:rsidR="00B26798" w:rsidRPr="0001137B" w:rsidRDefault="00B26798" w:rsidP="00B26798">
      <w:pPr>
        <w:rPr>
          <w:sz w:val="24"/>
          <w:szCs w:val="24"/>
          <w:lang w:val="en-GB"/>
        </w:rPr>
      </w:pPr>
      <w:r w:rsidRPr="0001137B">
        <w:rPr>
          <w:sz w:val="24"/>
          <w:szCs w:val="24"/>
          <w:lang w:val="en-GB"/>
        </w:rPr>
        <w:t xml:space="preserve">For a domain </w:t>
      </w:r>
      <w:r>
        <w:rPr>
          <w:sz w:val="24"/>
          <w:szCs w:val="24"/>
          <w:lang w:val="en-GB"/>
        </w:rPr>
        <w:t xml:space="preserve">such as </w:t>
      </w:r>
      <w:r w:rsidRPr="0001137B">
        <w:rPr>
          <w:sz w:val="24"/>
          <w:szCs w:val="24"/>
          <w:lang w:val="en-GB"/>
        </w:rPr>
        <w:t xml:space="preserve">development cooperation, public support and awareness raising become particularly relevant in view of converting ideas and opinions </w:t>
      </w:r>
      <w:r>
        <w:rPr>
          <w:sz w:val="24"/>
          <w:szCs w:val="24"/>
          <w:lang w:val="en-GB"/>
        </w:rPr>
        <w:t xml:space="preserve">current </w:t>
      </w:r>
      <w:r w:rsidRPr="0001137B">
        <w:rPr>
          <w:sz w:val="24"/>
          <w:szCs w:val="24"/>
          <w:lang w:val="en-GB"/>
        </w:rPr>
        <w:t xml:space="preserve">in society into political support, and eventually into a congruent policy. In this chapter, we first describe what is meant by the term political support. This is followed by an account of </w:t>
      </w:r>
      <w:r>
        <w:rPr>
          <w:sz w:val="24"/>
          <w:szCs w:val="24"/>
          <w:lang w:val="en-GB"/>
        </w:rPr>
        <w:t>our</w:t>
      </w:r>
      <w:r w:rsidRPr="0001137B">
        <w:rPr>
          <w:sz w:val="24"/>
          <w:szCs w:val="24"/>
          <w:lang w:val="en-GB"/>
        </w:rPr>
        <w:t xml:space="preserve"> research on the issue in the Belgian political world. </w:t>
      </w:r>
      <w:r>
        <w:rPr>
          <w:sz w:val="24"/>
          <w:szCs w:val="24"/>
          <w:lang w:val="en-GB"/>
        </w:rPr>
        <w:t xml:space="preserve">A key question here is to which extent political parties are concerned about development cooperation. </w:t>
      </w:r>
      <w:r w:rsidRPr="0001137B">
        <w:rPr>
          <w:sz w:val="24"/>
          <w:szCs w:val="24"/>
          <w:lang w:val="en-GB"/>
        </w:rPr>
        <w:t>At the end of this chapter, we briefly sum up the policy implications of the way politics are capturing public support for foreign aid.</w:t>
      </w:r>
    </w:p>
    <w:p w:rsidR="00B26798" w:rsidRPr="0001137B" w:rsidRDefault="00B26798" w:rsidP="00B26798">
      <w:pPr>
        <w:pStyle w:val="Titre2"/>
        <w:spacing w:before="360" w:after="240"/>
        <w:rPr>
          <w:b/>
          <w:sz w:val="24"/>
          <w:szCs w:val="24"/>
          <w:lang w:val="en-GB"/>
        </w:rPr>
      </w:pPr>
      <w:r w:rsidRPr="0001137B">
        <w:rPr>
          <w:b/>
          <w:sz w:val="24"/>
          <w:szCs w:val="24"/>
          <w:lang w:val="en-GB"/>
        </w:rPr>
        <w:t>Public opinion and foreign aid: a blind spot in decision-making theories?</w:t>
      </w:r>
    </w:p>
    <w:p w:rsidR="00B26798" w:rsidRPr="0001137B" w:rsidRDefault="00B26798" w:rsidP="00B26798">
      <w:pPr>
        <w:rPr>
          <w:sz w:val="24"/>
          <w:szCs w:val="24"/>
          <w:lang w:val="en-GB"/>
        </w:rPr>
      </w:pPr>
      <w:r>
        <w:rPr>
          <w:sz w:val="24"/>
          <w:szCs w:val="24"/>
          <w:lang w:val="en-GB"/>
        </w:rPr>
        <w:t>P</w:t>
      </w:r>
      <w:r w:rsidRPr="0001137B">
        <w:rPr>
          <w:sz w:val="24"/>
          <w:szCs w:val="24"/>
          <w:lang w:val="en-GB"/>
        </w:rPr>
        <w:t>olitical support for foreign aid is not a</w:t>
      </w:r>
      <w:r>
        <w:rPr>
          <w:sz w:val="24"/>
          <w:szCs w:val="24"/>
          <w:lang w:val="en-GB"/>
        </w:rPr>
        <w:t xml:space="preserve">n established </w:t>
      </w:r>
      <w:r w:rsidRPr="0001137B">
        <w:rPr>
          <w:sz w:val="24"/>
          <w:szCs w:val="24"/>
          <w:lang w:val="en-GB"/>
        </w:rPr>
        <w:t xml:space="preserve">concept. In this context we could define it as the willingness and the intention of the political world to convert public opinions and preferences into policy practice. While this definition may seem logical, it leaves many questions unanswered. These opinions and preferences are plural in the first place, which means they may be </w:t>
      </w:r>
      <w:r>
        <w:rPr>
          <w:sz w:val="24"/>
          <w:szCs w:val="24"/>
          <w:lang w:val="en-GB"/>
        </w:rPr>
        <w:t xml:space="preserve">the </w:t>
      </w:r>
      <w:r w:rsidRPr="0001137B">
        <w:rPr>
          <w:sz w:val="24"/>
          <w:szCs w:val="24"/>
          <w:lang w:val="en-GB"/>
        </w:rPr>
        <w:t xml:space="preserve">subject of debate, conflict and/or compromise. They may originate from public opinion at large, from the community of aid workers and their </w:t>
      </w:r>
      <w:r>
        <w:rPr>
          <w:sz w:val="24"/>
          <w:szCs w:val="24"/>
          <w:lang w:val="en-GB"/>
        </w:rPr>
        <w:t xml:space="preserve">circles </w:t>
      </w:r>
      <w:r w:rsidRPr="0001137B">
        <w:rPr>
          <w:sz w:val="24"/>
          <w:szCs w:val="24"/>
          <w:lang w:val="en-GB"/>
        </w:rPr>
        <w:t xml:space="preserve">(educators, facilitators, consultants and the likes), or from other sectors in civil society. The </w:t>
      </w:r>
      <w:r>
        <w:rPr>
          <w:sz w:val="24"/>
          <w:szCs w:val="24"/>
          <w:lang w:val="en-GB"/>
        </w:rPr>
        <w:t>‘</w:t>
      </w:r>
      <w:r w:rsidRPr="0001137B">
        <w:rPr>
          <w:sz w:val="24"/>
          <w:szCs w:val="24"/>
          <w:lang w:val="en-GB"/>
        </w:rPr>
        <w:t>political world</w:t>
      </w:r>
      <w:r>
        <w:rPr>
          <w:sz w:val="24"/>
          <w:szCs w:val="24"/>
          <w:lang w:val="en-GB"/>
        </w:rPr>
        <w:t>’</w:t>
      </w:r>
      <w:r w:rsidRPr="0001137B">
        <w:rPr>
          <w:sz w:val="24"/>
          <w:szCs w:val="24"/>
          <w:lang w:val="en-GB"/>
        </w:rPr>
        <w:t xml:space="preserve"> is another term that needs </w:t>
      </w:r>
      <w:r>
        <w:rPr>
          <w:sz w:val="24"/>
          <w:szCs w:val="24"/>
          <w:lang w:val="en-GB"/>
        </w:rPr>
        <w:t xml:space="preserve">elaborating. </w:t>
      </w:r>
      <w:r w:rsidRPr="0001137B">
        <w:rPr>
          <w:sz w:val="24"/>
          <w:szCs w:val="24"/>
          <w:lang w:val="en-GB"/>
        </w:rPr>
        <w:t xml:space="preserve">In most parliamentary democracies as we </w:t>
      </w:r>
      <w:proofErr w:type="gramStart"/>
      <w:r w:rsidRPr="0001137B">
        <w:rPr>
          <w:sz w:val="24"/>
          <w:szCs w:val="24"/>
          <w:lang w:val="en-GB"/>
        </w:rPr>
        <w:t>know</w:t>
      </w:r>
      <w:proofErr w:type="gramEnd"/>
      <w:r w:rsidRPr="0001137B">
        <w:rPr>
          <w:sz w:val="24"/>
          <w:szCs w:val="24"/>
          <w:lang w:val="en-GB"/>
        </w:rPr>
        <w:t xml:space="preserve"> them, the diversity of opinions, interests and value systems </w:t>
      </w:r>
      <w:r>
        <w:rPr>
          <w:sz w:val="24"/>
          <w:szCs w:val="24"/>
          <w:lang w:val="en-GB"/>
        </w:rPr>
        <w:t xml:space="preserve">are </w:t>
      </w:r>
      <w:r w:rsidRPr="0001137B">
        <w:rPr>
          <w:sz w:val="24"/>
          <w:szCs w:val="24"/>
          <w:lang w:val="en-GB"/>
        </w:rPr>
        <w:t xml:space="preserve">channelled through political parties </w:t>
      </w:r>
      <w:r>
        <w:rPr>
          <w:sz w:val="24"/>
          <w:szCs w:val="24"/>
          <w:lang w:val="en-GB"/>
        </w:rPr>
        <w:t xml:space="preserve">which </w:t>
      </w:r>
      <w:r w:rsidRPr="0001137B">
        <w:rPr>
          <w:sz w:val="24"/>
          <w:szCs w:val="24"/>
          <w:lang w:val="en-GB"/>
        </w:rPr>
        <w:t xml:space="preserve">come at the fore with programmes </w:t>
      </w:r>
      <w:r>
        <w:rPr>
          <w:sz w:val="24"/>
          <w:szCs w:val="24"/>
          <w:lang w:val="en-GB"/>
        </w:rPr>
        <w:t xml:space="preserve">that </w:t>
      </w:r>
      <w:r w:rsidRPr="0001137B">
        <w:rPr>
          <w:sz w:val="24"/>
          <w:szCs w:val="24"/>
          <w:lang w:val="en-GB"/>
        </w:rPr>
        <w:t xml:space="preserve">are subject to electoral vote. The outcome of the vote decides who will be in parliament and eventually in government. In an attempt to simplify a genuinely complex system, we could therefore make a distinction between three </w:t>
      </w:r>
      <w:proofErr w:type="gramStart"/>
      <w:r>
        <w:rPr>
          <w:sz w:val="24"/>
          <w:szCs w:val="24"/>
          <w:lang w:val="en-GB"/>
        </w:rPr>
        <w:t>‘</w:t>
      </w:r>
      <w:r w:rsidRPr="0001137B">
        <w:rPr>
          <w:sz w:val="24"/>
          <w:szCs w:val="24"/>
          <w:lang w:val="en-GB"/>
        </w:rPr>
        <w:t>layers</w:t>
      </w:r>
      <w:r>
        <w:rPr>
          <w:sz w:val="24"/>
          <w:szCs w:val="24"/>
          <w:lang w:val="en-GB"/>
        </w:rPr>
        <w:t>’</w:t>
      </w:r>
      <w:r w:rsidRPr="0001137B">
        <w:rPr>
          <w:sz w:val="24"/>
          <w:szCs w:val="24"/>
          <w:lang w:val="en-GB"/>
        </w:rPr>
        <w:t xml:space="preserve"> which</w:t>
      </w:r>
      <w:proofErr w:type="gramEnd"/>
      <w:r w:rsidRPr="0001137B">
        <w:rPr>
          <w:sz w:val="24"/>
          <w:szCs w:val="24"/>
          <w:lang w:val="en-GB"/>
        </w:rPr>
        <w:t xml:space="preserve"> together constitute the political sphere: the political parties, the parliament and the government. In this research, we mainly focus on the first layer, i.e. the political parties.</w:t>
      </w:r>
    </w:p>
    <w:p w:rsidR="00B26798" w:rsidRPr="0001137B" w:rsidRDefault="00B26798" w:rsidP="00B26798">
      <w:pPr>
        <w:rPr>
          <w:sz w:val="24"/>
          <w:szCs w:val="24"/>
          <w:lang w:val="en-GB"/>
        </w:rPr>
      </w:pPr>
      <w:r>
        <w:rPr>
          <w:sz w:val="24"/>
          <w:szCs w:val="24"/>
          <w:lang w:val="en-GB"/>
        </w:rPr>
        <w:t xml:space="preserve">Conducting </w:t>
      </w:r>
      <w:r w:rsidRPr="0001137B">
        <w:rPr>
          <w:sz w:val="24"/>
          <w:szCs w:val="24"/>
          <w:lang w:val="en-GB"/>
        </w:rPr>
        <w:t xml:space="preserve">empirical research on the </w:t>
      </w:r>
      <w:r>
        <w:rPr>
          <w:sz w:val="24"/>
          <w:szCs w:val="24"/>
          <w:lang w:val="en-GB"/>
        </w:rPr>
        <w:t xml:space="preserve">manner in which </w:t>
      </w:r>
      <w:r w:rsidRPr="0001137B">
        <w:rPr>
          <w:sz w:val="24"/>
          <w:szCs w:val="24"/>
          <w:lang w:val="en-GB"/>
        </w:rPr>
        <w:t>ideas and opinions on foreign aid are converted in</w:t>
      </w:r>
      <w:r>
        <w:rPr>
          <w:sz w:val="24"/>
          <w:szCs w:val="24"/>
          <w:lang w:val="en-GB"/>
        </w:rPr>
        <w:t xml:space="preserve">to </w:t>
      </w:r>
      <w:r w:rsidRPr="0001137B">
        <w:rPr>
          <w:sz w:val="24"/>
          <w:szCs w:val="24"/>
          <w:lang w:val="en-GB"/>
        </w:rPr>
        <w:t xml:space="preserve">political decisions would be greatly served by a plausible hypothesis, derived from equally plausible political theory. Unfortunately, foreign aid seems to be a blind spot in theories on political decision-making. Most authors such as </w:t>
      </w:r>
      <w:proofErr w:type="spellStart"/>
      <w:r w:rsidRPr="0001137B">
        <w:rPr>
          <w:sz w:val="24"/>
          <w:szCs w:val="24"/>
          <w:lang w:val="en-GB"/>
        </w:rPr>
        <w:t>Lasswell</w:t>
      </w:r>
      <w:proofErr w:type="spellEnd"/>
      <w:r w:rsidRPr="0001137B">
        <w:rPr>
          <w:sz w:val="24"/>
          <w:szCs w:val="24"/>
          <w:lang w:val="en-GB"/>
        </w:rPr>
        <w:t xml:space="preserve"> (1956) and </w:t>
      </w:r>
      <w:proofErr w:type="spellStart"/>
      <w:r w:rsidRPr="0001137B">
        <w:rPr>
          <w:sz w:val="24"/>
          <w:szCs w:val="24"/>
          <w:lang w:val="en-GB"/>
        </w:rPr>
        <w:t>Dror</w:t>
      </w:r>
      <w:proofErr w:type="spellEnd"/>
      <w:r w:rsidRPr="0001137B">
        <w:rPr>
          <w:sz w:val="24"/>
          <w:szCs w:val="24"/>
          <w:lang w:val="en-GB"/>
        </w:rPr>
        <w:t xml:space="preserve"> (1989)</w:t>
      </w:r>
      <w:r>
        <w:rPr>
          <w:sz w:val="24"/>
          <w:szCs w:val="24"/>
          <w:lang w:val="en-GB"/>
        </w:rPr>
        <w:t>,</w:t>
      </w:r>
      <w:r w:rsidRPr="0001137B">
        <w:rPr>
          <w:sz w:val="24"/>
          <w:szCs w:val="24"/>
          <w:lang w:val="en-GB"/>
        </w:rPr>
        <w:t xml:space="preserve"> </w:t>
      </w:r>
      <w:r w:rsidRPr="0001137B">
        <w:rPr>
          <w:sz w:val="24"/>
          <w:szCs w:val="24"/>
          <w:lang w:val="en-GB"/>
        </w:rPr>
        <w:lastRenderedPageBreak/>
        <w:t xml:space="preserve">who </w:t>
      </w:r>
      <w:r>
        <w:rPr>
          <w:sz w:val="24"/>
          <w:szCs w:val="24"/>
          <w:lang w:val="en-GB"/>
        </w:rPr>
        <w:t xml:space="preserve">have </w:t>
      </w:r>
      <w:r w:rsidRPr="0001137B">
        <w:rPr>
          <w:sz w:val="24"/>
          <w:szCs w:val="24"/>
          <w:lang w:val="en-GB"/>
        </w:rPr>
        <w:t>studied decision-making processes over the years</w:t>
      </w:r>
      <w:r>
        <w:rPr>
          <w:sz w:val="24"/>
          <w:szCs w:val="24"/>
          <w:lang w:val="en-GB"/>
        </w:rPr>
        <w:t>,</w:t>
      </w:r>
      <w:r w:rsidRPr="0001137B">
        <w:rPr>
          <w:sz w:val="24"/>
          <w:szCs w:val="24"/>
          <w:lang w:val="en-GB"/>
        </w:rPr>
        <w:t xml:space="preserve"> used to stick with the paradigm of influence exerted by interest groups as </w:t>
      </w:r>
      <w:r>
        <w:rPr>
          <w:sz w:val="24"/>
          <w:szCs w:val="24"/>
          <w:lang w:val="en-GB"/>
        </w:rPr>
        <w:t xml:space="preserve">their </w:t>
      </w:r>
      <w:r w:rsidRPr="0001137B">
        <w:rPr>
          <w:sz w:val="24"/>
          <w:szCs w:val="24"/>
          <w:lang w:val="en-GB"/>
        </w:rPr>
        <w:t xml:space="preserve">starting point. When the effect of public opinion is at stake, authors like Kinder and Sears (1985) refer to social psychology mechanisms to explain the determinants of vote choices and political beliefs. In these, self-interest, group identification and the effect of leadership </w:t>
      </w:r>
      <w:r>
        <w:rPr>
          <w:sz w:val="24"/>
          <w:szCs w:val="24"/>
          <w:lang w:val="en-GB"/>
        </w:rPr>
        <w:t xml:space="preserve">appear </w:t>
      </w:r>
      <w:r w:rsidRPr="0001137B">
        <w:rPr>
          <w:sz w:val="24"/>
          <w:szCs w:val="24"/>
          <w:lang w:val="en-GB"/>
        </w:rPr>
        <w:t>much more important than values and rational choices. It is often admitted that foreign policy is the odd one out in decision-making processes. Compared to home affairs, foreign policy is determined by tradition, existing alliances, economic interests and security. Foreign aid (or development cooperation) is in a different league of drivers</w:t>
      </w:r>
      <w:r w:rsidRPr="00FE0E2E">
        <w:rPr>
          <w:sz w:val="24"/>
          <w:szCs w:val="24"/>
          <w:lang w:val="en-GB"/>
        </w:rPr>
        <w:t xml:space="preserve"> </w:t>
      </w:r>
      <w:r>
        <w:rPr>
          <w:sz w:val="24"/>
          <w:szCs w:val="24"/>
          <w:lang w:val="en-GB"/>
        </w:rPr>
        <w:t xml:space="preserve">yet </w:t>
      </w:r>
      <w:r w:rsidRPr="00FE0E2E">
        <w:rPr>
          <w:sz w:val="24"/>
          <w:szCs w:val="24"/>
          <w:lang w:val="en-GB"/>
        </w:rPr>
        <w:t>again</w:t>
      </w:r>
      <w:r w:rsidRPr="0001137B">
        <w:rPr>
          <w:sz w:val="24"/>
          <w:szCs w:val="24"/>
          <w:lang w:val="en-GB"/>
        </w:rPr>
        <w:t>. Generic decision-making theories therefore tend to be less applicable for foreign aid than for other issues.</w:t>
      </w:r>
    </w:p>
    <w:p w:rsidR="00B26798" w:rsidRPr="0001137B" w:rsidRDefault="00B26798" w:rsidP="00B26798">
      <w:pPr>
        <w:rPr>
          <w:sz w:val="24"/>
          <w:szCs w:val="24"/>
          <w:lang w:val="en-GB"/>
        </w:rPr>
      </w:pPr>
      <w:r w:rsidRPr="0001137B">
        <w:rPr>
          <w:sz w:val="24"/>
          <w:szCs w:val="24"/>
          <w:lang w:val="en-GB"/>
        </w:rPr>
        <w:t>That is why our empirical research has taken a more inductive turn. The</w:t>
      </w:r>
      <w:r w:rsidRPr="0001137B">
        <w:rPr>
          <w:rFonts w:cs="Calibri"/>
          <w:sz w:val="24"/>
          <w:szCs w:val="24"/>
          <w:lang w:val="en-GB"/>
        </w:rPr>
        <w:t xml:space="preserve"> research questions were three-fold. First, we wished to examine the </w:t>
      </w:r>
      <w:r w:rsidRPr="0001137B">
        <w:rPr>
          <w:rFonts w:cs="Calibri"/>
          <w:bCs/>
          <w:i/>
          <w:sz w:val="24"/>
          <w:szCs w:val="24"/>
          <w:lang w:val="en-GB"/>
        </w:rPr>
        <w:t>structural attention</w:t>
      </w:r>
      <w:r w:rsidRPr="0001137B">
        <w:rPr>
          <w:rFonts w:cs="Calibri"/>
          <w:b/>
          <w:bCs/>
          <w:sz w:val="24"/>
          <w:szCs w:val="24"/>
          <w:lang w:val="en-GB"/>
        </w:rPr>
        <w:t xml:space="preserve"> </w:t>
      </w:r>
      <w:r w:rsidRPr="0001137B">
        <w:rPr>
          <w:rFonts w:cs="Calibri"/>
          <w:sz w:val="24"/>
          <w:szCs w:val="24"/>
          <w:lang w:val="en-GB"/>
        </w:rPr>
        <w:t xml:space="preserve">devoted to development cooperation within political parties. The second aim was to understand the </w:t>
      </w:r>
      <w:r w:rsidRPr="0001137B">
        <w:rPr>
          <w:rFonts w:cs="Calibri"/>
          <w:bCs/>
          <w:i/>
          <w:sz w:val="24"/>
          <w:szCs w:val="24"/>
          <w:lang w:val="en-GB"/>
        </w:rPr>
        <w:t>mechanisms</w:t>
      </w:r>
      <w:r w:rsidRPr="0001137B">
        <w:rPr>
          <w:rFonts w:cs="Calibri"/>
          <w:sz w:val="24"/>
          <w:szCs w:val="24"/>
          <w:lang w:val="en-GB"/>
        </w:rPr>
        <w:t xml:space="preserve"> through which political parties interact with and take into account the demands of civil society. Finally, the research intended to explore the </w:t>
      </w:r>
      <w:r w:rsidRPr="0001137B">
        <w:rPr>
          <w:rFonts w:cs="Calibri"/>
          <w:bCs/>
          <w:i/>
          <w:sz w:val="24"/>
          <w:szCs w:val="24"/>
          <w:lang w:val="en-GB"/>
        </w:rPr>
        <w:t>outcome</w:t>
      </w:r>
      <w:r w:rsidRPr="0001137B">
        <w:rPr>
          <w:rFonts w:cs="Calibri"/>
          <w:sz w:val="24"/>
          <w:szCs w:val="24"/>
          <w:lang w:val="en-GB"/>
        </w:rPr>
        <w:t xml:space="preserve"> of civil society</w:t>
      </w:r>
      <w:r>
        <w:rPr>
          <w:rFonts w:cs="Calibri"/>
          <w:sz w:val="24"/>
          <w:szCs w:val="24"/>
          <w:lang w:val="en-GB"/>
        </w:rPr>
        <w:t>’</w:t>
      </w:r>
      <w:r w:rsidRPr="0001137B">
        <w:rPr>
          <w:rFonts w:cs="Calibri"/>
          <w:sz w:val="24"/>
          <w:szCs w:val="24"/>
          <w:lang w:val="en-GB"/>
        </w:rPr>
        <w:t xml:space="preserve">s lobbying on politicians in terms of their vision of </w:t>
      </w:r>
      <w:r>
        <w:rPr>
          <w:rFonts w:cs="Calibri"/>
          <w:sz w:val="24"/>
          <w:szCs w:val="24"/>
          <w:lang w:val="en-GB"/>
        </w:rPr>
        <w:t>development cooperation</w:t>
      </w:r>
      <w:r w:rsidRPr="0001137B">
        <w:rPr>
          <w:rFonts w:cs="Calibri"/>
          <w:sz w:val="24"/>
          <w:szCs w:val="24"/>
          <w:lang w:val="en-GB"/>
        </w:rPr>
        <w:t xml:space="preserve"> and their support to civil society and more broadly the </w:t>
      </w:r>
      <w:r>
        <w:rPr>
          <w:rFonts w:cs="Calibri"/>
          <w:sz w:val="24"/>
          <w:szCs w:val="24"/>
          <w:lang w:val="en-GB"/>
        </w:rPr>
        <w:t>public support</w:t>
      </w:r>
      <w:r w:rsidRPr="0001137B">
        <w:rPr>
          <w:rFonts w:cs="Calibri"/>
          <w:sz w:val="24"/>
          <w:szCs w:val="24"/>
          <w:lang w:val="en-GB"/>
        </w:rPr>
        <w:t xml:space="preserve"> for </w:t>
      </w:r>
      <w:r>
        <w:rPr>
          <w:rFonts w:cs="Calibri"/>
          <w:sz w:val="24"/>
          <w:szCs w:val="24"/>
          <w:lang w:val="en-GB"/>
        </w:rPr>
        <w:t>development cooperation</w:t>
      </w:r>
      <w:r w:rsidRPr="0001137B">
        <w:rPr>
          <w:rFonts w:cs="Calibri"/>
          <w:sz w:val="24"/>
          <w:szCs w:val="24"/>
          <w:lang w:val="en-GB"/>
        </w:rPr>
        <w:t>. In order to answer these questions, a</w:t>
      </w:r>
      <w:r w:rsidRPr="0001137B">
        <w:rPr>
          <w:sz w:val="24"/>
          <w:szCs w:val="24"/>
          <w:lang w:val="en-GB"/>
        </w:rPr>
        <w:t xml:space="preserve"> series of semi-structured interviews was carried out with representatives of all democratic political parties and civil society. The civil society actors interviewed included development NGOs, the political NGO</w:t>
      </w:r>
      <w:r>
        <w:rPr>
          <w:sz w:val="24"/>
          <w:szCs w:val="24"/>
          <w:lang w:val="en-GB"/>
        </w:rPr>
        <w:t xml:space="preserve"> </w:t>
      </w:r>
      <w:r w:rsidRPr="0001137B">
        <w:rPr>
          <w:sz w:val="24"/>
          <w:szCs w:val="24"/>
          <w:lang w:val="en-GB"/>
        </w:rPr>
        <w:t>platforms representing them (11.11.11 and CNCD) and the NGO</w:t>
      </w:r>
      <w:r>
        <w:rPr>
          <w:sz w:val="24"/>
          <w:szCs w:val="24"/>
          <w:lang w:val="en-GB"/>
        </w:rPr>
        <w:t xml:space="preserve"> </w:t>
      </w:r>
      <w:r w:rsidRPr="0001137B">
        <w:rPr>
          <w:sz w:val="24"/>
          <w:szCs w:val="24"/>
          <w:lang w:val="en-GB"/>
        </w:rPr>
        <w:t>federations.</w:t>
      </w:r>
    </w:p>
    <w:p w:rsidR="00B26798" w:rsidRPr="0001137B" w:rsidRDefault="00B26798" w:rsidP="00B26798">
      <w:pPr>
        <w:pStyle w:val="Titre2"/>
        <w:spacing w:before="360" w:after="240"/>
        <w:rPr>
          <w:b/>
          <w:sz w:val="24"/>
          <w:szCs w:val="24"/>
          <w:lang w:val="en-GB"/>
        </w:rPr>
      </w:pPr>
      <w:bookmarkStart w:id="1" w:name="_Toc358966822"/>
      <w:r w:rsidRPr="0001137B">
        <w:rPr>
          <w:b/>
          <w:sz w:val="24"/>
          <w:szCs w:val="24"/>
          <w:lang w:val="en-GB"/>
        </w:rPr>
        <w:t>The role of civil society in shaping political support for development cooperation</w:t>
      </w:r>
      <w:bookmarkEnd w:id="1"/>
    </w:p>
    <w:p w:rsidR="00B26798" w:rsidRPr="0001137B" w:rsidRDefault="00B26798" w:rsidP="00B26798">
      <w:pPr>
        <w:spacing w:before="120" w:line="320" w:lineRule="exact"/>
        <w:ind w:left="-15" w:right="15"/>
        <w:rPr>
          <w:rFonts w:cs="Calibri"/>
          <w:sz w:val="24"/>
          <w:szCs w:val="24"/>
          <w:lang w:val="en-GB"/>
        </w:rPr>
      </w:pPr>
      <w:r>
        <w:rPr>
          <w:rFonts w:cs="Calibri"/>
          <w:sz w:val="24"/>
          <w:szCs w:val="24"/>
          <w:lang w:val="en-GB"/>
        </w:rPr>
        <w:t xml:space="preserve">Even when </w:t>
      </w:r>
      <w:r w:rsidRPr="0001137B">
        <w:rPr>
          <w:rFonts w:cs="Calibri"/>
          <w:sz w:val="24"/>
          <w:szCs w:val="24"/>
          <w:lang w:val="en-GB"/>
        </w:rPr>
        <w:t xml:space="preserve">NGOs </w:t>
      </w:r>
      <w:r>
        <w:rPr>
          <w:rFonts w:cs="Calibri"/>
          <w:sz w:val="24"/>
          <w:szCs w:val="24"/>
          <w:lang w:val="en-GB"/>
        </w:rPr>
        <w:t xml:space="preserve">do not by definition reflect the public opinion on development cooperation, </w:t>
      </w:r>
      <w:r w:rsidRPr="0001137B">
        <w:rPr>
          <w:rFonts w:cs="Calibri"/>
          <w:sz w:val="24"/>
          <w:szCs w:val="24"/>
          <w:lang w:val="en-GB"/>
        </w:rPr>
        <w:t xml:space="preserve">we took </w:t>
      </w:r>
      <w:r>
        <w:rPr>
          <w:rFonts w:cs="Calibri"/>
          <w:sz w:val="24"/>
          <w:szCs w:val="24"/>
          <w:lang w:val="en-GB"/>
        </w:rPr>
        <w:t xml:space="preserve">their role </w:t>
      </w:r>
      <w:r w:rsidRPr="0001137B">
        <w:rPr>
          <w:rFonts w:cs="Calibri"/>
          <w:sz w:val="24"/>
          <w:szCs w:val="24"/>
          <w:lang w:val="en-GB"/>
        </w:rPr>
        <w:t>as the starting point for our reconstruction of the way public opinion is converted into policy practice. NGOs may see it as their task to influence and to increase awareness of the politicians (Grenade, 2007). They can follow different strategies to achieve this. They can work inside the political system by lobbying</w:t>
      </w:r>
      <w:r>
        <w:rPr>
          <w:rFonts w:cs="Calibri"/>
          <w:sz w:val="24"/>
          <w:szCs w:val="24"/>
          <w:lang w:val="en-GB"/>
        </w:rPr>
        <w:t>,</w:t>
      </w:r>
      <w:r w:rsidRPr="0001137B">
        <w:rPr>
          <w:rFonts w:cs="Calibri"/>
          <w:sz w:val="24"/>
          <w:szCs w:val="24"/>
          <w:lang w:val="en-GB"/>
        </w:rPr>
        <w:t xml:space="preserve"> or outside the system by </w:t>
      </w:r>
      <w:r>
        <w:rPr>
          <w:rFonts w:cs="Calibri"/>
          <w:sz w:val="24"/>
          <w:szCs w:val="24"/>
          <w:lang w:val="en-GB"/>
        </w:rPr>
        <w:t xml:space="preserve">applying </w:t>
      </w:r>
      <w:r w:rsidRPr="0001137B">
        <w:rPr>
          <w:rFonts w:cs="Calibri"/>
          <w:sz w:val="24"/>
          <w:szCs w:val="24"/>
          <w:lang w:val="en-GB"/>
        </w:rPr>
        <w:t>pressure through mobil</w:t>
      </w:r>
      <w:r>
        <w:rPr>
          <w:rFonts w:cs="Calibri"/>
          <w:sz w:val="24"/>
          <w:szCs w:val="24"/>
          <w:lang w:val="en-GB"/>
        </w:rPr>
        <w:t>isa</w:t>
      </w:r>
      <w:r w:rsidRPr="0001137B">
        <w:rPr>
          <w:rFonts w:cs="Calibri"/>
          <w:sz w:val="24"/>
          <w:szCs w:val="24"/>
          <w:lang w:val="en-GB"/>
        </w:rPr>
        <w:t>tion of the public. NGOs may question politicians if they fail to real</w:t>
      </w:r>
      <w:r>
        <w:rPr>
          <w:rFonts w:cs="Calibri"/>
          <w:sz w:val="24"/>
          <w:szCs w:val="24"/>
          <w:lang w:val="en-GB"/>
        </w:rPr>
        <w:t>ise</w:t>
      </w:r>
      <w:r w:rsidRPr="0001137B">
        <w:rPr>
          <w:rFonts w:cs="Calibri"/>
          <w:sz w:val="24"/>
          <w:szCs w:val="24"/>
          <w:lang w:val="en-GB"/>
        </w:rPr>
        <w:t xml:space="preserve"> their announced political projects. If they do not accept the development cooperation view of the political power, NGOs may invite them to adopt different views based on their expertise. NGOs can try to convince politicians via the public sphere. Additionally, NGOs may act proactively in order to induce their vision of development cooperation in the political complex. As non-state actors, NGOs try to influence public policy, either through the parties or directly through the Minister and his</w:t>
      </w:r>
      <w:r>
        <w:rPr>
          <w:rFonts w:cs="Calibri"/>
          <w:sz w:val="24"/>
          <w:szCs w:val="24"/>
          <w:lang w:val="en-GB"/>
        </w:rPr>
        <w:t xml:space="preserve"> or </w:t>
      </w:r>
      <w:r w:rsidRPr="0001137B">
        <w:rPr>
          <w:rFonts w:cs="Calibri"/>
          <w:sz w:val="24"/>
          <w:szCs w:val="24"/>
          <w:lang w:val="en-GB"/>
        </w:rPr>
        <w:t>her cabinet.</w:t>
      </w:r>
    </w:p>
    <w:p w:rsidR="00B26798" w:rsidRPr="0001137B" w:rsidRDefault="00B26798" w:rsidP="00B26798">
      <w:pPr>
        <w:pStyle w:val="Retraitnormal"/>
        <w:spacing w:before="120" w:line="320" w:lineRule="exact"/>
        <w:ind w:left="0"/>
        <w:rPr>
          <w:rFonts w:asciiTheme="minorHAnsi" w:hAnsiTheme="minorHAnsi"/>
          <w:lang w:val="en-GB"/>
        </w:rPr>
      </w:pPr>
      <w:r w:rsidRPr="0001137B">
        <w:rPr>
          <w:rFonts w:asciiTheme="minorHAnsi" w:hAnsiTheme="minorHAnsi"/>
          <w:lang w:val="en-GB"/>
        </w:rPr>
        <w:t xml:space="preserve">However, NGOs do not always find themselves in an easy position to implement these strategies. Their relationship with the Belgian administration for development cooperation has a </w:t>
      </w:r>
      <w:proofErr w:type="gramStart"/>
      <w:r w:rsidRPr="0001137B">
        <w:rPr>
          <w:rFonts w:asciiTheme="minorHAnsi" w:hAnsiTheme="minorHAnsi"/>
          <w:lang w:val="en-GB"/>
        </w:rPr>
        <w:t>history which</w:t>
      </w:r>
      <w:proofErr w:type="gramEnd"/>
      <w:r w:rsidRPr="0001137B">
        <w:rPr>
          <w:rFonts w:asciiTheme="minorHAnsi" w:hAnsiTheme="minorHAnsi"/>
          <w:lang w:val="en-GB"/>
        </w:rPr>
        <w:t xml:space="preserve"> is character</w:t>
      </w:r>
      <w:r>
        <w:rPr>
          <w:rFonts w:asciiTheme="minorHAnsi" w:hAnsiTheme="minorHAnsi"/>
          <w:lang w:val="en-GB"/>
        </w:rPr>
        <w:t>ise</w:t>
      </w:r>
      <w:r w:rsidRPr="0001137B">
        <w:rPr>
          <w:rFonts w:asciiTheme="minorHAnsi" w:hAnsiTheme="minorHAnsi"/>
          <w:lang w:val="en-GB"/>
        </w:rPr>
        <w:t>d by a certain degree of antagonism (Develtere, Fonteneau &amp; Pollet, 2004). Recogn</w:t>
      </w:r>
      <w:r>
        <w:rPr>
          <w:rFonts w:asciiTheme="minorHAnsi" w:hAnsiTheme="minorHAnsi"/>
          <w:lang w:val="en-GB"/>
        </w:rPr>
        <w:t>ise</w:t>
      </w:r>
      <w:r w:rsidRPr="0001137B">
        <w:rPr>
          <w:rFonts w:asciiTheme="minorHAnsi" w:hAnsiTheme="minorHAnsi"/>
          <w:lang w:val="en-GB"/>
        </w:rPr>
        <w:t>d NGOs have been subsid</w:t>
      </w:r>
      <w:r>
        <w:rPr>
          <w:rFonts w:asciiTheme="minorHAnsi" w:hAnsiTheme="minorHAnsi"/>
          <w:lang w:val="en-GB"/>
        </w:rPr>
        <w:t>ise</w:t>
      </w:r>
      <w:r w:rsidRPr="0001137B">
        <w:rPr>
          <w:rFonts w:asciiTheme="minorHAnsi" w:hAnsiTheme="minorHAnsi"/>
          <w:lang w:val="en-GB"/>
        </w:rPr>
        <w:t xml:space="preserve">d by the government </w:t>
      </w:r>
      <w:r>
        <w:rPr>
          <w:rFonts w:asciiTheme="minorHAnsi" w:hAnsiTheme="minorHAnsi"/>
          <w:lang w:val="en-GB"/>
        </w:rPr>
        <w:t xml:space="preserve">at </w:t>
      </w:r>
      <w:r w:rsidRPr="0001137B">
        <w:rPr>
          <w:rFonts w:asciiTheme="minorHAnsi" w:hAnsiTheme="minorHAnsi"/>
          <w:lang w:val="en-GB"/>
        </w:rPr>
        <w:t>up to 85% of their aid budget, making their projects subject to approval and evaluation (</w:t>
      </w:r>
      <w:proofErr w:type="spellStart"/>
      <w:r w:rsidRPr="0001137B">
        <w:rPr>
          <w:rFonts w:asciiTheme="minorHAnsi" w:hAnsiTheme="minorHAnsi"/>
          <w:lang w:val="en-GB"/>
        </w:rPr>
        <w:t>Stangherlin</w:t>
      </w:r>
      <w:proofErr w:type="spellEnd"/>
      <w:r w:rsidRPr="0001137B">
        <w:rPr>
          <w:rFonts w:asciiTheme="minorHAnsi" w:hAnsiTheme="minorHAnsi"/>
          <w:lang w:val="en-GB"/>
        </w:rPr>
        <w:t xml:space="preserve">, </w:t>
      </w:r>
      <w:r w:rsidRPr="0001137B">
        <w:rPr>
          <w:rFonts w:asciiTheme="minorHAnsi" w:hAnsiTheme="minorHAnsi"/>
          <w:lang w:val="en-GB"/>
        </w:rPr>
        <w:lastRenderedPageBreak/>
        <w:t xml:space="preserve">2001; </w:t>
      </w:r>
      <w:proofErr w:type="spellStart"/>
      <w:r w:rsidRPr="0001137B">
        <w:rPr>
          <w:rFonts w:asciiTheme="minorHAnsi" w:hAnsiTheme="minorHAnsi"/>
          <w:lang w:val="en-GB"/>
        </w:rPr>
        <w:t>Mahy</w:t>
      </w:r>
      <w:proofErr w:type="spellEnd"/>
      <w:r w:rsidRPr="0001137B">
        <w:rPr>
          <w:rFonts w:asciiTheme="minorHAnsi" w:hAnsiTheme="minorHAnsi"/>
          <w:lang w:val="en-GB"/>
        </w:rPr>
        <w:t xml:space="preserve">, 2011). Depending on the point of view one </w:t>
      </w:r>
      <w:r>
        <w:rPr>
          <w:rFonts w:asciiTheme="minorHAnsi" w:hAnsiTheme="minorHAnsi"/>
          <w:lang w:val="en-GB"/>
        </w:rPr>
        <w:t>adopts</w:t>
      </w:r>
      <w:r w:rsidRPr="0001137B">
        <w:rPr>
          <w:rFonts w:asciiTheme="minorHAnsi" w:hAnsiTheme="minorHAnsi"/>
          <w:lang w:val="en-GB"/>
        </w:rPr>
        <w:t xml:space="preserve">, NGOs can be seen as </w:t>
      </w:r>
      <w:r>
        <w:rPr>
          <w:rFonts w:asciiTheme="minorHAnsi" w:hAnsiTheme="minorHAnsi"/>
          <w:lang w:val="en-GB"/>
        </w:rPr>
        <w:t>‘</w:t>
      </w:r>
      <w:r w:rsidRPr="0001137B">
        <w:rPr>
          <w:rFonts w:asciiTheme="minorHAnsi" w:hAnsiTheme="minorHAnsi"/>
          <w:lang w:val="en-GB"/>
        </w:rPr>
        <w:t>subcontractors</w:t>
      </w:r>
      <w:r>
        <w:rPr>
          <w:rFonts w:asciiTheme="minorHAnsi" w:hAnsiTheme="minorHAnsi"/>
          <w:lang w:val="en-GB"/>
        </w:rPr>
        <w:t>’</w:t>
      </w:r>
      <w:r w:rsidRPr="0001137B">
        <w:rPr>
          <w:rFonts w:asciiTheme="minorHAnsi" w:hAnsiTheme="minorHAnsi"/>
          <w:lang w:val="en-GB"/>
        </w:rPr>
        <w:t xml:space="preserve"> of the Belgian development efforts, while NGOs themselves will be eager to express their autonomy. Supplementary, complementary and rivalling </w:t>
      </w:r>
      <w:r>
        <w:rPr>
          <w:rFonts w:asciiTheme="minorHAnsi" w:hAnsiTheme="minorHAnsi"/>
          <w:lang w:val="en-GB"/>
        </w:rPr>
        <w:t xml:space="preserve">factors </w:t>
      </w:r>
      <w:r w:rsidRPr="0001137B">
        <w:rPr>
          <w:rFonts w:asciiTheme="minorHAnsi" w:hAnsiTheme="minorHAnsi"/>
          <w:lang w:val="en-GB"/>
        </w:rPr>
        <w:t xml:space="preserve">have been the </w:t>
      </w:r>
      <w:proofErr w:type="gramStart"/>
      <w:r w:rsidRPr="0001137B">
        <w:rPr>
          <w:rFonts w:asciiTheme="minorHAnsi" w:hAnsiTheme="minorHAnsi"/>
          <w:lang w:val="en-GB"/>
        </w:rPr>
        <w:t>predicates which</w:t>
      </w:r>
      <w:proofErr w:type="gramEnd"/>
      <w:r>
        <w:rPr>
          <w:rFonts w:asciiTheme="minorHAnsi" w:hAnsiTheme="minorHAnsi"/>
          <w:lang w:val="en-GB"/>
        </w:rPr>
        <w:t xml:space="preserve">, </w:t>
      </w:r>
      <w:r w:rsidRPr="0001137B">
        <w:rPr>
          <w:rFonts w:asciiTheme="minorHAnsi" w:hAnsiTheme="minorHAnsi"/>
          <w:lang w:val="en-GB"/>
        </w:rPr>
        <w:t>in combination</w:t>
      </w:r>
      <w:r>
        <w:rPr>
          <w:rFonts w:asciiTheme="minorHAnsi" w:hAnsiTheme="minorHAnsi"/>
          <w:lang w:val="en-GB"/>
        </w:rPr>
        <w:t>,</w:t>
      </w:r>
      <w:r w:rsidRPr="0001137B">
        <w:rPr>
          <w:rFonts w:asciiTheme="minorHAnsi" w:hAnsiTheme="minorHAnsi"/>
          <w:lang w:val="en-GB"/>
        </w:rPr>
        <w:t xml:space="preserve"> have </w:t>
      </w:r>
      <w:r>
        <w:rPr>
          <w:rFonts w:asciiTheme="minorHAnsi" w:hAnsiTheme="minorHAnsi"/>
          <w:lang w:val="en-GB"/>
        </w:rPr>
        <w:t xml:space="preserve">powered </w:t>
      </w:r>
      <w:r w:rsidRPr="0001137B">
        <w:rPr>
          <w:rFonts w:asciiTheme="minorHAnsi" w:hAnsiTheme="minorHAnsi"/>
          <w:lang w:val="en-GB"/>
        </w:rPr>
        <w:t xml:space="preserve">the relationship between the administration and the NGOs (Martens, 2002). It </w:t>
      </w:r>
      <w:r>
        <w:rPr>
          <w:rFonts w:asciiTheme="minorHAnsi" w:hAnsiTheme="minorHAnsi"/>
          <w:lang w:val="en-GB"/>
        </w:rPr>
        <w:t xml:space="preserve">might be a step </w:t>
      </w:r>
      <w:r w:rsidRPr="0001137B">
        <w:rPr>
          <w:rFonts w:asciiTheme="minorHAnsi" w:hAnsiTheme="minorHAnsi"/>
          <w:lang w:val="en-GB"/>
        </w:rPr>
        <w:t xml:space="preserve">too far to </w:t>
      </w:r>
      <w:r>
        <w:rPr>
          <w:rFonts w:asciiTheme="minorHAnsi" w:hAnsiTheme="minorHAnsi"/>
          <w:lang w:val="en-GB"/>
        </w:rPr>
        <w:t xml:space="preserve">then delve into </w:t>
      </w:r>
      <w:r w:rsidRPr="0001137B">
        <w:rPr>
          <w:rFonts w:asciiTheme="minorHAnsi" w:hAnsiTheme="minorHAnsi"/>
          <w:lang w:val="en-GB"/>
        </w:rPr>
        <w:t>the even more complicating factor of rivalry between NGOs.</w:t>
      </w:r>
    </w:p>
    <w:p w:rsidR="00B26798" w:rsidRPr="0001137B" w:rsidRDefault="00B26798" w:rsidP="00B26798">
      <w:pPr>
        <w:spacing w:before="120" w:line="320" w:lineRule="exact"/>
        <w:ind w:left="-15" w:right="15"/>
        <w:rPr>
          <w:rFonts w:cs="Calibri"/>
          <w:sz w:val="24"/>
          <w:szCs w:val="24"/>
          <w:lang w:val="en-GB"/>
        </w:rPr>
      </w:pPr>
      <w:r w:rsidRPr="0001137B">
        <w:rPr>
          <w:rFonts w:cs="Calibri"/>
          <w:sz w:val="24"/>
          <w:szCs w:val="24"/>
          <w:lang w:val="en-GB"/>
        </w:rPr>
        <w:t>In a simplified scheme, influencing policy by NGOs could follow four possible strategies:</w:t>
      </w:r>
    </w:p>
    <w:p w:rsidR="00B26798" w:rsidRPr="0001137B" w:rsidRDefault="00B26798" w:rsidP="00B26798">
      <w:pPr>
        <w:pStyle w:val="Titre7"/>
        <w:spacing w:line="320" w:lineRule="exact"/>
        <w:rPr>
          <w:sz w:val="24"/>
          <w:szCs w:val="24"/>
          <w:lang w:val="en-GB"/>
        </w:rPr>
      </w:pPr>
      <w:r w:rsidRPr="0001137B">
        <w:rPr>
          <w:sz w:val="24"/>
          <w:szCs w:val="24"/>
          <w:lang w:val="en-GB"/>
        </w:rPr>
        <w:t>Chart 4.1</w:t>
      </w:r>
      <w:r w:rsidRPr="0001137B">
        <w:rPr>
          <w:sz w:val="24"/>
          <w:szCs w:val="24"/>
          <w:lang w:val="en-GB"/>
        </w:rPr>
        <w:tab/>
        <w:t>NGO strategies for influencing policy</w:t>
      </w:r>
    </w:p>
    <w:p w:rsidR="00B26798" w:rsidRPr="0001137B" w:rsidRDefault="00B26798" w:rsidP="00B26798">
      <w:pPr>
        <w:pStyle w:val="Retraitnormal"/>
        <w:spacing w:line="320" w:lineRule="exact"/>
        <w:ind w:left="0"/>
        <w:jc w:val="left"/>
        <w:rPr>
          <w:rFonts w:asciiTheme="minorHAnsi" w:hAnsiTheme="minorHAnsi"/>
          <w:lang w:val="en-GB"/>
        </w:rPr>
      </w:pPr>
    </w:p>
    <w:tbl>
      <w:tblPr>
        <w:tblStyle w:val="LightShading1"/>
        <w:tblW w:w="0" w:type="auto"/>
        <w:tblLook w:val="04A0" w:firstRow="1" w:lastRow="0" w:firstColumn="1" w:lastColumn="0" w:noHBand="0" w:noVBand="1"/>
      </w:tblPr>
      <w:tblGrid>
        <w:gridCol w:w="2976"/>
        <w:gridCol w:w="2976"/>
        <w:gridCol w:w="2976"/>
      </w:tblGrid>
      <w:tr w:rsidR="00B26798" w:rsidRPr="0001137B" w:rsidTr="00132F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tcPr>
          <w:p w:rsidR="00B26798" w:rsidRPr="0001137B" w:rsidRDefault="00B26798" w:rsidP="00132F31">
            <w:pPr>
              <w:pStyle w:val="Retraitnormal"/>
              <w:spacing w:line="320" w:lineRule="exact"/>
              <w:rPr>
                <w:rFonts w:asciiTheme="minorHAnsi" w:hAnsiTheme="minorHAnsi"/>
                <w:b w:val="0"/>
                <w:lang w:val="en-GB"/>
              </w:rPr>
            </w:pPr>
          </w:p>
        </w:tc>
        <w:tc>
          <w:tcPr>
            <w:tcW w:w="2976" w:type="dxa"/>
          </w:tcPr>
          <w:p w:rsidR="00B26798" w:rsidRPr="0001137B" w:rsidRDefault="00B26798" w:rsidP="00132F31">
            <w:pPr>
              <w:pStyle w:val="Retraitnormal"/>
              <w:spacing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b w:val="0"/>
                <w:lang w:val="en-GB"/>
              </w:rPr>
            </w:pPr>
            <w:r w:rsidRPr="0001137B">
              <w:rPr>
                <w:rFonts w:asciiTheme="minorHAnsi" w:hAnsiTheme="minorHAnsi"/>
                <w:b w:val="0"/>
                <w:lang w:val="en-GB"/>
              </w:rPr>
              <w:t>Shaping visions</w:t>
            </w:r>
          </w:p>
        </w:tc>
        <w:tc>
          <w:tcPr>
            <w:tcW w:w="2976" w:type="dxa"/>
          </w:tcPr>
          <w:p w:rsidR="00B26798" w:rsidRPr="0001137B" w:rsidRDefault="00B26798" w:rsidP="00132F31">
            <w:pPr>
              <w:pStyle w:val="Retraitnormal"/>
              <w:spacing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b w:val="0"/>
                <w:lang w:val="en-GB"/>
              </w:rPr>
            </w:pPr>
            <w:r w:rsidRPr="0001137B">
              <w:rPr>
                <w:rFonts w:asciiTheme="minorHAnsi" w:hAnsiTheme="minorHAnsi"/>
                <w:b w:val="0"/>
                <w:lang w:val="en-GB"/>
              </w:rPr>
              <w:t>Making decisions</w:t>
            </w:r>
          </w:p>
        </w:tc>
      </w:tr>
      <w:tr w:rsidR="00B26798" w:rsidRPr="0001137B" w:rsidTr="00132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tcPr>
          <w:p w:rsidR="00B26798" w:rsidRPr="0001137B" w:rsidRDefault="00B26798" w:rsidP="00132F31">
            <w:pPr>
              <w:pStyle w:val="Retraitnormal"/>
              <w:spacing w:line="320" w:lineRule="exact"/>
              <w:rPr>
                <w:rFonts w:asciiTheme="minorHAnsi" w:hAnsiTheme="minorHAnsi"/>
                <w:lang w:val="en-GB"/>
              </w:rPr>
            </w:pPr>
            <w:r w:rsidRPr="0001137B">
              <w:rPr>
                <w:rFonts w:asciiTheme="minorHAnsi" w:hAnsiTheme="minorHAnsi"/>
                <w:lang w:val="en-GB"/>
              </w:rPr>
              <w:t>From inside</w:t>
            </w:r>
          </w:p>
        </w:tc>
        <w:tc>
          <w:tcPr>
            <w:tcW w:w="2976" w:type="dxa"/>
          </w:tcPr>
          <w:p w:rsidR="00B26798" w:rsidRPr="0001137B" w:rsidRDefault="00B26798" w:rsidP="00132F31">
            <w:pPr>
              <w:pStyle w:val="Retraitnormal"/>
              <w:spacing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01137B">
              <w:rPr>
                <w:rFonts w:asciiTheme="minorHAnsi" w:hAnsiTheme="minorHAnsi"/>
                <w:lang w:val="en-GB"/>
              </w:rPr>
              <w:t>Consulting, staffing of study cent</w:t>
            </w:r>
            <w:r>
              <w:rPr>
                <w:rFonts w:asciiTheme="minorHAnsi" w:hAnsiTheme="minorHAnsi"/>
                <w:lang w:val="en-GB"/>
              </w:rPr>
              <w:t>r</w:t>
            </w:r>
            <w:r w:rsidRPr="0001137B">
              <w:rPr>
                <w:rFonts w:asciiTheme="minorHAnsi" w:hAnsiTheme="minorHAnsi"/>
                <w:lang w:val="en-GB"/>
              </w:rPr>
              <w:t>es</w:t>
            </w:r>
          </w:p>
        </w:tc>
        <w:tc>
          <w:tcPr>
            <w:tcW w:w="2976" w:type="dxa"/>
          </w:tcPr>
          <w:p w:rsidR="00B26798" w:rsidRPr="0001137B" w:rsidRDefault="00B26798" w:rsidP="00132F31">
            <w:pPr>
              <w:pStyle w:val="Retraitnormal"/>
              <w:spacing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01137B">
              <w:rPr>
                <w:rFonts w:asciiTheme="minorHAnsi" w:hAnsiTheme="minorHAnsi"/>
                <w:lang w:val="en-GB"/>
              </w:rPr>
              <w:t>Lobbying</w:t>
            </w:r>
          </w:p>
        </w:tc>
      </w:tr>
      <w:tr w:rsidR="00B26798" w:rsidRPr="0001137B" w:rsidTr="00132F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tcPr>
          <w:p w:rsidR="00B26798" w:rsidRPr="0001137B" w:rsidRDefault="00B26798" w:rsidP="00132F31">
            <w:pPr>
              <w:pStyle w:val="Retraitnormal"/>
              <w:spacing w:line="320" w:lineRule="exact"/>
              <w:rPr>
                <w:rFonts w:asciiTheme="minorHAnsi" w:hAnsiTheme="minorHAnsi"/>
                <w:lang w:val="en-GB"/>
              </w:rPr>
            </w:pPr>
            <w:r w:rsidRPr="0001137B">
              <w:rPr>
                <w:rFonts w:asciiTheme="minorHAnsi" w:hAnsiTheme="minorHAnsi"/>
                <w:lang w:val="en-GB"/>
              </w:rPr>
              <w:t>From outside</w:t>
            </w:r>
          </w:p>
        </w:tc>
        <w:tc>
          <w:tcPr>
            <w:tcW w:w="2976" w:type="dxa"/>
          </w:tcPr>
          <w:p w:rsidR="00B26798" w:rsidRPr="0001137B" w:rsidRDefault="00B26798" w:rsidP="00132F31">
            <w:pPr>
              <w:pStyle w:val="Retraitnormal"/>
              <w:spacing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lang w:val="en-GB"/>
              </w:rPr>
            </w:pPr>
            <w:r w:rsidRPr="0001137B">
              <w:rPr>
                <w:rFonts w:asciiTheme="minorHAnsi" w:hAnsiTheme="minorHAnsi"/>
                <w:lang w:val="en-GB"/>
              </w:rPr>
              <w:t>Informing the public</w:t>
            </w:r>
          </w:p>
        </w:tc>
        <w:tc>
          <w:tcPr>
            <w:tcW w:w="2976" w:type="dxa"/>
          </w:tcPr>
          <w:p w:rsidR="00B26798" w:rsidRPr="0001137B" w:rsidRDefault="00B26798" w:rsidP="00132F31">
            <w:pPr>
              <w:pStyle w:val="Retraitnormal"/>
              <w:spacing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lang w:val="en-GB"/>
              </w:rPr>
            </w:pPr>
            <w:r w:rsidRPr="0001137B">
              <w:rPr>
                <w:rFonts w:asciiTheme="minorHAnsi" w:hAnsiTheme="minorHAnsi"/>
                <w:lang w:val="en-GB"/>
              </w:rPr>
              <w:t>Denouncing practices</w:t>
            </w:r>
          </w:p>
        </w:tc>
      </w:tr>
    </w:tbl>
    <w:p w:rsidR="00B26798" w:rsidRPr="0001137B" w:rsidRDefault="00B26798" w:rsidP="00B26798">
      <w:pPr>
        <w:pStyle w:val="Retraitnormal"/>
        <w:spacing w:line="320" w:lineRule="exact"/>
        <w:rPr>
          <w:rFonts w:asciiTheme="minorHAnsi" w:hAnsiTheme="minorHAnsi"/>
          <w:lang w:val="en-GB"/>
        </w:rPr>
      </w:pPr>
    </w:p>
    <w:p w:rsidR="00B26798" w:rsidRPr="0001137B" w:rsidRDefault="00B26798" w:rsidP="00B26798">
      <w:pPr>
        <w:spacing w:before="120" w:line="320" w:lineRule="exact"/>
        <w:rPr>
          <w:rFonts w:cs="Calibri"/>
          <w:sz w:val="24"/>
          <w:szCs w:val="24"/>
          <w:lang w:val="en-GB"/>
        </w:rPr>
      </w:pPr>
      <w:r w:rsidRPr="0001137B">
        <w:rPr>
          <w:rFonts w:cs="Calibri"/>
          <w:sz w:val="24"/>
          <w:szCs w:val="24"/>
          <w:lang w:val="en-GB"/>
        </w:rPr>
        <w:t xml:space="preserve">To explore how NGOs were seeking to influence policy, the research took as a </w:t>
      </w:r>
      <w:r>
        <w:rPr>
          <w:rFonts w:cs="Calibri"/>
          <w:sz w:val="24"/>
          <w:szCs w:val="24"/>
          <w:lang w:val="en-GB"/>
        </w:rPr>
        <w:t xml:space="preserve">starting </w:t>
      </w:r>
      <w:r w:rsidRPr="0001137B">
        <w:rPr>
          <w:rFonts w:cs="Calibri"/>
          <w:sz w:val="24"/>
          <w:szCs w:val="24"/>
          <w:lang w:val="en-GB"/>
        </w:rPr>
        <w:t xml:space="preserve">point </w:t>
      </w:r>
      <w:proofErr w:type="spellStart"/>
      <w:r w:rsidRPr="0001137B">
        <w:rPr>
          <w:rFonts w:cs="Calibri"/>
          <w:sz w:val="24"/>
          <w:szCs w:val="24"/>
          <w:lang w:val="en-GB"/>
        </w:rPr>
        <w:t>Lasswell</w:t>
      </w:r>
      <w:r>
        <w:rPr>
          <w:rFonts w:cs="Calibri"/>
          <w:sz w:val="24"/>
          <w:szCs w:val="24"/>
          <w:lang w:val="en-GB"/>
        </w:rPr>
        <w:t>’</w:t>
      </w:r>
      <w:r w:rsidRPr="0001137B">
        <w:rPr>
          <w:rFonts w:cs="Calibri"/>
          <w:sz w:val="24"/>
          <w:szCs w:val="24"/>
          <w:lang w:val="en-GB"/>
        </w:rPr>
        <w:t>s</w:t>
      </w:r>
      <w:proofErr w:type="spellEnd"/>
      <w:r w:rsidRPr="0001137B">
        <w:rPr>
          <w:rFonts w:cs="Calibri"/>
          <w:sz w:val="24"/>
          <w:szCs w:val="24"/>
          <w:lang w:val="en-GB"/>
        </w:rPr>
        <w:t xml:space="preserve"> </w:t>
      </w:r>
      <w:r>
        <w:rPr>
          <w:rFonts w:cs="Calibri"/>
          <w:sz w:val="24"/>
          <w:szCs w:val="24"/>
          <w:lang w:val="en-GB"/>
        </w:rPr>
        <w:t>‘</w:t>
      </w:r>
      <w:r w:rsidRPr="0001137B">
        <w:rPr>
          <w:rFonts w:cs="Calibri"/>
          <w:sz w:val="24"/>
          <w:szCs w:val="24"/>
          <w:lang w:val="en-GB"/>
        </w:rPr>
        <w:t>Stage Model of the policy process</w:t>
      </w:r>
      <w:r>
        <w:rPr>
          <w:rFonts w:cs="Calibri"/>
          <w:sz w:val="24"/>
          <w:szCs w:val="24"/>
          <w:lang w:val="en-GB"/>
        </w:rPr>
        <w:t>’</w:t>
      </w:r>
      <w:r w:rsidRPr="0001137B">
        <w:rPr>
          <w:rFonts w:cs="Calibri"/>
          <w:sz w:val="24"/>
          <w:szCs w:val="24"/>
          <w:lang w:val="en-GB"/>
        </w:rPr>
        <w:t>. In this model</w:t>
      </w:r>
      <w:r>
        <w:rPr>
          <w:rFonts w:cs="Calibri"/>
          <w:sz w:val="24"/>
          <w:szCs w:val="24"/>
          <w:lang w:val="en-GB"/>
        </w:rPr>
        <w:t>,</w:t>
      </w:r>
      <w:r w:rsidRPr="0001137B">
        <w:rPr>
          <w:rFonts w:cs="Calibri"/>
          <w:sz w:val="24"/>
          <w:szCs w:val="24"/>
          <w:lang w:val="en-GB"/>
        </w:rPr>
        <w:t xml:space="preserve"> </w:t>
      </w:r>
      <w:proofErr w:type="spellStart"/>
      <w:r w:rsidRPr="0001137B">
        <w:rPr>
          <w:rFonts w:cs="Calibri"/>
          <w:sz w:val="24"/>
          <w:szCs w:val="24"/>
          <w:lang w:val="en-GB"/>
        </w:rPr>
        <w:t>Lasswell</w:t>
      </w:r>
      <w:proofErr w:type="spellEnd"/>
      <w:r w:rsidRPr="0001137B">
        <w:rPr>
          <w:rFonts w:cs="Calibri"/>
          <w:sz w:val="24"/>
          <w:szCs w:val="24"/>
          <w:lang w:val="en-GB"/>
        </w:rPr>
        <w:t xml:space="preserve"> (1956) highlights the chronological effect of seven stage</w:t>
      </w:r>
      <w:r>
        <w:rPr>
          <w:rFonts w:cs="Calibri"/>
          <w:sz w:val="24"/>
          <w:szCs w:val="24"/>
          <w:lang w:val="en-GB"/>
        </w:rPr>
        <w:t>s</w:t>
      </w:r>
      <w:r w:rsidRPr="0001137B">
        <w:rPr>
          <w:rFonts w:cs="Calibri"/>
          <w:sz w:val="24"/>
          <w:szCs w:val="24"/>
          <w:lang w:val="en-GB"/>
        </w:rPr>
        <w:t xml:space="preserve"> of the policy decision-making: </w:t>
      </w:r>
      <w:r w:rsidRPr="0001137B">
        <w:rPr>
          <w:rFonts w:cs="Calibri"/>
          <w:iCs/>
          <w:sz w:val="24"/>
          <w:szCs w:val="24"/>
          <w:lang w:val="en-GB"/>
        </w:rPr>
        <w:t xml:space="preserve">intelligence, promotion, prescription, invocation, application, termination and appraisal. Drawing from </w:t>
      </w:r>
      <w:r w:rsidRPr="0001137B">
        <w:rPr>
          <w:rFonts w:cs="Calibri"/>
          <w:sz w:val="24"/>
          <w:szCs w:val="24"/>
          <w:lang w:val="en-GB"/>
        </w:rPr>
        <w:t>Sutton</w:t>
      </w:r>
      <w:r>
        <w:rPr>
          <w:rFonts w:cs="Calibri"/>
          <w:sz w:val="24"/>
          <w:szCs w:val="24"/>
          <w:lang w:val="en-GB"/>
        </w:rPr>
        <w:t>’</w:t>
      </w:r>
      <w:r w:rsidRPr="0001137B">
        <w:rPr>
          <w:rFonts w:cs="Calibri"/>
          <w:sz w:val="24"/>
          <w:szCs w:val="24"/>
          <w:lang w:val="en-GB"/>
        </w:rPr>
        <w:t xml:space="preserve">s claim that </w:t>
      </w:r>
      <w:r>
        <w:rPr>
          <w:rFonts w:cs="Calibri"/>
          <w:iCs/>
          <w:sz w:val="24"/>
          <w:szCs w:val="24"/>
          <w:lang w:val="en-GB"/>
        </w:rPr>
        <w:t>‘</w:t>
      </w:r>
      <w:r w:rsidRPr="0001137B">
        <w:rPr>
          <w:rFonts w:cs="Calibri"/>
          <w:iCs/>
          <w:sz w:val="24"/>
          <w:szCs w:val="24"/>
          <w:lang w:val="en-GB"/>
        </w:rPr>
        <w:t>a linear model</w:t>
      </w:r>
      <w:r>
        <w:rPr>
          <w:rFonts w:cs="Calibri"/>
          <w:iCs/>
          <w:sz w:val="24"/>
          <w:szCs w:val="24"/>
          <w:lang w:val="en-GB"/>
        </w:rPr>
        <w:t>’</w:t>
      </w:r>
      <w:r w:rsidRPr="0001137B">
        <w:rPr>
          <w:rFonts w:cs="Calibri"/>
          <w:sz w:val="24"/>
          <w:szCs w:val="24"/>
          <w:lang w:val="en-GB"/>
        </w:rPr>
        <w:t xml:space="preserve"> of policy process is not adequate and that policy process should be understood as </w:t>
      </w:r>
      <w:r>
        <w:rPr>
          <w:rFonts w:cs="Calibri"/>
          <w:sz w:val="24"/>
          <w:szCs w:val="24"/>
          <w:lang w:val="en-GB"/>
        </w:rPr>
        <w:t>‘</w:t>
      </w:r>
      <w:r w:rsidRPr="0001137B">
        <w:rPr>
          <w:rFonts w:cs="Calibri"/>
          <w:iCs/>
          <w:sz w:val="24"/>
          <w:szCs w:val="24"/>
          <w:lang w:val="en-GB"/>
        </w:rPr>
        <w:t>chaos of purposes and accidents</w:t>
      </w:r>
      <w:r>
        <w:rPr>
          <w:rFonts w:cs="Calibri"/>
          <w:iCs/>
          <w:sz w:val="24"/>
          <w:szCs w:val="24"/>
          <w:lang w:val="en-GB"/>
        </w:rPr>
        <w:t>’</w:t>
      </w:r>
      <w:r w:rsidRPr="0001137B">
        <w:rPr>
          <w:rFonts w:cs="Calibri"/>
          <w:sz w:val="24"/>
          <w:szCs w:val="24"/>
          <w:lang w:val="en-GB"/>
        </w:rPr>
        <w:t xml:space="preserve">, we also explored the role of NGOs as interest groups whose aim is to influence policy decision-making in order to impact positively on development cooperation. Sutton (1999) claims that: </w:t>
      </w:r>
      <w:r>
        <w:rPr>
          <w:rFonts w:cs="Calibri"/>
          <w:sz w:val="24"/>
          <w:szCs w:val="24"/>
          <w:lang w:val="en-GB"/>
        </w:rPr>
        <w:t>‘</w:t>
      </w:r>
      <w:proofErr w:type="gramStart"/>
      <w:r w:rsidRPr="0001137B">
        <w:rPr>
          <w:sz w:val="24"/>
          <w:szCs w:val="24"/>
          <w:lang w:val="en-GB"/>
        </w:rPr>
        <w:t>The</w:t>
      </w:r>
      <w:proofErr w:type="gramEnd"/>
      <w:r w:rsidRPr="0001137B">
        <w:rPr>
          <w:sz w:val="24"/>
          <w:szCs w:val="24"/>
          <w:lang w:val="en-GB"/>
        </w:rPr>
        <w:t xml:space="preserve"> policy process is influenced by a range of interest groups that exert power and authority over p</w:t>
      </w:r>
      <w:r>
        <w:rPr>
          <w:sz w:val="24"/>
          <w:szCs w:val="24"/>
          <w:lang w:val="en-GB"/>
        </w:rPr>
        <w:t>olicymak</w:t>
      </w:r>
      <w:r w:rsidRPr="0001137B">
        <w:rPr>
          <w:sz w:val="24"/>
          <w:szCs w:val="24"/>
          <w:lang w:val="en-GB"/>
        </w:rPr>
        <w:t>ing. These influences affect each stage of the process</w:t>
      </w:r>
      <w:r>
        <w:rPr>
          <w:sz w:val="24"/>
          <w:szCs w:val="24"/>
          <w:lang w:val="en-GB"/>
        </w:rPr>
        <w:t>,</w:t>
      </w:r>
      <w:r w:rsidRPr="0001137B">
        <w:rPr>
          <w:sz w:val="24"/>
          <w:szCs w:val="24"/>
          <w:lang w:val="en-GB"/>
        </w:rPr>
        <w:t xml:space="preserve"> from agenda</w:t>
      </w:r>
      <w:r>
        <w:rPr>
          <w:sz w:val="24"/>
          <w:szCs w:val="24"/>
          <w:lang w:val="en-GB"/>
        </w:rPr>
        <w:t>-</w:t>
      </w:r>
      <w:r w:rsidRPr="0001137B">
        <w:rPr>
          <w:sz w:val="24"/>
          <w:szCs w:val="24"/>
          <w:lang w:val="en-GB"/>
        </w:rPr>
        <w:t xml:space="preserve">setting, to the identification of alternatives, weighing </w:t>
      </w:r>
      <w:r>
        <w:rPr>
          <w:sz w:val="24"/>
          <w:szCs w:val="24"/>
          <w:lang w:val="en-GB"/>
        </w:rPr>
        <w:t xml:space="preserve">up </w:t>
      </w:r>
      <w:r w:rsidRPr="0001137B">
        <w:rPr>
          <w:sz w:val="24"/>
          <w:szCs w:val="24"/>
          <w:lang w:val="en-GB"/>
        </w:rPr>
        <w:t>the options</w:t>
      </w:r>
      <w:r>
        <w:rPr>
          <w:sz w:val="24"/>
          <w:szCs w:val="24"/>
          <w:lang w:val="en-GB"/>
        </w:rPr>
        <w:t xml:space="preserve">, </w:t>
      </w:r>
      <w:r w:rsidRPr="0001137B">
        <w:rPr>
          <w:sz w:val="24"/>
          <w:szCs w:val="24"/>
          <w:lang w:val="en-GB"/>
        </w:rPr>
        <w:t xml:space="preserve">choosing the most </w:t>
      </w:r>
      <w:r>
        <w:rPr>
          <w:sz w:val="24"/>
          <w:szCs w:val="24"/>
          <w:lang w:val="en-GB"/>
        </w:rPr>
        <w:t>favour</w:t>
      </w:r>
      <w:r w:rsidRPr="0001137B">
        <w:rPr>
          <w:sz w:val="24"/>
          <w:szCs w:val="24"/>
          <w:lang w:val="en-GB"/>
        </w:rPr>
        <w:t>able</w:t>
      </w:r>
      <w:r>
        <w:rPr>
          <w:sz w:val="24"/>
          <w:szCs w:val="24"/>
          <w:lang w:val="en-GB"/>
        </w:rPr>
        <w:t xml:space="preserve"> and implementing it’</w:t>
      </w:r>
      <w:r w:rsidRPr="0001137B">
        <w:rPr>
          <w:sz w:val="24"/>
          <w:szCs w:val="24"/>
          <w:lang w:val="en-GB"/>
        </w:rPr>
        <w:t xml:space="preserve">. </w:t>
      </w:r>
      <w:proofErr w:type="gramStart"/>
      <w:r w:rsidRPr="0001137B">
        <w:rPr>
          <w:sz w:val="24"/>
          <w:szCs w:val="24"/>
          <w:lang w:val="en-GB"/>
        </w:rPr>
        <w:t>(Sutton, 1999, p.25).</w:t>
      </w:r>
      <w:proofErr w:type="gramEnd"/>
    </w:p>
    <w:p w:rsidR="00B26798" w:rsidRPr="0001137B" w:rsidRDefault="00B26798" w:rsidP="00B26798">
      <w:pPr>
        <w:pStyle w:val="Normal-1WitregelVoor"/>
        <w:spacing w:line="320" w:lineRule="exact"/>
        <w:rPr>
          <w:rFonts w:asciiTheme="minorHAnsi" w:hAnsiTheme="minorHAnsi" w:cs="Calibri"/>
          <w:sz w:val="24"/>
          <w:szCs w:val="24"/>
          <w:lang w:val="en-GB"/>
        </w:rPr>
      </w:pPr>
      <w:r w:rsidRPr="0001137B">
        <w:rPr>
          <w:rFonts w:asciiTheme="minorHAnsi" w:hAnsiTheme="minorHAnsi"/>
          <w:sz w:val="24"/>
          <w:szCs w:val="24"/>
          <w:lang w:val="en-GB"/>
        </w:rPr>
        <w:t>These insights are important to understand that a scanning of the interaction between civil</w:t>
      </w:r>
      <w:r>
        <w:rPr>
          <w:rFonts w:asciiTheme="minorHAnsi" w:hAnsiTheme="minorHAnsi"/>
          <w:sz w:val="24"/>
          <w:szCs w:val="24"/>
          <w:lang w:val="en-GB"/>
        </w:rPr>
        <w:t xml:space="preserve"> </w:t>
      </w:r>
      <w:r w:rsidRPr="0001137B">
        <w:rPr>
          <w:rFonts w:asciiTheme="minorHAnsi" w:hAnsiTheme="minorHAnsi"/>
          <w:sz w:val="24"/>
          <w:szCs w:val="24"/>
          <w:lang w:val="en-GB"/>
        </w:rPr>
        <w:t xml:space="preserve">society and the political world requires a 360° approach. Strategies tend to be dynamic and flexible, adapted to the urgency of the issues, the way forums are established and the current power relations. Our </w:t>
      </w:r>
      <w:r>
        <w:rPr>
          <w:rFonts w:asciiTheme="minorHAnsi" w:hAnsiTheme="minorHAnsi"/>
          <w:sz w:val="24"/>
          <w:szCs w:val="24"/>
          <w:lang w:val="en-GB"/>
        </w:rPr>
        <w:t>mapping</w:t>
      </w:r>
      <w:r w:rsidRPr="0001137B">
        <w:rPr>
          <w:rFonts w:asciiTheme="minorHAnsi" w:hAnsiTheme="minorHAnsi"/>
          <w:sz w:val="24"/>
          <w:szCs w:val="24"/>
          <w:lang w:val="en-GB"/>
        </w:rPr>
        <w:t xml:space="preserve"> of stakeholders</w:t>
      </w:r>
      <w:r>
        <w:rPr>
          <w:rFonts w:asciiTheme="minorHAnsi" w:hAnsiTheme="minorHAnsi"/>
          <w:sz w:val="24"/>
          <w:szCs w:val="24"/>
          <w:lang w:val="en-GB"/>
        </w:rPr>
        <w:t>’ views</w:t>
      </w:r>
      <w:r w:rsidRPr="0001137B">
        <w:rPr>
          <w:rFonts w:asciiTheme="minorHAnsi" w:hAnsiTheme="minorHAnsi"/>
          <w:sz w:val="24"/>
          <w:szCs w:val="24"/>
          <w:lang w:val="en-GB"/>
        </w:rPr>
        <w:t xml:space="preserve"> </w:t>
      </w:r>
      <w:r>
        <w:rPr>
          <w:rFonts w:asciiTheme="minorHAnsi" w:hAnsiTheme="minorHAnsi"/>
          <w:sz w:val="24"/>
          <w:szCs w:val="24"/>
          <w:lang w:val="en-GB"/>
        </w:rPr>
        <w:t>during</w:t>
      </w:r>
      <w:r w:rsidRPr="0001137B">
        <w:rPr>
          <w:rFonts w:asciiTheme="minorHAnsi" w:hAnsiTheme="minorHAnsi"/>
          <w:sz w:val="24"/>
          <w:szCs w:val="24"/>
          <w:lang w:val="en-GB"/>
        </w:rPr>
        <w:t xml:space="preserve"> this research was therefore set up through </w:t>
      </w:r>
      <w:r>
        <w:rPr>
          <w:rFonts w:asciiTheme="minorHAnsi" w:hAnsiTheme="minorHAnsi"/>
          <w:sz w:val="24"/>
          <w:szCs w:val="24"/>
          <w:lang w:val="en-GB"/>
        </w:rPr>
        <w:t>semi-structured interviews</w:t>
      </w:r>
      <w:r w:rsidRPr="0001137B">
        <w:rPr>
          <w:rFonts w:asciiTheme="minorHAnsi" w:hAnsiTheme="minorHAnsi"/>
          <w:sz w:val="24"/>
          <w:szCs w:val="24"/>
          <w:lang w:val="en-GB"/>
        </w:rPr>
        <w:t>.</w:t>
      </w:r>
    </w:p>
    <w:p w:rsidR="00B26798" w:rsidRPr="0001137B" w:rsidRDefault="00B26798" w:rsidP="00B26798">
      <w:pPr>
        <w:pStyle w:val="Titre3"/>
        <w:spacing w:before="360" w:after="240"/>
        <w:ind w:left="680" w:hanging="680"/>
        <w:rPr>
          <w:b/>
          <w:lang w:val="en-GB"/>
        </w:rPr>
      </w:pPr>
      <w:bookmarkStart w:id="2" w:name="_Toc358966824"/>
      <w:r w:rsidRPr="0001137B">
        <w:rPr>
          <w:b/>
          <w:lang w:val="en-GB"/>
        </w:rPr>
        <w:t>Generating a vision on development aid within the political parties</w:t>
      </w:r>
      <w:bookmarkEnd w:id="2"/>
    </w:p>
    <w:p w:rsidR="00B26798" w:rsidRPr="0001137B" w:rsidRDefault="00B26798" w:rsidP="00B26798">
      <w:pPr>
        <w:spacing w:line="320" w:lineRule="exact"/>
        <w:rPr>
          <w:rStyle w:val="hps"/>
          <w:rFonts w:cs="Calibri"/>
          <w:sz w:val="24"/>
          <w:szCs w:val="24"/>
          <w:lang w:val="en-GB"/>
        </w:rPr>
      </w:pPr>
      <w:r w:rsidRPr="0001137B">
        <w:rPr>
          <w:rStyle w:val="hps"/>
          <w:rFonts w:cs="Calibri"/>
          <w:sz w:val="24"/>
          <w:szCs w:val="24"/>
          <w:lang w:val="en-GB"/>
        </w:rPr>
        <w:t>Different</w:t>
      </w:r>
      <w:r w:rsidRPr="0001137B">
        <w:rPr>
          <w:rStyle w:val="longtext"/>
          <w:rFonts w:cs="Calibri"/>
          <w:sz w:val="24"/>
          <w:szCs w:val="24"/>
          <w:lang w:val="en-GB"/>
        </w:rPr>
        <w:t xml:space="preserve"> </w:t>
      </w:r>
      <w:r>
        <w:rPr>
          <w:rStyle w:val="longtext"/>
          <w:rFonts w:cs="Calibri"/>
          <w:sz w:val="24"/>
          <w:szCs w:val="24"/>
          <w:lang w:val="en-GB"/>
        </w:rPr>
        <w:t xml:space="preserve">political </w:t>
      </w:r>
      <w:r w:rsidRPr="0001137B">
        <w:rPr>
          <w:rStyle w:val="hps"/>
          <w:rFonts w:cs="Calibri"/>
          <w:sz w:val="24"/>
          <w:szCs w:val="24"/>
          <w:lang w:val="en-GB"/>
        </w:rPr>
        <w:t>parties</w:t>
      </w:r>
      <w:r w:rsidRPr="0001137B">
        <w:rPr>
          <w:rStyle w:val="longtext"/>
          <w:rFonts w:cs="Calibri"/>
          <w:sz w:val="24"/>
          <w:szCs w:val="24"/>
          <w:lang w:val="en-GB"/>
        </w:rPr>
        <w:t xml:space="preserve"> </w:t>
      </w:r>
      <w:r w:rsidRPr="0001137B">
        <w:rPr>
          <w:rStyle w:val="hps"/>
          <w:rFonts w:cs="Calibri"/>
          <w:sz w:val="24"/>
          <w:szCs w:val="24"/>
          <w:lang w:val="en-GB"/>
        </w:rPr>
        <w:t>have different ways of</w:t>
      </w:r>
      <w:r w:rsidRPr="0001137B">
        <w:rPr>
          <w:rStyle w:val="longtext"/>
          <w:rFonts w:cs="Calibri"/>
          <w:sz w:val="24"/>
          <w:szCs w:val="24"/>
          <w:lang w:val="en-GB"/>
        </w:rPr>
        <w:t xml:space="preserve"> </w:t>
      </w:r>
      <w:r w:rsidRPr="0001137B">
        <w:rPr>
          <w:rStyle w:val="hps"/>
          <w:rFonts w:cs="Calibri"/>
          <w:sz w:val="24"/>
          <w:szCs w:val="24"/>
          <w:lang w:val="en-GB"/>
        </w:rPr>
        <w:t>working</w:t>
      </w:r>
      <w:r w:rsidRPr="0001137B">
        <w:rPr>
          <w:rStyle w:val="longtext"/>
          <w:rFonts w:cs="Calibri"/>
          <w:sz w:val="24"/>
          <w:szCs w:val="24"/>
          <w:lang w:val="en-GB"/>
        </w:rPr>
        <w:t xml:space="preserve"> </w:t>
      </w:r>
      <w:r w:rsidRPr="0001137B">
        <w:rPr>
          <w:rStyle w:val="hps"/>
          <w:rFonts w:cs="Calibri"/>
          <w:sz w:val="24"/>
          <w:szCs w:val="24"/>
          <w:lang w:val="en-GB"/>
        </w:rPr>
        <w:t>and different</w:t>
      </w:r>
      <w:r w:rsidRPr="0001137B">
        <w:rPr>
          <w:rStyle w:val="longtext"/>
          <w:rFonts w:cs="Calibri"/>
          <w:sz w:val="24"/>
          <w:szCs w:val="24"/>
          <w:lang w:val="en-GB"/>
        </w:rPr>
        <w:t xml:space="preserve"> </w:t>
      </w:r>
      <w:r w:rsidRPr="0001137B">
        <w:rPr>
          <w:rStyle w:val="hps"/>
          <w:rFonts w:cs="Calibri"/>
          <w:sz w:val="24"/>
          <w:szCs w:val="24"/>
          <w:lang w:val="en-GB"/>
        </w:rPr>
        <w:t xml:space="preserve">structures, depending on internal factors such as their size, their experience and their ideology and external factors such as </w:t>
      </w:r>
      <w:r>
        <w:rPr>
          <w:rStyle w:val="hps"/>
          <w:rFonts w:cs="Calibri"/>
          <w:sz w:val="24"/>
          <w:szCs w:val="24"/>
          <w:lang w:val="en-GB"/>
        </w:rPr>
        <w:t>specific societal domain t</w:t>
      </w:r>
      <w:r w:rsidRPr="0001137B">
        <w:rPr>
          <w:rStyle w:val="hps"/>
          <w:rFonts w:cs="Calibri"/>
          <w:sz w:val="24"/>
          <w:szCs w:val="24"/>
          <w:lang w:val="en-GB"/>
        </w:rPr>
        <w:t>hey focus on and whether they are in the government or in the opposition.</w:t>
      </w:r>
    </w:p>
    <w:p w:rsidR="00B26798" w:rsidRPr="0001137B" w:rsidRDefault="00B26798" w:rsidP="00B26798">
      <w:pPr>
        <w:spacing w:line="320" w:lineRule="exact"/>
        <w:rPr>
          <w:rFonts w:cs="Calibri"/>
          <w:sz w:val="24"/>
          <w:szCs w:val="24"/>
          <w:lang w:val="en-GB"/>
        </w:rPr>
      </w:pPr>
      <w:r w:rsidRPr="0001137B">
        <w:rPr>
          <w:rFonts w:cs="Calibri"/>
          <w:sz w:val="24"/>
          <w:szCs w:val="24"/>
          <w:lang w:val="en-GB"/>
        </w:rPr>
        <w:lastRenderedPageBreak/>
        <w:t xml:space="preserve">In most political parties, the subject of development aid is assigned to an internal expert in this area. Often, these experts were, or still are involved with an NGO related to the party. They are mainly in charge of the decision-making on development cooperation issues within the party. A risk of this pattern is that it can lead to a certain isolation of the </w:t>
      </w:r>
      <w:r>
        <w:rPr>
          <w:rFonts w:cs="Calibri"/>
          <w:sz w:val="24"/>
          <w:szCs w:val="24"/>
          <w:lang w:val="en-GB"/>
        </w:rPr>
        <w:t>‘</w:t>
      </w:r>
      <w:r w:rsidRPr="0001137B">
        <w:rPr>
          <w:rFonts w:cs="Calibri"/>
          <w:sz w:val="24"/>
          <w:szCs w:val="24"/>
          <w:lang w:val="en-GB"/>
        </w:rPr>
        <w:t>expert</w:t>
      </w:r>
      <w:r>
        <w:rPr>
          <w:rFonts w:cs="Calibri"/>
          <w:sz w:val="24"/>
          <w:szCs w:val="24"/>
          <w:lang w:val="en-GB"/>
        </w:rPr>
        <w:t>’</w:t>
      </w:r>
      <w:r w:rsidRPr="0001137B">
        <w:rPr>
          <w:rFonts w:cs="Calibri"/>
          <w:sz w:val="24"/>
          <w:szCs w:val="24"/>
          <w:lang w:val="en-GB"/>
        </w:rPr>
        <w:t xml:space="preserve"> politician, since his</w:t>
      </w:r>
      <w:r>
        <w:rPr>
          <w:rFonts w:cs="Calibri"/>
          <w:sz w:val="24"/>
          <w:szCs w:val="24"/>
          <w:lang w:val="en-GB"/>
        </w:rPr>
        <w:t xml:space="preserve"> or </w:t>
      </w:r>
      <w:r w:rsidRPr="0001137B">
        <w:rPr>
          <w:rFonts w:cs="Calibri"/>
          <w:sz w:val="24"/>
          <w:szCs w:val="24"/>
          <w:lang w:val="en-GB"/>
        </w:rPr>
        <w:t>her strong link with development aid makes it more difficult to be involved in other issues often considered more vital for the party</w:t>
      </w:r>
      <w:r>
        <w:rPr>
          <w:rFonts w:cs="Calibri"/>
          <w:sz w:val="24"/>
          <w:szCs w:val="24"/>
          <w:lang w:val="en-GB"/>
        </w:rPr>
        <w:t>’</w:t>
      </w:r>
      <w:r w:rsidRPr="0001137B">
        <w:rPr>
          <w:rFonts w:cs="Calibri"/>
          <w:sz w:val="24"/>
          <w:szCs w:val="24"/>
          <w:lang w:val="en-GB"/>
        </w:rPr>
        <w:t xml:space="preserve">s strategy. This would make the position as </w:t>
      </w:r>
      <w:r>
        <w:rPr>
          <w:rFonts w:cs="Calibri"/>
          <w:sz w:val="24"/>
          <w:szCs w:val="24"/>
          <w:lang w:val="en-GB"/>
        </w:rPr>
        <w:t>‘</w:t>
      </w:r>
      <w:r w:rsidRPr="0001137B">
        <w:rPr>
          <w:rFonts w:cs="Calibri"/>
          <w:sz w:val="24"/>
          <w:szCs w:val="24"/>
          <w:lang w:val="en-GB"/>
        </w:rPr>
        <w:t>expert</w:t>
      </w:r>
      <w:r>
        <w:rPr>
          <w:rFonts w:cs="Calibri"/>
          <w:sz w:val="24"/>
          <w:szCs w:val="24"/>
          <w:lang w:val="en-GB"/>
        </w:rPr>
        <w:t>’</w:t>
      </w:r>
      <w:r w:rsidRPr="0001137B">
        <w:rPr>
          <w:rFonts w:cs="Calibri"/>
          <w:sz w:val="24"/>
          <w:szCs w:val="24"/>
          <w:lang w:val="en-GB"/>
        </w:rPr>
        <w:t xml:space="preserve"> on development cooperation less attractive. In other cases, the responsibility of development cooperation is split among several politicians, either through teams involving politicians and experts in a coordinated way, or through individual politicians each working on a specific topic.</w:t>
      </w:r>
    </w:p>
    <w:p w:rsidR="00B26798" w:rsidRPr="0001137B" w:rsidRDefault="00B26798" w:rsidP="00B26798">
      <w:pPr>
        <w:spacing w:line="320" w:lineRule="exact"/>
        <w:rPr>
          <w:rFonts w:cs="Calibri"/>
          <w:sz w:val="24"/>
          <w:szCs w:val="24"/>
          <w:lang w:val="en-GB"/>
        </w:rPr>
      </w:pPr>
      <w:r w:rsidRPr="0001137B">
        <w:rPr>
          <w:rFonts w:cs="Calibri"/>
          <w:sz w:val="24"/>
          <w:szCs w:val="24"/>
          <w:lang w:val="en-GB"/>
        </w:rPr>
        <w:t>In addition to internal expertise, each of the main parties is associated with a research cent</w:t>
      </w:r>
      <w:r>
        <w:rPr>
          <w:rFonts w:cs="Calibri"/>
          <w:sz w:val="24"/>
          <w:szCs w:val="24"/>
          <w:lang w:val="en-GB"/>
        </w:rPr>
        <w:t>r</w:t>
      </w:r>
      <w:r w:rsidRPr="0001137B">
        <w:rPr>
          <w:rFonts w:cs="Calibri"/>
          <w:sz w:val="24"/>
          <w:szCs w:val="24"/>
          <w:lang w:val="en-GB"/>
        </w:rPr>
        <w:t>e that provides technical advice related to development cooperation. Most of these research cent</w:t>
      </w:r>
      <w:r>
        <w:rPr>
          <w:rFonts w:cs="Calibri"/>
          <w:sz w:val="24"/>
          <w:szCs w:val="24"/>
          <w:lang w:val="en-GB"/>
        </w:rPr>
        <w:t>r</w:t>
      </w:r>
      <w:r w:rsidRPr="0001137B">
        <w:rPr>
          <w:rFonts w:cs="Calibri"/>
          <w:sz w:val="24"/>
          <w:szCs w:val="24"/>
          <w:lang w:val="en-GB"/>
        </w:rPr>
        <w:t>es have a department dedicated to international relations issues. Development cooperation is often considered to be a part of that. Some of t</w:t>
      </w:r>
      <w:r w:rsidRPr="0001137B">
        <w:rPr>
          <w:rStyle w:val="hps"/>
          <w:rFonts w:cs="Calibri"/>
          <w:sz w:val="24"/>
          <w:szCs w:val="24"/>
          <w:lang w:val="en-GB"/>
        </w:rPr>
        <w:t>he research cent</w:t>
      </w:r>
      <w:r>
        <w:rPr>
          <w:rStyle w:val="hps"/>
          <w:rFonts w:cs="Calibri"/>
          <w:sz w:val="24"/>
          <w:szCs w:val="24"/>
          <w:lang w:val="en-GB"/>
        </w:rPr>
        <w:t>r</w:t>
      </w:r>
      <w:r w:rsidRPr="0001137B">
        <w:rPr>
          <w:rStyle w:val="hps"/>
          <w:rFonts w:cs="Calibri"/>
          <w:sz w:val="24"/>
          <w:szCs w:val="24"/>
          <w:lang w:val="en-GB"/>
        </w:rPr>
        <w:t>es</w:t>
      </w:r>
      <w:r>
        <w:rPr>
          <w:rStyle w:val="hps"/>
          <w:rFonts w:cs="Calibri"/>
          <w:sz w:val="24"/>
          <w:szCs w:val="24"/>
          <w:lang w:val="en-GB"/>
        </w:rPr>
        <w:t>’</w:t>
      </w:r>
      <w:r w:rsidRPr="0001137B">
        <w:rPr>
          <w:rStyle w:val="hps"/>
          <w:rFonts w:cs="Calibri"/>
          <w:sz w:val="24"/>
          <w:szCs w:val="24"/>
          <w:lang w:val="en-GB"/>
        </w:rPr>
        <w:t xml:space="preserve"> staff are policy advisers, other staff are</w:t>
      </w:r>
      <w:r w:rsidRPr="0001137B">
        <w:rPr>
          <w:rFonts w:cs="Calibri"/>
          <w:sz w:val="24"/>
          <w:szCs w:val="24"/>
          <w:lang w:val="en-GB"/>
        </w:rPr>
        <w:t xml:space="preserve"> </w:t>
      </w:r>
      <w:r w:rsidRPr="0001137B">
        <w:rPr>
          <w:rStyle w:val="hps"/>
          <w:rFonts w:cs="Calibri"/>
          <w:sz w:val="24"/>
          <w:szCs w:val="24"/>
          <w:lang w:val="en-GB"/>
        </w:rPr>
        <w:t>affiliated researchers</w:t>
      </w:r>
      <w:r w:rsidRPr="0001137B">
        <w:rPr>
          <w:rFonts w:cs="Calibri"/>
          <w:sz w:val="24"/>
          <w:szCs w:val="24"/>
          <w:lang w:val="en-GB"/>
        </w:rPr>
        <w:t xml:space="preserve"> </w:t>
      </w:r>
      <w:r w:rsidRPr="0001137B">
        <w:rPr>
          <w:rStyle w:val="hps"/>
          <w:rFonts w:cs="Calibri"/>
          <w:sz w:val="24"/>
          <w:szCs w:val="24"/>
          <w:lang w:val="en-GB"/>
        </w:rPr>
        <w:t>from academia</w:t>
      </w:r>
      <w:r w:rsidRPr="0001137B">
        <w:rPr>
          <w:rFonts w:cs="Calibri"/>
          <w:sz w:val="24"/>
          <w:szCs w:val="24"/>
          <w:lang w:val="en-GB"/>
        </w:rPr>
        <w:t>. The cent</w:t>
      </w:r>
      <w:r>
        <w:rPr>
          <w:rFonts w:cs="Calibri"/>
          <w:sz w:val="24"/>
          <w:szCs w:val="24"/>
          <w:lang w:val="en-GB"/>
        </w:rPr>
        <w:t>r</w:t>
      </w:r>
      <w:r w:rsidRPr="0001137B">
        <w:rPr>
          <w:rFonts w:cs="Calibri"/>
          <w:sz w:val="24"/>
          <w:szCs w:val="24"/>
          <w:lang w:val="en-GB"/>
        </w:rPr>
        <w:t>es</w:t>
      </w:r>
      <w:r>
        <w:rPr>
          <w:rFonts w:cs="Calibri"/>
          <w:sz w:val="24"/>
          <w:szCs w:val="24"/>
          <w:lang w:val="en-GB"/>
        </w:rPr>
        <w:t xml:space="preserve">’ </w:t>
      </w:r>
      <w:r w:rsidRPr="0001137B">
        <w:rPr>
          <w:rFonts w:cs="Calibri"/>
          <w:sz w:val="24"/>
          <w:szCs w:val="24"/>
          <w:lang w:val="en-GB"/>
        </w:rPr>
        <w:t>task comes down to policy</w:t>
      </w:r>
      <w:r>
        <w:rPr>
          <w:rFonts w:cs="Calibri"/>
          <w:sz w:val="24"/>
          <w:szCs w:val="24"/>
          <w:lang w:val="en-GB"/>
        </w:rPr>
        <w:t>-</w:t>
      </w:r>
      <w:r w:rsidRPr="0001137B">
        <w:rPr>
          <w:rFonts w:cs="Calibri"/>
          <w:sz w:val="24"/>
          <w:szCs w:val="24"/>
          <w:lang w:val="en-GB"/>
        </w:rPr>
        <w:t xml:space="preserve">based research and practical support, such as compiling political reports, law preparation, and support for </w:t>
      </w:r>
      <w:r>
        <w:rPr>
          <w:rFonts w:cs="Calibri"/>
          <w:sz w:val="24"/>
          <w:szCs w:val="24"/>
          <w:lang w:val="en-GB"/>
        </w:rPr>
        <w:t xml:space="preserve">drawing up </w:t>
      </w:r>
      <w:r w:rsidRPr="0001137B">
        <w:rPr>
          <w:rFonts w:cs="Calibri"/>
          <w:sz w:val="24"/>
          <w:szCs w:val="24"/>
          <w:lang w:val="en-GB"/>
        </w:rPr>
        <w:t>the party</w:t>
      </w:r>
      <w:r>
        <w:rPr>
          <w:rFonts w:cs="Calibri"/>
          <w:sz w:val="24"/>
          <w:szCs w:val="24"/>
          <w:lang w:val="en-GB"/>
        </w:rPr>
        <w:t>’</w:t>
      </w:r>
      <w:r w:rsidRPr="0001137B">
        <w:rPr>
          <w:rFonts w:cs="Calibri"/>
          <w:sz w:val="24"/>
          <w:szCs w:val="24"/>
          <w:lang w:val="en-GB"/>
        </w:rPr>
        <w:t xml:space="preserve">s ideological base and vision related to development cooperation. According to the experiences of NGO federations, each party has its own internal power </w:t>
      </w:r>
      <w:proofErr w:type="gramStart"/>
      <w:r w:rsidRPr="0001137B">
        <w:rPr>
          <w:rFonts w:cs="Calibri"/>
          <w:sz w:val="24"/>
          <w:szCs w:val="24"/>
          <w:lang w:val="en-GB"/>
        </w:rPr>
        <w:t>relationship which</w:t>
      </w:r>
      <w:proofErr w:type="gramEnd"/>
      <w:r w:rsidRPr="0001137B">
        <w:rPr>
          <w:rFonts w:cs="Calibri"/>
          <w:sz w:val="24"/>
          <w:szCs w:val="24"/>
          <w:lang w:val="en-GB"/>
        </w:rPr>
        <w:t xml:space="preserve"> will determine the NGO</w:t>
      </w:r>
      <w:r>
        <w:rPr>
          <w:rFonts w:cs="Calibri"/>
          <w:sz w:val="24"/>
          <w:szCs w:val="24"/>
          <w:lang w:val="en-GB"/>
        </w:rPr>
        <w:t>’</w:t>
      </w:r>
      <w:r w:rsidRPr="0001137B">
        <w:rPr>
          <w:rFonts w:cs="Calibri"/>
          <w:sz w:val="24"/>
          <w:szCs w:val="24"/>
          <w:lang w:val="en-GB"/>
        </w:rPr>
        <w:t xml:space="preserve">s tactics for approaching and lobbying the party. Sometimes, the </w:t>
      </w:r>
      <w:r>
        <w:rPr>
          <w:rFonts w:cs="Calibri"/>
          <w:sz w:val="24"/>
          <w:szCs w:val="24"/>
          <w:lang w:val="en-GB"/>
        </w:rPr>
        <w:t>‘</w:t>
      </w:r>
      <w:r w:rsidRPr="0001137B">
        <w:rPr>
          <w:rFonts w:cs="Calibri"/>
          <w:sz w:val="24"/>
          <w:szCs w:val="24"/>
          <w:lang w:val="en-GB"/>
        </w:rPr>
        <w:t>expert</w:t>
      </w:r>
      <w:r>
        <w:rPr>
          <w:rFonts w:cs="Calibri"/>
          <w:sz w:val="24"/>
          <w:szCs w:val="24"/>
          <w:lang w:val="en-GB"/>
        </w:rPr>
        <w:t>’</w:t>
      </w:r>
      <w:r w:rsidRPr="0001137B">
        <w:rPr>
          <w:rFonts w:cs="Calibri"/>
          <w:sz w:val="24"/>
          <w:szCs w:val="24"/>
          <w:lang w:val="en-GB"/>
        </w:rPr>
        <w:t xml:space="preserve"> will be the first target, in other cases the party leadership </w:t>
      </w:r>
      <w:r>
        <w:rPr>
          <w:rFonts w:cs="Calibri"/>
          <w:sz w:val="24"/>
          <w:szCs w:val="24"/>
          <w:lang w:val="en-GB"/>
        </w:rPr>
        <w:t xml:space="preserve">will be, </w:t>
      </w:r>
      <w:r w:rsidRPr="0001137B">
        <w:rPr>
          <w:rFonts w:cs="Calibri"/>
          <w:sz w:val="24"/>
          <w:szCs w:val="24"/>
          <w:lang w:val="en-GB"/>
        </w:rPr>
        <w:t xml:space="preserve">and in </w:t>
      </w:r>
      <w:r>
        <w:rPr>
          <w:rFonts w:cs="Calibri"/>
          <w:sz w:val="24"/>
          <w:szCs w:val="24"/>
          <w:lang w:val="en-GB"/>
        </w:rPr>
        <w:t xml:space="preserve">yet </w:t>
      </w:r>
      <w:r w:rsidRPr="0001137B">
        <w:rPr>
          <w:rFonts w:cs="Calibri"/>
          <w:sz w:val="24"/>
          <w:szCs w:val="24"/>
          <w:lang w:val="en-GB"/>
        </w:rPr>
        <w:t>other cases the research cent</w:t>
      </w:r>
      <w:r>
        <w:rPr>
          <w:rFonts w:cs="Calibri"/>
          <w:sz w:val="24"/>
          <w:szCs w:val="24"/>
          <w:lang w:val="en-GB"/>
        </w:rPr>
        <w:t>r</w:t>
      </w:r>
      <w:r w:rsidRPr="0001137B">
        <w:rPr>
          <w:rFonts w:cs="Calibri"/>
          <w:sz w:val="24"/>
          <w:szCs w:val="24"/>
          <w:lang w:val="en-GB"/>
        </w:rPr>
        <w:t>e</w:t>
      </w:r>
      <w:r>
        <w:rPr>
          <w:rFonts w:cs="Calibri"/>
          <w:sz w:val="24"/>
          <w:szCs w:val="24"/>
          <w:lang w:val="en-GB"/>
        </w:rPr>
        <w:t xml:space="preserve"> will be</w:t>
      </w:r>
      <w:r w:rsidRPr="0001137B">
        <w:rPr>
          <w:rFonts w:cs="Calibri"/>
          <w:sz w:val="24"/>
          <w:szCs w:val="24"/>
          <w:lang w:val="en-GB"/>
        </w:rPr>
        <w:t>.</w:t>
      </w:r>
    </w:p>
    <w:p w:rsidR="00B26798" w:rsidRPr="0001137B" w:rsidRDefault="00B26798" w:rsidP="00B26798">
      <w:pPr>
        <w:spacing w:line="320" w:lineRule="exact"/>
        <w:rPr>
          <w:rFonts w:cs="Calibri"/>
          <w:sz w:val="24"/>
          <w:szCs w:val="24"/>
          <w:lang w:val="en-GB"/>
        </w:rPr>
      </w:pPr>
      <w:r>
        <w:rPr>
          <w:rFonts w:cs="Calibri"/>
          <w:sz w:val="24"/>
          <w:szCs w:val="24"/>
          <w:lang w:val="en-GB"/>
        </w:rPr>
        <w:t xml:space="preserve">One </w:t>
      </w:r>
      <w:proofErr w:type="gramStart"/>
      <w:r w:rsidRPr="0001137B">
        <w:rPr>
          <w:rFonts w:cs="Calibri"/>
          <w:sz w:val="24"/>
          <w:szCs w:val="24"/>
          <w:lang w:val="en-GB"/>
        </w:rPr>
        <w:t>commonly</w:t>
      </w:r>
      <w:r>
        <w:rPr>
          <w:rFonts w:cs="Calibri"/>
          <w:sz w:val="24"/>
          <w:szCs w:val="24"/>
          <w:lang w:val="en-GB"/>
        </w:rPr>
        <w:t>-</w:t>
      </w:r>
      <w:r w:rsidRPr="0001137B">
        <w:rPr>
          <w:rFonts w:cs="Calibri"/>
          <w:sz w:val="24"/>
          <w:szCs w:val="24"/>
          <w:lang w:val="en-GB"/>
        </w:rPr>
        <w:t>found</w:t>
      </w:r>
      <w:proofErr w:type="gramEnd"/>
      <w:r w:rsidRPr="0001137B">
        <w:rPr>
          <w:rFonts w:cs="Calibri"/>
          <w:sz w:val="24"/>
          <w:szCs w:val="24"/>
          <w:lang w:val="en-GB"/>
        </w:rPr>
        <w:t xml:space="preserve"> type of consultative process among the left and centre parties</w:t>
      </w:r>
      <w:r>
        <w:rPr>
          <w:rFonts w:cs="Calibri"/>
          <w:sz w:val="24"/>
          <w:szCs w:val="24"/>
          <w:lang w:val="en-GB"/>
        </w:rPr>
        <w:t xml:space="preserve"> consists of </w:t>
      </w:r>
      <w:r w:rsidRPr="0001137B">
        <w:rPr>
          <w:rFonts w:cs="Calibri"/>
          <w:sz w:val="24"/>
          <w:szCs w:val="24"/>
          <w:lang w:val="en-GB"/>
        </w:rPr>
        <w:t xml:space="preserve">a two-step approach. Early </w:t>
      </w:r>
      <w:r>
        <w:rPr>
          <w:rFonts w:cs="Calibri"/>
          <w:sz w:val="24"/>
          <w:szCs w:val="24"/>
          <w:lang w:val="en-GB"/>
        </w:rPr>
        <w:t xml:space="preserve">on </w:t>
      </w:r>
      <w:r w:rsidRPr="0001137B">
        <w:rPr>
          <w:rFonts w:cs="Calibri"/>
          <w:sz w:val="24"/>
          <w:szCs w:val="24"/>
          <w:lang w:val="en-GB"/>
        </w:rPr>
        <w:t xml:space="preserve">in the process, a </w:t>
      </w:r>
      <w:r>
        <w:rPr>
          <w:rFonts w:cs="Calibri"/>
          <w:sz w:val="24"/>
          <w:szCs w:val="24"/>
          <w:lang w:val="en-GB"/>
        </w:rPr>
        <w:t xml:space="preserve">relatively </w:t>
      </w:r>
      <w:r w:rsidRPr="0001137B">
        <w:rPr>
          <w:rFonts w:cs="Calibri"/>
          <w:sz w:val="24"/>
          <w:szCs w:val="24"/>
          <w:lang w:val="en-GB"/>
        </w:rPr>
        <w:t xml:space="preserve">formally composed group includes politicians as well as people </w:t>
      </w:r>
      <w:r>
        <w:rPr>
          <w:rFonts w:cs="Calibri"/>
          <w:sz w:val="24"/>
          <w:szCs w:val="24"/>
          <w:lang w:val="en-GB"/>
        </w:rPr>
        <w:t>‘</w:t>
      </w:r>
      <w:r w:rsidRPr="0001137B">
        <w:rPr>
          <w:rFonts w:cs="Calibri"/>
          <w:sz w:val="24"/>
          <w:szCs w:val="24"/>
          <w:lang w:val="en-GB"/>
        </w:rPr>
        <w:t>from the field</w:t>
      </w:r>
      <w:r>
        <w:rPr>
          <w:rFonts w:cs="Calibri"/>
          <w:sz w:val="24"/>
          <w:szCs w:val="24"/>
          <w:lang w:val="en-GB"/>
        </w:rPr>
        <w:t>’</w:t>
      </w:r>
      <w:r w:rsidRPr="0001137B">
        <w:rPr>
          <w:rFonts w:cs="Calibri"/>
          <w:sz w:val="24"/>
          <w:szCs w:val="24"/>
          <w:lang w:val="en-GB"/>
        </w:rPr>
        <w:t xml:space="preserve">. Often, NGOs do </w:t>
      </w:r>
      <w:r>
        <w:rPr>
          <w:rFonts w:cs="Calibri"/>
          <w:sz w:val="24"/>
          <w:szCs w:val="24"/>
          <w:lang w:val="en-GB"/>
        </w:rPr>
        <w:t xml:space="preserve">indeed </w:t>
      </w:r>
      <w:r w:rsidRPr="0001137B">
        <w:rPr>
          <w:rFonts w:cs="Calibri"/>
          <w:sz w:val="24"/>
          <w:szCs w:val="24"/>
          <w:lang w:val="en-GB"/>
        </w:rPr>
        <w:t>find a place at this table. Decision-</w:t>
      </w:r>
      <w:proofErr w:type="gramStart"/>
      <w:r w:rsidRPr="0001137B">
        <w:rPr>
          <w:rFonts w:cs="Calibri"/>
          <w:sz w:val="24"/>
          <w:szCs w:val="24"/>
          <w:lang w:val="en-GB"/>
        </w:rPr>
        <w:t>making,</w:t>
      </w:r>
      <w:proofErr w:type="gramEnd"/>
      <w:r w:rsidRPr="0001137B">
        <w:rPr>
          <w:rFonts w:cs="Calibri"/>
          <w:sz w:val="24"/>
          <w:szCs w:val="24"/>
          <w:lang w:val="en-GB"/>
        </w:rPr>
        <w:t xml:space="preserve"> however is not the purpose of these gatherings. The idea is more to find inspiration and </w:t>
      </w:r>
      <w:proofErr w:type="gramStart"/>
      <w:r w:rsidRPr="0001137B">
        <w:rPr>
          <w:rFonts w:cs="Calibri"/>
          <w:sz w:val="24"/>
          <w:szCs w:val="24"/>
          <w:lang w:val="en-GB"/>
        </w:rPr>
        <w:t>ideas which</w:t>
      </w:r>
      <w:proofErr w:type="gramEnd"/>
      <w:r w:rsidRPr="0001137B">
        <w:rPr>
          <w:rFonts w:cs="Calibri"/>
          <w:sz w:val="24"/>
          <w:szCs w:val="24"/>
          <w:lang w:val="en-GB"/>
        </w:rPr>
        <w:t xml:space="preserve"> could fit in </w:t>
      </w:r>
      <w:r>
        <w:rPr>
          <w:rFonts w:cs="Calibri"/>
          <w:sz w:val="24"/>
          <w:szCs w:val="24"/>
          <w:lang w:val="en-GB"/>
        </w:rPr>
        <w:t xml:space="preserve">with </w:t>
      </w:r>
      <w:r w:rsidRPr="0001137B">
        <w:rPr>
          <w:rFonts w:cs="Calibri"/>
          <w:sz w:val="24"/>
          <w:szCs w:val="24"/>
          <w:lang w:val="en-GB"/>
        </w:rPr>
        <w:t>a party</w:t>
      </w:r>
      <w:r>
        <w:rPr>
          <w:rFonts w:cs="Calibri"/>
          <w:sz w:val="24"/>
          <w:szCs w:val="24"/>
          <w:lang w:val="en-GB"/>
        </w:rPr>
        <w:t>’</w:t>
      </w:r>
      <w:r w:rsidRPr="0001137B">
        <w:rPr>
          <w:rFonts w:cs="Calibri"/>
          <w:sz w:val="24"/>
          <w:szCs w:val="24"/>
          <w:lang w:val="en-GB"/>
        </w:rPr>
        <w:t xml:space="preserve">s </w:t>
      </w:r>
      <w:r>
        <w:rPr>
          <w:rFonts w:cs="Calibri"/>
          <w:sz w:val="24"/>
          <w:szCs w:val="24"/>
          <w:lang w:val="en-GB"/>
        </w:rPr>
        <w:t>programme</w:t>
      </w:r>
      <w:r w:rsidRPr="0001137B">
        <w:rPr>
          <w:rFonts w:cs="Calibri"/>
          <w:sz w:val="24"/>
          <w:szCs w:val="24"/>
          <w:lang w:val="en-GB"/>
        </w:rPr>
        <w:t xml:space="preserve">. Later </w:t>
      </w:r>
      <w:r>
        <w:rPr>
          <w:rFonts w:cs="Calibri"/>
          <w:sz w:val="24"/>
          <w:szCs w:val="24"/>
          <w:lang w:val="en-GB"/>
        </w:rPr>
        <w:t xml:space="preserve">on </w:t>
      </w:r>
      <w:r w:rsidRPr="0001137B">
        <w:rPr>
          <w:rFonts w:cs="Calibri"/>
          <w:sz w:val="24"/>
          <w:szCs w:val="24"/>
          <w:lang w:val="en-GB"/>
        </w:rPr>
        <w:t xml:space="preserve">in the process, a rather informal group gathers the politicians and </w:t>
      </w:r>
      <w:r>
        <w:rPr>
          <w:rFonts w:cs="Calibri"/>
          <w:sz w:val="24"/>
          <w:szCs w:val="24"/>
          <w:lang w:val="en-GB"/>
        </w:rPr>
        <w:t>‘</w:t>
      </w:r>
      <w:r w:rsidRPr="0001137B">
        <w:rPr>
          <w:rFonts w:cs="Calibri"/>
          <w:sz w:val="24"/>
          <w:szCs w:val="24"/>
          <w:lang w:val="en-GB"/>
        </w:rPr>
        <w:t>internal</w:t>
      </w:r>
      <w:r>
        <w:rPr>
          <w:rFonts w:cs="Calibri"/>
          <w:sz w:val="24"/>
          <w:szCs w:val="24"/>
          <w:lang w:val="en-GB"/>
        </w:rPr>
        <w:t>’</w:t>
      </w:r>
      <w:r w:rsidRPr="0001137B">
        <w:rPr>
          <w:rFonts w:cs="Calibri"/>
          <w:sz w:val="24"/>
          <w:szCs w:val="24"/>
          <w:lang w:val="en-GB"/>
        </w:rPr>
        <w:t xml:space="preserve"> experts at different decision-making levels. This strategic group generally aims to homogen</w:t>
      </w:r>
      <w:r>
        <w:rPr>
          <w:rFonts w:cs="Calibri"/>
          <w:sz w:val="24"/>
          <w:szCs w:val="24"/>
          <w:lang w:val="en-GB"/>
        </w:rPr>
        <w:t>ise</w:t>
      </w:r>
      <w:r w:rsidRPr="0001137B">
        <w:rPr>
          <w:rFonts w:cs="Calibri"/>
          <w:sz w:val="24"/>
          <w:szCs w:val="24"/>
          <w:lang w:val="en-GB"/>
        </w:rPr>
        <w:t xml:space="preserve"> the party</w:t>
      </w:r>
      <w:r>
        <w:rPr>
          <w:rFonts w:cs="Calibri"/>
          <w:sz w:val="24"/>
          <w:szCs w:val="24"/>
          <w:lang w:val="en-GB"/>
        </w:rPr>
        <w:t>’</w:t>
      </w:r>
      <w:r w:rsidRPr="0001137B">
        <w:rPr>
          <w:rFonts w:cs="Calibri"/>
          <w:sz w:val="24"/>
          <w:szCs w:val="24"/>
          <w:lang w:val="en-GB"/>
        </w:rPr>
        <w:t xml:space="preserve">s policy at these different levels, taking both pro-active and reactive standpoints. These groups, especially the informal ones, play a role when the electoral </w:t>
      </w:r>
      <w:r>
        <w:rPr>
          <w:rFonts w:cs="Calibri"/>
          <w:sz w:val="24"/>
          <w:szCs w:val="24"/>
          <w:lang w:val="en-GB"/>
        </w:rPr>
        <w:t>programme</w:t>
      </w:r>
      <w:r w:rsidRPr="0001137B">
        <w:rPr>
          <w:rFonts w:cs="Calibri"/>
          <w:sz w:val="24"/>
          <w:szCs w:val="24"/>
          <w:lang w:val="en-GB"/>
        </w:rPr>
        <w:t xml:space="preserve"> is to be </w:t>
      </w:r>
      <w:r>
        <w:rPr>
          <w:rFonts w:cs="Calibri"/>
          <w:sz w:val="24"/>
          <w:szCs w:val="24"/>
          <w:lang w:val="en-GB"/>
        </w:rPr>
        <w:t>drawn up</w:t>
      </w:r>
      <w:r w:rsidRPr="0001137B">
        <w:rPr>
          <w:rFonts w:cs="Calibri"/>
          <w:sz w:val="24"/>
          <w:szCs w:val="24"/>
          <w:lang w:val="en-GB"/>
        </w:rPr>
        <w:t>. In other cases, for instance after the Tsunami in South-East Asia or the earthquake in Ha</w:t>
      </w:r>
      <w:r>
        <w:rPr>
          <w:rFonts w:cs="Calibri"/>
          <w:sz w:val="24"/>
          <w:szCs w:val="24"/>
          <w:lang w:val="en-GB"/>
        </w:rPr>
        <w:t>i</w:t>
      </w:r>
      <w:r w:rsidRPr="0001137B">
        <w:rPr>
          <w:rFonts w:cs="Calibri"/>
          <w:sz w:val="24"/>
          <w:szCs w:val="24"/>
          <w:lang w:val="en-GB"/>
        </w:rPr>
        <w:t xml:space="preserve">ti, the larger </w:t>
      </w:r>
      <w:r>
        <w:rPr>
          <w:rFonts w:cs="Calibri"/>
          <w:sz w:val="24"/>
          <w:szCs w:val="24"/>
          <w:lang w:val="en-GB"/>
        </w:rPr>
        <w:t>‘</w:t>
      </w:r>
      <w:r w:rsidRPr="0001137B">
        <w:rPr>
          <w:rFonts w:cs="Calibri"/>
          <w:sz w:val="24"/>
          <w:szCs w:val="24"/>
          <w:lang w:val="en-GB"/>
        </w:rPr>
        <w:t>formal</w:t>
      </w:r>
      <w:r>
        <w:rPr>
          <w:rFonts w:cs="Calibri"/>
          <w:sz w:val="24"/>
          <w:szCs w:val="24"/>
          <w:lang w:val="en-GB"/>
        </w:rPr>
        <w:t>’</w:t>
      </w:r>
      <w:r w:rsidRPr="0001137B">
        <w:rPr>
          <w:rFonts w:cs="Calibri"/>
          <w:sz w:val="24"/>
          <w:szCs w:val="24"/>
          <w:lang w:val="en-GB"/>
        </w:rPr>
        <w:t xml:space="preserve"> group is mobil</w:t>
      </w:r>
      <w:r>
        <w:rPr>
          <w:rFonts w:cs="Calibri"/>
          <w:sz w:val="24"/>
          <w:szCs w:val="24"/>
          <w:lang w:val="en-GB"/>
        </w:rPr>
        <w:t>ise</w:t>
      </w:r>
      <w:r w:rsidRPr="0001137B">
        <w:rPr>
          <w:rFonts w:cs="Calibri"/>
          <w:sz w:val="24"/>
          <w:szCs w:val="24"/>
          <w:lang w:val="en-GB"/>
        </w:rPr>
        <w:t>d to organ</w:t>
      </w:r>
      <w:r>
        <w:rPr>
          <w:rFonts w:cs="Calibri"/>
          <w:sz w:val="24"/>
          <w:szCs w:val="24"/>
          <w:lang w:val="en-GB"/>
        </w:rPr>
        <w:t>ise</w:t>
      </w:r>
      <w:r w:rsidRPr="0001137B">
        <w:rPr>
          <w:rFonts w:cs="Calibri"/>
          <w:sz w:val="24"/>
          <w:szCs w:val="24"/>
          <w:lang w:val="en-GB"/>
        </w:rPr>
        <w:t xml:space="preserve"> donation campaigns among party members or affiliates. Some parties </w:t>
      </w:r>
      <w:r>
        <w:rPr>
          <w:rFonts w:cs="Calibri"/>
          <w:sz w:val="24"/>
          <w:szCs w:val="24"/>
          <w:lang w:val="en-GB"/>
        </w:rPr>
        <w:t xml:space="preserve">have set </w:t>
      </w:r>
      <w:r w:rsidRPr="0001137B">
        <w:rPr>
          <w:rFonts w:cs="Calibri"/>
          <w:sz w:val="24"/>
          <w:szCs w:val="24"/>
          <w:lang w:val="en-GB"/>
        </w:rPr>
        <w:t xml:space="preserve">themselves </w:t>
      </w:r>
      <w:r>
        <w:rPr>
          <w:rFonts w:cs="Calibri"/>
          <w:sz w:val="24"/>
          <w:szCs w:val="24"/>
          <w:lang w:val="en-GB"/>
        </w:rPr>
        <w:t xml:space="preserve">apart </w:t>
      </w:r>
      <w:r w:rsidRPr="0001137B">
        <w:rPr>
          <w:rFonts w:cs="Calibri"/>
          <w:sz w:val="24"/>
          <w:szCs w:val="24"/>
          <w:lang w:val="en-GB"/>
        </w:rPr>
        <w:t xml:space="preserve">by </w:t>
      </w:r>
      <w:r>
        <w:rPr>
          <w:rFonts w:cs="Calibri"/>
          <w:sz w:val="24"/>
          <w:szCs w:val="24"/>
          <w:lang w:val="en-GB"/>
        </w:rPr>
        <w:t xml:space="preserve">keeping </w:t>
      </w:r>
      <w:r w:rsidRPr="0001137B">
        <w:rPr>
          <w:rFonts w:cs="Calibri"/>
          <w:sz w:val="24"/>
          <w:szCs w:val="24"/>
          <w:lang w:val="en-GB"/>
        </w:rPr>
        <w:t>1% of the members</w:t>
      </w:r>
      <w:r>
        <w:rPr>
          <w:rFonts w:cs="Calibri"/>
          <w:sz w:val="24"/>
          <w:szCs w:val="24"/>
          <w:lang w:val="en-GB"/>
        </w:rPr>
        <w:t>’</w:t>
      </w:r>
      <w:r w:rsidRPr="0001137B">
        <w:rPr>
          <w:rFonts w:cs="Calibri"/>
          <w:sz w:val="24"/>
          <w:szCs w:val="24"/>
          <w:lang w:val="en-GB"/>
        </w:rPr>
        <w:t xml:space="preserve"> fees </w:t>
      </w:r>
      <w:r>
        <w:rPr>
          <w:rFonts w:cs="Calibri"/>
          <w:sz w:val="24"/>
          <w:szCs w:val="24"/>
          <w:lang w:val="en-GB"/>
        </w:rPr>
        <w:t xml:space="preserve">back </w:t>
      </w:r>
      <w:r w:rsidRPr="0001137B">
        <w:rPr>
          <w:rFonts w:cs="Calibri"/>
          <w:sz w:val="24"/>
          <w:szCs w:val="24"/>
          <w:lang w:val="en-GB"/>
        </w:rPr>
        <w:t>for selected development aid projects.</w:t>
      </w:r>
    </w:p>
    <w:p w:rsidR="00B26798" w:rsidRPr="0001137B" w:rsidRDefault="00B26798" w:rsidP="00B26798">
      <w:pPr>
        <w:spacing w:line="320" w:lineRule="exact"/>
        <w:rPr>
          <w:rFonts w:cs="Calibri"/>
          <w:sz w:val="24"/>
          <w:szCs w:val="24"/>
          <w:lang w:val="en-GB"/>
        </w:rPr>
      </w:pPr>
      <w:r w:rsidRPr="0001137B">
        <w:rPr>
          <w:rFonts w:cs="Calibri"/>
          <w:sz w:val="24"/>
          <w:szCs w:val="24"/>
          <w:lang w:val="en-GB"/>
        </w:rPr>
        <w:t>Several parties report a decrease in the participation by NGOs in such consultation groups, especially over the last decade. NGOs feel there is a decline of the parties</w:t>
      </w:r>
      <w:r>
        <w:rPr>
          <w:rFonts w:cs="Calibri"/>
          <w:sz w:val="24"/>
          <w:szCs w:val="24"/>
          <w:lang w:val="en-GB"/>
        </w:rPr>
        <w:t>’</w:t>
      </w:r>
      <w:r w:rsidRPr="0001137B">
        <w:rPr>
          <w:rFonts w:cs="Calibri"/>
          <w:sz w:val="24"/>
          <w:szCs w:val="24"/>
          <w:lang w:val="en-GB"/>
        </w:rPr>
        <w:t xml:space="preserve"> interest for international relations and are less eager to invest in a domain that is ranked low in the parties</w:t>
      </w:r>
      <w:r>
        <w:rPr>
          <w:rFonts w:cs="Calibri"/>
          <w:sz w:val="24"/>
          <w:szCs w:val="24"/>
          <w:lang w:val="en-GB"/>
        </w:rPr>
        <w:t>’</w:t>
      </w:r>
      <w:r w:rsidRPr="0001137B">
        <w:rPr>
          <w:rFonts w:cs="Calibri"/>
          <w:sz w:val="24"/>
          <w:szCs w:val="24"/>
          <w:lang w:val="en-GB"/>
        </w:rPr>
        <w:t xml:space="preserve"> priority scale anyway. They also blame the tendency of politicians to think about development aid in </w:t>
      </w:r>
      <w:r>
        <w:rPr>
          <w:rFonts w:cs="Calibri"/>
          <w:sz w:val="24"/>
          <w:szCs w:val="24"/>
          <w:lang w:val="en-GB"/>
        </w:rPr>
        <w:t xml:space="preserve">the framework of </w:t>
      </w:r>
      <w:r w:rsidRPr="0001137B">
        <w:rPr>
          <w:rFonts w:cs="Calibri"/>
          <w:sz w:val="24"/>
          <w:szCs w:val="24"/>
          <w:lang w:val="en-GB"/>
        </w:rPr>
        <w:t xml:space="preserve">more popular issues like immigration, social dumping and the war on drugs. Politicians however defend this </w:t>
      </w:r>
      <w:proofErr w:type="gramStart"/>
      <w:r w:rsidRPr="0001137B">
        <w:rPr>
          <w:rFonts w:cs="Calibri"/>
          <w:sz w:val="24"/>
          <w:szCs w:val="24"/>
          <w:lang w:val="en-GB"/>
        </w:rPr>
        <w:t>approach</w:t>
      </w:r>
      <w:proofErr w:type="gramEnd"/>
      <w:r w:rsidRPr="0001137B">
        <w:rPr>
          <w:rFonts w:cs="Calibri"/>
          <w:sz w:val="24"/>
          <w:szCs w:val="24"/>
          <w:lang w:val="en-GB"/>
        </w:rPr>
        <w:t xml:space="preserve"> as a method to draw </w:t>
      </w:r>
      <w:r w:rsidRPr="0001137B">
        <w:rPr>
          <w:rFonts w:cs="Calibri"/>
          <w:sz w:val="24"/>
          <w:szCs w:val="24"/>
          <w:lang w:val="en-GB"/>
        </w:rPr>
        <w:lastRenderedPageBreak/>
        <w:t>people</w:t>
      </w:r>
      <w:r>
        <w:rPr>
          <w:rFonts w:cs="Calibri"/>
          <w:sz w:val="24"/>
          <w:szCs w:val="24"/>
          <w:lang w:val="en-GB"/>
        </w:rPr>
        <w:t>’</w:t>
      </w:r>
      <w:r w:rsidRPr="0001137B">
        <w:rPr>
          <w:rFonts w:cs="Calibri"/>
          <w:sz w:val="24"/>
          <w:szCs w:val="24"/>
          <w:lang w:val="en-GB"/>
        </w:rPr>
        <w:t>s attention to a topic that otherwise would remain invisible. This gap between the intrinsic values and the hurdles to bring them into practice has created a distance between the political world and civil society. To some extent this explains the hesitation of NGOs to continue their full commitment to consultative processes set up by political parties.</w:t>
      </w:r>
    </w:p>
    <w:p w:rsidR="00B26798" w:rsidRPr="0001137B" w:rsidRDefault="00B26798" w:rsidP="00B26798">
      <w:pPr>
        <w:pStyle w:val="Titre3"/>
        <w:spacing w:before="360" w:after="240"/>
        <w:ind w:left="680" w:hanging="680"/>
        <w:rPr>
          <w:b/>
          <w:lang w:val="en-GB"/>
        </w:rPr>
      </w:pPr>
      <w:bookmarkStart w:id="3" w:name="_Toc358966825"/>
      <w:r>
        <w:rPr>
          <w:b/>
          <w:lang w:val="en-GB"/>
        </w:rPr>
        <w:t xml:space="preserve">How can </w:t>
      </w:r>
      <w:r w:rsidRPr="0001137B">
        <w:rPr>
          <w:b/>
          <w:lang w:val="en-GB"/>
        </w:rPr>
        <w:t>civil society</w:t>
      </w:r>
      <w:bookmarkEnd w:id="3"/>
      <w:r>
        <w:rPr>
          <w:b/>
          <w:lang w:val="en-GB"/>
        </w:rPr>
        <w:t xml:space="preserve"> exert influence on political parties?</w:t>
      </w:r>
    </w:p>
    <w:p w:rsidR="00B26798" w:rsidRPr="0001137B" w:rsidRDefault="00B26798" w:rsidP="00B26798">
      <w:pPr>
        <w:spacing w:after="120" w:line="320" w:lineRule="exact"/>
        <w:rPr>
          <w:rFonts w:cs="Calibri"/>
          <w:sz w:val="24"/>
          <w:szCs w:val="24"/>
          <w:lang w:val="en-GB" w:eastAsia="fr-BE"/>
        </w:rPr>
      </w:pPr>
      <w:r w:rsidRPr="0001137B">
        <w:rPr>
          <w:rFonts w:cs="Calibri"/>
          <w:sz w:val="24"/>
          <w:szCs w:val="24"/>
          <w:lang w:val="en-GB" w:eastAsia="fr-BE"/>
        </w:rPr>
        <w:t xml:space="preserve">Influencing the content of policies is one of the prime tasks of the umbrella organisations </w:t>
      </w:r>
      <w:r>
        <w:rPr>
          <w:rFonts w:cs="Calibri"/>
          <w:sz w:val="24"/>
          <w:szCs w:val="24"/>
          <w:lang w:val="en-GB" w:eastAsia="fr-BE"/>
        </w:rPr>
        <w:t xml:space="preserve">that </w:t>
      </w:r>
      <w:r w:rsidRPr="0001137B">
        <w:rPr>
          <w:rFonts w:cs="Calibri"/>
          <w:sz w:val="24"/>
          <w:szCs w:val="24"/>
          <w:lang w:val="en-GB" w:eastAsia="fr-BE"/>
        </w:rPr>
        <w:t>represent</w:t>
      </w:r>
      <w:r>
        <w:rPr>
          <w:rFonts w:cs="Calibri"/>
          <w:sz w:val="24"/>
          <w:szCs w:val="24"/>
          <w:lang w:val="en-GB" w:eastAsia="fr-BE"/>
        </w:rPr>
        <w:t xml:space="preserve"> </w:t>
      </w:r>
      <w:r w:rsidRPr="0001137B">
        <w:rPr>
          <w:rFonts w:cs="Calibri"/>
          <w:sz w:val="24"/>
          <w:szCs w:val="24"/>
          <w:lang w:val="en-GB" w:eastAsia="fr-BE"/>
        </w:rPr>
        <w:t xml:space="preserve">the NGOs and civil society sections with a global solidarity orientation, such as the trade unions (Lambert &amp; De </w:t>
      </w:r>
      <w:proofErr w:type="spellStart"/>
      <w:r w:rsidRPr="0001137B">
        <w:rPr>
          <w:rFonts w:cs="Calibri"/>
          <w:sz w:val="24"/>
          <w:szCs w:val="24"/>
          <w:lang w:val="en-GB" w:eastAsia="fr-BE"/>
        </w:rPr>
        <w:t>Smedt</w:t>
      </w:r>
      <w:proofErr w:type="spellEnd"/>
      <w:r w:rsidRPr="0001137B">
        <w:rPr>
          <w:rFonts w:cs="Calibri"/>
          <w:sz w:val="24"/>
          <w:szCs w:val="24"/>
          <w:lang w:val="en-GB" w:eastAsia="fr-BE"/>
        </w:rPr>
        <w:t>, 2006). These umbrella organisations, sometimes called NGO</w:t>
      </w:r>
      <w:r>
        <w:rPr>
          <w:rFonts w:cs="Calibri"/>
          <w:sz w:val="24"/>
          <w:szCs w:val="24"/>
          <w:lang w:val="en-GB" w:eastAsia="fr-BE"/>
        </w:rPr>
        <w:t xml:space="preserve"> </w:t>
      </w:r>
      <w:r w:rsidRPr="0001137B">
        <w:rPr>
          <w:rFonts w:cs="Calibri"/>
          <w:sz w:val="24"/>
          <w:szCs w:val="24"/>
          <w:lang w:val="en-GB" w:eastAsia="fr-BE"/>
        </w:rPr>
        <w:t>networks are 11.11.11 in Flanders and CNCD in the French-speaking part of Belgium.</w:t>
      </w:r>
    </w:p>
    <w:p w:rsidR="00B26798" w:rsidRPr="0001137B" w:rsidRDefault="00B26798" w:rsidP="00B26798">
      <w:pPr>
        <w:pStyle w:val="NormalWeb"/>
        <w:spacing w:before="0" w:beforeAutospacing="0" w:after="120" w:afterAutospacing="0" w:line="320" w:lineRule="exact"/>
        <w:jc w:val="both"/>
        <w:rPr>
          <w:rFonts w:asciiTheme="minorHAnsi" w:hAnsiTheme="minorHAnsi" w:cs="Calibri"/>
          <w:lang w:val="en-GB"/>
        </w:rPr>
      </w:pPr>
      <w:r w:rsidRPr="0001137B">
        <w:rPr>
          <w:rFonts w:asciiTheme="minorHAnsi" w:eastAsia="Calibri" w:hAnsiTheme="minorHAnsi" w:cs="Calibri"/>
          <w:lang w:val="en-GB"/>
        </w:rPr>
        <w:t xml:space="preserve">There is a strong link between the political work of these umbrella organisations, their aim to increase public awareness and their efforts to introduce global issues in the daily routine of civil society organisations. </w:t>
      </w:r>
      <w:r>
        <w:rPr>
          <w:rFonts w:asciiTheme="minorHAnsi" w:eastAsia="Calibri" w:hAnsiTheme="minorHAnsi" w:cs="Calibri"/>
          <w:lang w:val="en-GB"/>
        </w:rPr>
        <w:t xml:space="preserve">One </w:t>
      </w:r>
      <w:r w:rsidRPr="0001137B">
        <w:rPr>
          <w:rFonts w:asciiTheme="minorHAnsi" w:eastAsia="Calibri" w:hAnsiTheme="minorHAnsi" w:cs="Calibri"/>
          <w:lang w:val="en-GB"/>
        </w:rPr>
        <w:t xml:space="preserve">tool </w:t>
      </w:r>
      <w:r>
        <w:rPr>
          <w:rFonts w:asciiTheme="minorHAnsi" w:eastAsia="Calibri" w:hAnsiTheme="minorHAnsi" w:cs="Calibri"/>
          <w:lang w:val="en-GB"/>
        </w:rPr>
        <w:t xml:space="preserve">that is </w:t>
      </w:r>
      <w:r w:rsidRPr="0001137B">
        <w:rPr>
          <w:rFonts w:asciiTheme="minorHAnsi" w:eastAsia="Calibri" w:hAnsiTheme="minorHAnsi" w:cs="Calibri"/>
          <w:lang w:val="en-GB"/>
        </w:rPr>
        <w:t xml:space="preserve">frequently used is the memorandum. </w:t>
      </w:r>
      <w:r w:rsidRPr="0001137B">
        <w:rPr>
          <w:rStyle w:val="hps"/>
          <w:rFonts w:asciiTheme="minorHAnsi" w:hAnsiTheme="minorHAnsi" w:cs="Calibri"/>
          <w:lang w:val="en-GB"/>
        </w:rPr>
        <w:t xml:space="preserve">These </w:t>
      </w:r>
      <w:r w:rsidRPr="006F209C">
        <w:rPr>
          <w:rStyle w:val="hps"/>
          <w:rFonts w:asciiTheme="minorHAnsi" w:hAnsiTheme="minorHAnsi" w:cs="Calibri"/>
          <w:lang w:val="en-GB"/>
        </w:rPr>
        <w:t xml:space="preserve">memoranda </w:t>
      </w:r>
      <w:r w:rsidRPr="0001137B">
        <w:rPr>
          <w:rStyle w:val="hps"/>
          <w:rFonts w:asciiTheme="minorHAnsi" w:hAnsiTheme="minorHAnsi" w:cs="Calibri"/>
          <w:lang w:val="en-GB"/>
        </w:rPr>
        <w:t>are often the result of extensive study work and discussions within civil society. They</w:t>
      </w:r>
      <w:r w:rsidRPr="0001137B">
        <w:rPr>
          <w:rFonts w:asciiTheme="minorHAnsi" w:hAnsiTheme="minorHAnsi" w:cs="Calibri"/>
          <w:lang w:val="en-GB"/>
        </w:rPr>
        <w:t xml:space="preserve"> deal with </w:t>
      </w:r>
      <w:r w:rsidRPr="0001137B">
        <w:rPr>
          <w:rStyle w:val="hps"/>
          <w:rFonts w:asciiTheme="minorHAnsi" w:hAnsiTheme="minorHAnsi" w:cs="Calibri"/>
          <w:lang w:val="en-GB"/>
        </w:rPr>
        <w:t>topics</w:t>
      </w:r>
      <w:r w:rsidRPr="0001137B">
        <w:rPr>
          <w:rFonts w:asciiTheme="minorHAnsi" w:hAnsiTheme="minorHAnsi" w:cs="Calibri"/>
          <w:lang w:val="en-GB"/>
        </w:rPr>
        <w:t xml:space="preserve"> </w:t>
      </w:r>
      <w:r w:rsidRPr="0001137B">
        <w:rPr>
          <w:rStyle w:val="hps"/>
          <w:rFonts w:asciiTheme="minorHAnsi" w:hAnsiTheme="minorHAnsi" w:cs="Calibri"/>
          <w:lang w:val="en-GB"/>
        </w:rPr>
        <w:t>such as</w:t>
      </w:r>
      <w:r w:rsidRPr="0001137B">
        <w:rPr>
          <w:rFonts w:asciiTheme="minorHAnsi" w:hAnsiTheme="minorHAnsi" w:cs="Calibri"/>
          <w:lang w:val="en-GB"/>
        </w:rPr>
        <w:t xml:space="preserve"> </w:t>
      </w:r>
      <w:r w:rsidRPr="0001137B">
        <w:rPr>
          <w:rStyle w:val="hps"/>
          <w:rFonts w:asciiTheme="minorHAnsi" w:hAnsiTheme="minorHAnsi" w:cs="Calibri"/>
          <w:lang w:val="en-GB"/>
        </w:rPr>
        <w:t>the fight for</w:t>
      </w:r>
      <w:r w:rsidRPr="0001137B">
        <w:rPr>
          <w:rFonts w:asciiTheme="minorHAnsi" w:hAnsiTheme="minorHAnsi" w:cs="Calibri"/>
          <w:lang w:val="en-GB"/>
        </w:rPr>
        <w:t xml:space="preserve"> </w:t>
      </w:r>
      <w:r w:rsidRPr="0001137B">
        <w:rPr>
          <w:rStyle w:val="hps"/>
          <w:rFonts w:asciiTheme="minorHAnsi" w:hAnsiTheme="minorHAnsi" w:cs="Calibri"/>
          <w:lang w:val="en-GB"/>
        </w:rPr>
        <w:t>decent work</w:t>
      </w:r>
      <w:r w:rsidRPr="0001137B">
        <w:rPr>
          <w:rFonts w:asciiTheme="minorHAnsi" w:hAnsiTheme="minorHAnsi" w:cs="Calibri"/>
          <w:lang w:val="en-GB"/>
        </w:rPr>
        <w:t xml:space="preserve">, food </w:t>
      </w:r>
      <w:r>
        <w:rPr>
          <w:rFonts w:asciiTheme="minorHAnsi" w:hAnsiTheme="minorHAnsi" w:cs="Calibri"/>
          <w:lang w:val="en-GB"/>
        </w:rPr>
        <w:t>security</w:t>
      </w:r>
      <w:r w:rsidRPr="0001137B">
        <w:rPr>
          <w:rFonts w:asciiTheme="minorHAnsi" w:hAnsiTheme="minorHAnsi" w:cs="Calibri"/>
          <w:lang w:val="en-GB"/>
        </w:rPr>
        <w:t xml:space="preserve">, or the cancellation of </w:t>
      </w:r>
      <w:r w:rsidRPr="0001137B">
        <w:rPr>
          <w:rStyle w:val="hps"/>
          <w:rFonts w:asciiTheme="minorHAnsi" w:hAnsiTheme="minorHAnsi" w:cs="Calibri"/>
          <w:lang w:val="en-GB"/>
        </w:rPr>
        <w:t>the debt of</w:t>
      </w:r>
      <w:r w:rsidRPr="0001137B">
        <w:rPr>
          <w:rFonts w:asciiTheme="minorHAnsi" w:hAnsiTheme="minorHAnsi" w:cs="Calibri"/>
          <w:lang w:val="en-GB"/>
        </w:rPr>
        <w:t xml:space="preserve"> developing countries. During the election campaign, these memoranda often highlight the positions of the political candidates about North-South issues. Their real use, however, is after the elections. Indeed, one aim of these memoranda is to translate civil society priorities into commitments in the government statement, and further into </w:t>
      </w:r>
      <w:r>
        <w:rPr>
          <w:rFonts w:asciiTheme="minorHAnsi" w:hAnsiTheme="minorHAnsi" w:cs="Calibri"/>
          <w:lang w:val="en-GB"/>
        </w:rPr>
        <w:t xml:space="preserve">specific </w:t>
      </w:r>
      <w:r w:rsidRPr="0001137B">
        <w:rPr>
          <w:rFonts w:asciiTheme="minorHAnsi" w:hAnsiTheme="minorHAnsi" w:cs="Calibri"/>
          <w:lang w:val="en-GB"/>
        </w:rPr>
        <w:t>policy of the Minister or Secretary of State who holds the portfolio of development cooperation. Other methods of policy influencing are of a more informal nature, such as petitions, internal lobbying and bilateral contacts with politicians.</w:t>
      </w:r>
    </w:p>
    <w:p w:rsidR="00B26798" w:rsidRPr="0001137B" w:rsidRDefault="00B26798" w:rsidP="00B26798">
      <w:pPr>
        <w:pStyle w:val="NormalWeb"/>
        <w:spacing w:before="0" w:beforeAutospacing="0" w:after="120" w:afterAutospacing="0" w:line="320" w:lineRule="exact"/>
        <w:jc w:val="both"/>
        <w:rPr>
          <w:rStyle w:val="hps"/>
          <w:rFonts w:asciiTheme="minorHAnsi" w:hAnsiTheme="minorHAnsi" w:cs="Calibri"/>
          <w:lang w:val="en-GB"/>
        </w:rPr>
      </w:pPr>
      <w:r w:rsidRPr="0001137B">
        <w:rPr>
          <w:rFonts w:asciiTheme="minorHAnsi" w:hAnsiTheme="minorHAnsi" w:cs="Calibri"/>
          <w:lang w:val="en-GB"/>
        </w:rPr>
        <w:t>To ensure maxim</w:t>
      </w:r>
      <w:r>
        <w:rPr>
          <w:rFonts w:asciiTheme="minorHAnsi" w:hAnsiTheme="minorHAnsi" w:cs="Calibri"/>
          <w:lang w:val="en-GB"/>
        </w:rPr>
        <w:t xml:space="preserve">um </w:t>
      </w:r>
      <w:r w:rsidRPr="0001137B">
        <w:rPr>
          <w:rFonts w:asciiTheme="minorHAnsi" w:hAnsiTheme="minorHAnsi" w:cs="Calibri"/>
          <w:lang w:val="en-GB"/>
        </w:rPr>
        <w:t>impact, NGO</w:t>
      </w:r>
      <w:r>
        <w:rPr>
          <w:rFonts w:asciiTheme="minorHAnsi" w:hAnsiTheme="minorHAnsi" w:cs="Calibri"/>
          <w:lang w:val="en-GB"/>
        </w:rPr>
        <w:t xml:space="preserve"> </w:t>
      </w:r>
      <w:r w:rsidRPr="0001137B">
        <w:rPr>
          <w:rFonts w:asciiTheme="minorHAnsi" w:hAnsiTheme="minorHAnsi" w:cs="Calibri"/>
          <w:lang w:val="en-GB"/>
        </w:rPr>
        <w:t xml:space="preserve">networks need to be perceived as ideologically neutral or, at least, pluralistic. Indeed, the networks </w:t>
      </w:r>
      <w:r>
        <w:rPr>
          <w:rFonts w:asciiTheme="minorHAnsi" w:hAnsiTheme="minorHAnsi" w:cs="Calibri"/>
          <w:lang w:val="en-GB"/>
        </w:rPr>
        <w:t xml:space="preserve">ensure that they maintain </w:t>
      </w:r>
      <w:r w:rsidRPr="0001137B">
        <w:rPr>
          <w:rFonts w:asciiTheme="minorHAnsi" w:hAnsiTheme="minorHAnsi" w:cs="Calibri"/>
          <w:lang w:val="en-GB"/>
        </w:rPr>
        <w:t>a diversified membership and tak</w:t>
      </w:r>
      <w:r>
        <w:rPr>
          <w:rFonts w:asciiTheme="minorHAnsi" w:hAnsiTheme="minorHAnsi" w:cs="Calibri"/>
          <w:lang w:val="en-GB"/>
        </w:rPr>
        <w:t xml:space="preserve">e up </w:t>
      </w:r>
      <w:proofErr w:type="gramStart"/>
      <w:r w:rsidRPr="0001137B">
        <w:rPr>
          <w:rFonts w:asciiTheme="minorHAnsi" w:hAnsiTheme="minorHAnsi" w:cs="Calibri"/>
          <w:lang w:val="en-GB"/>
        </w:rPr>
        <w:t>positions which</w:t>
      </w:r>
      <w:proofErr w:type="gramEnd"/>
      <w:r w:rsidRPr="0001137B">
        <w:rPr>
          <w:rFonts w:asciiTheme="minorHAnsi" w:hAnsiTheme="minorHAnsi" w:cs="Calibri"/>
          <w:lang w:val="en-GB"/>
        </w:rPr>
        <w:t xml:space="preserve"> reflect a fair compromise between these members. However, with most NGOs leaning towards </w:t>
      </w:r>
      <w:r>
        <w:rPr>
          <w:rFonts w:asciiTheme="minorHAnsi" w:hAnsiTheme="minorHAnsi" w:cs="Calibri"/>
          <w:lang w:val="en-GB"/>
        </w:rPr>
        <w:t xml:space="preserve">the </w:t>
      </w:r>
      <w:r w:rsidRPr="0001137B">
        <w:rPr>
          <w:rFonts w:asciiTheme="minorHAnsi" w:hAnsiTheme="minorHAnsi" w:cs="Calibri"/>
          <w:lang w:val="en-GB"/>
        </w:rPr>
        <w:t>left and centre, the right-wing parties do not acknowledge such pluralism and are often inclined to reject some of the NGOs</w:t>
      </w:r>
      <w:r>
        <w:rPr>
          <w:rFonts w:asciiTheme="minorHAnsi" w:hAnsiTheme="minorHAnsi" w:cs="Calibri"/>
          <w:lang w:val="en-GB"/>
        </w:rPr>
        <w:t>’</w:t>
      </w:r>
      <w:r w:rsidRPr="0001137B">
        <w:rPr>
          <w:rFonts w:asciiTheme="minorHAnsi" w:hAnsiTheme="minorHAnsi" w:cs="Calibri"/>
          <w:lang w:val="en-GB"/>
        </w:rPr>
        <w:t xml:space="preserve"> points of view</w:t>
      </w:r>
      <w:r w:rsidRPr="00F630DE">
        <w:rPr>
          <w:rFonts w:asciiTheme="minorHAnsi" w:hAnsiTheme="minorHAnsi" w:cs="Calibri"/>
          <w:lang w:val="en-GB"/>
        </w:rPr>
        <w:t xml:space="preserve"> </w:t>
      </w:r>
      <w:r w:rsidRPr="00F630DE">
        <w:rPr>
          <w:rFonts w:asciiTheme="minorHAnsi" w:hAnsiTheme="minorHAnsi" w:cs="Calibri"/>
          <w:i/>
          <w:iCs/>
          <w:lang w:val="en-GB"/>
        </w:rPr>
        <w:t>a priori</w:t>
      </w:r>
      <w:r w:rsidRPr="0001137B">
        <w:rPr>
          <w:rFonts w:asciiTheme="minorHAnsi" w:hAnsiTheme="minorHAnsi" w:cs="Calibri"/>
          <w:lang w:val="en-GB"/>
        </w:rPr>
        <w:t xml:space="preserve">. Representing the NGOs may therefore hold </w:t>
      </w:r>
      <w:r w:rsidRPr="0001137B">
        <w:rPr>
          <w:rStyle w:val="hps"/>
          <w:rFonts w:asciiTheme="minorHAnsi" w:hAnsiTheme="minorHAnsi" w:cs="Calibri"/>
          <w:lang w:val="en-GB"/>
        </w:rPr>
        <w:t>advantages</w:t>
      </w:r>
      <w:r w:rsidRPr="0001137B">
        <w:rPr>
          <w:rFonts w:asciiTheme="minorHAnsi" w:hAnsiTheme="minorHAnsi" w:cs="Calibri"/>
          <w:lang w:val="en-GB"/>
        </w:rPr>
        <w:t xml:space="preserve"> as well as</w:t>
      </w:r>
      <w:r w:rsidRPr="0001137B">
        <w:rPr>
          <w:rStyle w:val="hps"/>
          <w:rFonts w:asciiTheme="minorHAnsi" w:hAnsiTheme="minorHAnsi" w:cs="Calibri"/>
          <w:lang w:val="en-GB"/>
        </w:rPr>
        <w:t xml:space="preserve"> disadvantages for these lobbying networks. On the positive side</w:t>
      </w:r>
      <w:r w:rsidRPr="0001137B">
        <w:rPr>
          <w:rFonts w:asciiTheme="minorHAnsi" w:hAnsiTheme="minorHAnsi" w:cs="Calibri"/>
          <w:lang w:val="en-GB"/>
        </w:rPr>
        <w:t xml:space="preserve">, they are received </w:t>
      </w:r>
      <w:r w:rsidRPr="0001137B">
        <w:rPr>
          <w:rStyle w:val="hps"/>
          <w:rFonts w:asciiTheme="minorHAnsi" w:hAnsiTheme="minorHAnsi" w:cs="Calibri"/>
          <w:lang w:val="en-GB"/>
        </w:rPr>
        <w:t>in parliament</w:t>
      </w:r>
      <w:r w:rsidRPr="0001137B">
        <w:rPr>
          <w:rFonts w:asciiTheme="minorHAnsi" w:hAnsiTheme="minorHAnsi" w:cs="Calibri"/>
          <w:lang w:val="en-GB"/>
        </w:rPr>
        <w:t xml:space="preserve"> </w:t>
      </w:r>
      <w:r w:rsidRPr="0001137B">
        <w:rPr>
          <w:rStyle w:val="hps"/>
          <w:rFonts w:asciiTheme="minorHAnsi" w:hAnsiTheme="minorHAnsi" w:cs="Calibri"/>
          <w:lang w:val="en-GB"/>
        </w:rPr>
        <w:t>and are in</w:t>
      </w:r>
      <w:r w:rsidRPr="0001137B">
        <w:rPr>
          <w:rFonts w:asciiTheme="minorHAnsi" w:hAnsiTheme="minorHAnsi" w:cs="Calibri"/>
          <w:lang w:val="en-GB"/>
        </w:rPr>
        <w:t xml:space="preserve"> </w:t>
      </w:r>
      <w:r w:rsidRPr="0001137B">
        <w:rPr>
          <w:rStyle w:val="hps"/>
          <w:rFonts w:asciiTheme="minorHAnsi" w:hAnsiTheme="minorHAnsi" w:cs="Calibri"/>
          <w:lang w:val="en-GB"/>
        </w:rPr>
        <w:t>contact with</w:t>
      </w:r>
      <w:r w:rsidRPr="0001137B">
        <w:rPr>
          <w:rFonts w:asciiTheme="minorHAnsi" w:hAnsiTheme="minorHAnsi" w:cs="Calibri"/>
          <w:lang w:val="en-GB"/>
        </w:rPr>
        <w:t xml:space="preserve"> </w:t>
      </w:r>
      <w:r w:rsidRPr="0001137B">
        <w:rPr>
          <w:rStyle w:val="hps"/>
          <w:rFonts w:asciiTheme="minorHAnsi" w:hAnsiTheme="minorHAnsi" w:cs="Calibri"/>
          <w:lang w:val="en-GB"/>
        </w:rPr>
        <w:t>different politicians</w:t>
      </w:r>
      <w:r w:rsidRPr="0001137B">
        <w:rPr>
          <w:rFonts w:asciiTheme="minorHAnsi" w:hAnsiTheme="minorHAnsi" w:cs="Calibri"/>
          <w:lang w:val="en-GB"/>
        </w:rPr>
        <w:t xml:space="preserve"> and with the </w:t>
      </w:r>
      <w:r w:rsidRPr="0001137B">
        <w:rPr>
          <w:rStyle w:val="hps"/>
          <w:rFonts w:asciiTheme="minorHAnsi" w:hAnsiTheme="minorHAnsi" w:cs="Calibri"/>
          <w:lang w:val="en-GB"/>
        </w:rPr>
        <w:t>government.</w:t>
      </w:r>
      <w:r w:rsidRPr="0001137B">
        <w:rPr>
          <w:rFonts w:asciiTheme="minorHAnsi" w:hAnsiTheme="minorHAnsi" w:cs="Calibri"/>
          <w:lang w:val="en-GB"/>
        </w:rPr>
        <w:t xml:space="preserve"> </w:t>
      </w:r>
      <w:r w:rsidRPr="0001137B">
        <w:rPr>
          <w:rStyle w:val="hps"/>
          <w:rFonts w:asciiTheme="minorHAnsi" w:hAnsiTheme="minorHAnsi" w:cs="Calibri"/>
          <w:lang w:val="en-GB"/>
        </w:rPr>
        <w:t>They are considered</w:t>
      </w:r>
      <w:r w:rsidRPr="0001137B">
        <w:rPr>
          <w:rFonts w:asciiTheme="minorHAnsi" w:hAnsiTheme="minorHAnsi" w:cs="Calibri"/>
          <w:lang w:val="en-GB"/>
        </w:rPr>
        <w:t xml:space="preserve"> </w:t>
      </w:r>
      <w:r w:rsidRPr="0001137B">
        <w:rPr>
          <w:rStyle w:val="hps"/>
          <w:rFonts w:asciiTheme="minorHAnsi" w:hAnsiTheme="minorHAnsi" w:cs="Calibri"/>
          <w:lang w:val="en-GB"/>
        </w:rPr>
        <w:t>legitimate</w:t>
      </w:r>
      <w:r w:rsidRPr="0001137B">
        <w:rPr>
          <w:rFonts w:asciiTheme="minorHAnsi" w:hAnsiTheme="minorHAnsi" w:cs="Calibri"/>
          <w:lang w:val="en-GB"/>
        </w:rPr>
        <w:t xml:space="preserve">, especially </w:t>
      </w:r>
      <w:r w:rsidRPr="0001137B">
        <w:rPr>
          <w:rStyle w:val="hps"/>
          <w:rFonts w:asciiTheme="minorHAnsi" w:hAnsiTheme="minorHAnsi" w:cs="Calibri"/>
          <w:lang w:val="en-GB"/>
        </w:rPr>
        <w:t>because they</w:t>
      </w:r>
      <w:r w:rsidRPr="0001137B">
        <w:rPr>
          <w:rFonts w:asciiTheme="minorHAnsi" w:hAnsiTheme="minorHAnsi" w:cs="Calibri"/>
          <w:lang w:val="en-GB"/>
        </w:rPr>
        <w:t xml:space="preserve"> claim to </w:t>
      </w:r>
      <w:r w:rsidRPr="0001137B">
        <w:rPr>
          <w:rStyle w:val="hps"/>
          <w:rFonts w:asciiTheme="minorHAnsi" w:hAnsiTheme="minorHAnsi" w:cs="Calibri"/>
          <w:lang w:val="en-GB"/>
        </w:rPr>
        <w:t>have</w:t>
      </w:r>
      <w:r w:rsidRPr="0001137B">
        <w:rPr>
          <w:rFonts w:asciiTheme="minorHAnsi" w:hAnsiTheme="minorHAnsi" w:cs="Calibri"/>
          <w:lang w:val="en-GB"/>
        </w:rPr>
        <w:t xml:space="preserve"> </w:t>
      </w:r>
      <w:r w:rsidRPr="0001137B">
        <w:rPr>
          <w:rStyle w:val="hps"/>
          <w:rFonts w:asciiTheme="minorHAnsi" w:hAnsiTheme="minorHAnsi" w:cs="Calibri"/>
          <w:lang w:val="en-GB"/>
        </w:rPr>
        <w:t>no</w:t>
      </w:r>
      <w:r w:rsidRPr="0001137B">
        <w:rPr>
          <w:rFonts w:asciiTheme="minorHAnsi" w:hAnsiTheme="minorHAnsi" w:cs="Calibri"/>
          <w:lang w:val="en-GB"/>
        </w:rPr>
        <w:t xml:space="preserve"> </w:t>
      </w:r>
      <w:r w:rsidRPr="0001137B">
        <w:rPr>
          <w:rStyle w:val="hps"/>
          <w:rFonts w:asciiTheme="minorHAnsi" w:hAnsiTheme="minorHAnsi" w:cs="Calibri"/>
          <w:lang w:val="en-GB"/>
        </w:rPr>
        <w:t>political colo</w:t>
      </w:r>
      <w:r>
        <w:rPr>
          <w:rStyle w:val="hps"/>
          <w:rFonts w:asciiTheme="minorHAnsi" w:hAnsiTheme="minorHAnsi" w:cs="Calibri"/>
          <w:lang w:val="en-GB"/>
        </w:rPr>
        <w:t>u</w:t>
      </w:r>
      <w:r w:rsidRPr="0001137B">
        <w:rPr>
          <w:rStyle w:val="hps"/>
          <w:rFonts w:asciiTheme="minorHAnsi" w:hAnsiTheme="minorHAnsi" w:cs="Calibri"/>
          <w:lang w:val="en-GB"/>
        </w:rPr>
        <w:t>rs</w:t>
      </w:r>
      <w:r w:rsidRPr="0001137B">
        <w:rPr>
          <w:rFonts w:asciiTheme="minorHAnsi" w:hAnsiTheme="minorHAnsi" w:cs="Calibri"/>
          <w:lang w:val="en-GB"/>
        </w:rPr>
        <w:t xml:space="preserve">. On the negative side, NGO networks cannot form </w:t>
      </w:r>
      <w:r w:rsidRPr="0001137B">
        <w:rPr>
          <w:rStyle w:val="hps"/>
          <w:rFonts w:asciiTheme="minorHAnsi" w:hAnsiTheme="minorHAnsi" w:cs="Calibri"/>
          <w:lang w:val="en-GB"/>
        </w:rPr>
        <w:t>alliances</w:t>
      </w:r>
      <w:r w:rsidRPr="0001137B">
        <w:rPr>
          <w:rStyle w:val="shorttext"/>
          <w:rFonts w:asciiTheme="minorHAnsi" w:eastAsia="Arial Unicode MS" w:hAnsiTheme="minorHAnsi" w:cs="Calibri"/>
          <w:lang w:val="en-GB"/>
        </w:rPr>
        <w:t xml:space="preserve"> </w:t>
      </w:r>
      <w:r w:rsidRPr="0001137B">
        <w:rPr>
          <w:rStyle w:val="hps"/>
          <w:rFonts w:asciiTheme="minorHAnsi" w:hAnsiTheme="minorHAnsi" w:cs="Calibri"/>
          <w:lang w:val="en-GB"/>
        </w:rPr>
        <w:t xml:space="preserve">with specific political </w:t>
      </w:r>
      <w:proofErr w:type="gramStart"/>
      <w:r w:rsidRPr="0001137B">
        <w:rPr>
          <w:rStyle w:val="hps"/>
          <w:rFonts w:asciiTheme="minorHAnsi" w:hAnsiTheme="minorHAnsi" w:cs="Calibri"/>
          <w:lang w:val="en-GB"/>
        </w:rPr>
        <w:t>parties</w:t>
      </w:r>
      <w:proofErr w:type="gramEnd"/>
      <w:r w:rsidRPr="0001137B">
        <w:rPr>
          <w:rStyle w:val="hps"/>
          <w:rFonts w:asciiTheme="minorHAnsi" w:hAnsiTheme="minorHAnsi" w:cs="Calibri"/>
          <w:lang w:val="en-GB"/>
        </w:rPr>
        <w:t xml:space="preserve"> as it would affect their claim of neutrality.</w:t>
      </w:r>
    </w:p>
    <w:p w:rsidR="00B26798" w:rsidRPr="0001137B" w:rsidRDefault="00B26798" w:rsidP="00B26798">
      <w:pPr>
        <w:pStyle w:val="NormalWeb"/>
        <w:spacing w:before="0" w:beforeAutospacing="0" w:after="120" w:afterAutospacing="0" w:line="320" w:lineRule="exact"/>
        <w:jc w:val="both"/>
        <w:rPr>
          <w:rFonts w:asciiTheme="minorHAnsi" w:hAnsiTheme="minorHAnsi" w:cs="Calibri"/>
          <w:lang w:val="en-GB"/>
        </w:rPr>
      </w:pPr>
      <w:r w:rsidRPr="0001137B">
        <w:rPr>
          <w:rFonts w:asciiTheme="minorHAnsi" w:hAnsiTheme="minorHAnsi" w:cs="Calibri"/>
          <w:lang w:val="en-GB"/>
        </w:rPr>
        <w:t>In terms of the parties</w:t>
      </w:r>
      <w:r>
        <w:rPr>
          <w:rFonts w:asciiTheme="minorHAnsi" w:hAnsiTheme="minorHAnsi" w:cs="Calibri"/>
          <w:lang w:val="en-GB"/>
        </w:rPr>
        <w:t>’</w:t>
      </w:r>
      <w:r w:rsidRPr="0001137B">
        <w:rPr>
          <w:rFonts w:asciiTheme="minorHAnsi" w:hAnsiTheme="minorHAnsi" w:cs="Calibri"/>
          <w:lang w:val="en-GB"/>
        </w:rPr>
        <w:t xml:space="preserve"> collective decision-making, the strategies of political parties and NGO</w:t>
      </w:r>
      <w:r>
        <w:rPr>
          <w:rFonts w:asciiTheme="minorHAnsi" w:hAnsiTheme="minorHAnsi" w:cs="Calibri"/>
          <w:lang w:val="en-GB"/>
        </w:rPr>
        <w:t xml:space="preserve"> </w:t>
      </w:r>
      <w:r w:rsidRPr="0001137B">
        <w:rPr>
          <w:rFonts w:asciiTheme="minorHAnsi" w:hAnsiTheme="minorHAnsi" w:cs="Calibri"/>
          <w:lang w:val="en-GB"/>
        </w:rPr>
        <w:t xml:space="preserve">networks diverge. Political parties often wish to distinguish themselves from the others and prefer a solitary strategy, for example in proposing new laws or launching new ideas. NGO networks, on the contrary, wish to foster alliances on projects that would gather the support from </w:t>
      </w:r>
      <w:r>
        <w:rPr>
          <w:rFonts w:asciiTheme="minorHAnsi" w:hAnsiTheme="minorHAnsi" w:cs="Calibri"/>
          <w:lang w:val="en-GB"/>
        </w:rPr>
        <w:t xml:space="preserve">multiple </w:t>
      </w:r>
      <w:r w:rsidRPr="0001137B">
        <w:rPr>
          <w:rFonts w:asciiTheme="minorHAnsi" w:hAnsiTheme="minorHAnsi" w:cs="Calibri"/>
          <w:lang w:val="en-GB"/>
        </w:rPr>
        <w:t xml:space="preserve">parties, ensuring the greatest likelihood of being accepted. Networks prefer less ambitious but more pragmatic proposals shared by </w:t>
      </w:r>
      <w:r w:rsidRPr="00F630DE">
        <w:rPr>
          <w:rFonts w:asciiTheme="minorHAnsi" w:hAnsiTheme="minorHAnsi" w:cs="Calibri"/>
          <w:lang w:val="en-GB"/>
        </w:rPr>
        <w:t xml:space="preserve">multiple </w:t>
      </w:r>
      <w:r w:rsidRPr="0001137B">
        <w:rPr>
          <w:rFonts w:asciiTheme="minorHAnsi" w:hAnsiTheme="minorHAnsi" w:cs="Calibri"/>
          <w:lang w:val="en-GB"/>
        </w:rPr>
        <w:t xml:space="preserve">parties </w:t>
      </w:r>
      <w:proofErr w:type="gramStart"/>
      <w:r>
        <w:rPr>
          <w:rFonts w:asciiTheme="minorHAnsi" w:hAnsiTheme="minorHAnsi" w:cs="Calibri"/>
          <w:lang w:val="en-GB"/>
        </w:rPr>
        <w:t>over</w:t>
      </w:r>
      <w:proofErr w:type="gramEnd"/>
      <w:r>
        <w:rPr>
          <w:rFonts w:asciiTheme="minorHAnsi" w:hAnsiTheme="minorHAnsi" w:cs="Calibri"/>
          <w:lang w:val="en-GB"/>
        </w:rPr>
        <w:t xml:space="preserve"> </w:t>
      </w:r>
      <w:r w:rsidRPr="0001137B">
        <w:rPr>
          <w:rFonts w:asciiTheme="minorHAnsi" w:hAnsiTheme="minorHAnsi" w:cs="Calibri"/>
          <w:lang w:val="en-GB"/>
        </w:rPr>
        <w:t xml:space="preserve">more ambitious proposals that would give much publicity to one party but with little probability of </w:t>
      </w:r>
      <w:r w:rsidRPr="0001137B">
        <w:rPr>
          <w:rFonts w:asciiTheme="minorHAnsi" w:hAnsiTheme="minorHAnsi" w:cs="Calibri"/>
          <w:lang w:val="en-GB"/>
        </w:rPr>
        <w:lastRenderedPageBreak/>
        <w:t>adoption. This strategy involves serious efforts in trying to bring parties together and looking for consensus before a proposal is launched.</w:t>
      </w:r>
    </w:p>
    <w:p w:rsidR="00B26798" w:rsidRPr="0001137B" w:rsidRDefault="00B26798" w:rsidP="00B26798">
      <w:pPr>
        <w:pStyle w:val="NormalWeb"/>
        <w:spacing w:before="0" w:beforeAutospacing="0" w:after="120" w:afterAutospacing="0" w:line="320" w:lineRule="exact"/>
        <w:jc w:val="both"/>
        <w:rPr>
          <w:rFonts w:asciiTheme="minorHAnsi" w:hAnsiTheme="minorHAnsi" w:cs="Calibri"/>
          <w:lang w:val="en-GB"/>
        </w:rPr>
      </w:pPr>
      <w:r w:rsidRPr="0001137B">
        <w:rPr>
          <w:rFonts w:asciiTheme="minorHAnsi" w:hAnsiTheme="minorHAnsi" w:cs="Calibri"/>
          <w:lang w:val="en-GB"/>
        </w:rPr>
        <w:t>An important parameter for the way political parties can be approached is whether or not they are in the government. When in the government, parties tend to focus on gaining NGO support for political decisions. When in the opposition, parties rather try to identify potential dissatisfaction among NGOs with the government</w:t>
      </w:r>
      <w:r>
        <w:rPr>
          <w:rFonts w:asciiTheme="minorHAnsi" w:hAnsiTheme="minorHAnsi" w:cs="Calibri"/>
          <w:lang w:val="en-GB"/>
        </w:rPr>
        <w:t>’</w:t>
      </w:r>
      <w:r w:rsidRPr="0001137B">
        <w:rPr>
          <w:rFonts w:asciiTheme="minorHAnsi" w:hAnsiTheme="minorHAnsi" w:cs="Calibri"/>
          <w:lang w:val="en-GB"/>
        </w:rPr>
        <w:t>s policy in order to organ</w:t>
      </w:r>
      <w:r>
        <w:rPr>
          <w:rFonts w:asciiTheme="minorHAnsi" w:hAnsiTheme="minorHAnsi" w:cs="Calibri"/>
          <w:lang w:val="en-GB"/>
        </w:rPr>
        <w:t>ise</w:t>
      </w:r>
      <w:r w:rsidRPr="0001137B">
        <w:rPr>
          <w:rFonts w:asciiTheme="minorHAnsi" w:hAnsiTheme="minorHAnsi" w:cs="Calibri"/>
          <w:lang w:val="en-GB"/>
        </w:rPr>
        <w:t xml:space="preserve"> blocking strategies. To interact with society, most parties see NGOs as intermediary structures to connect with citizens</w:t>
      </w:r>
      <w:r>
        <w:rPr>
          <w:rFonts w:asciiTheme="minorHAnsi" w:hAnsiTheme="minorHAnsi" w:cs="Calibri"/>
          <w:lang w:val="en-GB"/>
        </w:rPr>
        <w:t>’</w:t>
      </w:r>
      <w:r w:rsidRPr="0001137B">
        <w:rPr>
          <w:rFonts w:asciiTheme="minorHAnsi" w:hAnsiTheme="minorHAnsi" w:cs="Calibri"/>
          <w:lang w:val="en-GB"/>
        </w:rPr>
        <w:t xml:space="preserve"> expectations. NGOs are supposed to feel the societal pulse, bring up the issues and feed the debate.</w:t>
      </w:r>
    </w:p>
    <w:p w:rsidR="00B26798" w:rsidRPr="0001137B" w:rsidRDefault="00B26798" w:rsidP="00B26798">
      <w:pPr>
        <w:pStyle w:val="NormalWeb"/>
        <w:spacing w:before="0" w:beforeAutospacing="0" w:after="120" w:afterAutospacing="0" w:line="320" w:lineRule="exact"/>
        <w:jc w:val="both"/>
        <w:rPr>
          <w:rFonts w:asciiTheme="minorHAnsi" w:hAnsiTheme="minorHAnsi" w:cs="Calibri"/>
          <w:lang w:val="en-GB"/>
        </w:rPr>
      </w:pPr>
      <w:r w:rsidRPr="0001137B">
        <w:rPr>
          <w:rFonts w:asciiTheme="minorHAnsi" w:hAnsiTheme="minorHAnsi" w:cs="Calibri"/>
          <w:lang w:val="en-GB"/>
        </w:rPr>
        <w:t xml:space="preserve">However, some politicians think that NGOs are better in expressing critique than coming up with practical proposals. Therefore, they also try to lean on trade unions and the so-called 4th pillar, i.e. the citizen initiatives and side-projects of large institutions (De Bruyn &amp; Huyse, 2009; De Bruyn &amp; Godin, 2010). Some politicians feel there should be a more direct link between the political world and the public through the media, thus bypassing the NGOs. It may be questioned, however, </w:t>
      </w:r>
      <w:r>
        <w:rPr>
          <w:rFonts w:asciiTheme="minorHAnsi" w:hAnsiTheme="minorHAnsi" w:cs="Calibri"/>
          <w:lang w:val="en-GB"/>
        </w:rPr>
        <w:t xml:space="preserve">the </w:t>
      </w:r>
      <w:r w:rsidRPr="0001137B">
        <w:rPr>
          <w:rFonts w:asciiTheme="minorHAnsi" w:hAnsiTheme="minorHAnsi" w:cs="Calibri"/>
          <w:lang w:val="en-GB"/>
        </w:rPr>
        <w:t xml:space="preserve">extent </w:t>
      </w:r>
      <w:r w:rsidRPr="00F630DE">
        <w:rPr>
          <w:rFonts w:asciiTheme="minorHAnsi" w:hAnsiTheme="minorHAnsi" w:cs="Calibri"/>
          <w:lang w:val="en-GB"/>
        </w:rPr>
        <w:t xml:space="preserve">to which </w:t>
      </w:r>
      <w:r w:rsidRPr="0001137B">
        <w:rPr>
          <w:rFonts w:asciiTheme="minorHAnsi" w:hAnsiTheme="minorHAnsi" w:cs="Calibri"/>
          <w:lang w:val="en-GB"/>
        </w:rPr>
        <w:t xml:space="preserve">the media and the opinion makers making use of it </w:t>
      </w:r>
      <w:r>
        <w:rPr>
          <w:rFonts w:asciiTheme="minorHAnsi" w:hAnsiTheme="minorHAnsi" w:cs="Calibri"/>
          <w:lang w:val="en-GB"/>
        </w:rPr>
        <w:t xml:space="preserve">actually </w:t>
      </w:r>
      <w:r w:rsidRPr="0001137B">
        <w:rPr>
          <w:rFonts w:asciiTheme="minorHAnsi" w:hAnsiTheme="minorHAnsi" w:cs="Calibri"/>
          <w:lang w:val="en-GB"/>
        </w:rPr>
        <w:t>represent the public.</w:t>
      </w:r>
    </w:p>
    <w:p w:rsidR="00B26798" w:rsidRPr="0001137B" w:rsidRDefault="00B26798" w:rsidP="00B26798">
      <w:pPr>
        <w:pStyle w:val="Titre3"/>
        <w:spacing w:before="360" w:after="240" w:line="320" w:lineRule="exact"/>
        <w:ind w:left="680" w:hanging="680"/>
        <w:rPr>
          <w:b/>
          <w:lang w:val="en-GB"/>
        </w:rPr>
      </w:pPr>
      <w:bookmarkStart w:id="4" w:name="_Toc358966826"/>
      <w:r w:rsidRPr="0001137B">
        <w:rPr>
          <w:b/>
          <w:lang w:val="en-GB"/>
        </w:rPr>
        <w:t>Viewpoints on development cooperation</w:t>
      </w:r>
      <w:bookmarkEnd w:id="4"/>
    </w:p>
    <w:p w:rsidR="00B26798" w:rsidRPr="0001137B" w:rsidRDefault="00B26798" w:rsidP="00B26798">
      <w:pPr>
        <w:pStyle w:val="Normal-Indent09cm"/>
        <w:spacing w:after="120" w:line="320" w:lineRule="exact"/>
        <w:ind w:left="0"/>
        <w:rPr>
          <w:rFonts w:asciiTheme="minorHAnsi" w:hAnsiTheme="minorHAnsi"/>
          <w:sz w:val="24"/>
          <w:szCs w:val="24"/>
        </w:rPr>
      </w:pPr>
      <w:r w:rsidRPr="0001137B">
        <w:rPr>
          <w:rFonts w:asciiTheme="minorHAnsi" w:hAnsiTheme="minorHAnsi"/>
          <w:sz w:val="24"/>
          <w:szCs w:val="24"/>
        </w:rPr>
        <w:t>Most parties acknowledge the importance of the different</w:t>
      </w:r>
      <w:r w:rsidRPr="0001137B">
        <w:rPr>
          <w:rFonts w:asciiTheme="minorHAnsi" w:hAnsiTheme="minorHAnsi"/>
          <w:bCs/>
          <w:sz w:val="24"/>
          <w:szCs w:val="24"/>
        </w:rPr>
        <w:t xml:space="preserve"> levels of decision-making for development cooperation</w:t>
      </w:r>
      <w:r w:rsidRPr="0001137B">
        <w:rPr>
          <w:rFonts w:asciiTheme="minorHAnsi" w:hAnsiTheme="minorHAnsi"/>
          <w:sz w:val="24"/>
          <w:szCs w:val="24"/>
        </w:rPr>
        <w:t xml:space="preserve">: municipal, regional, federal and European. They advocate respect for the competences of each level. For example, if education is a regional competence, activities </w:t>
      </w:r>
      <w:r>
        <w:rPr>
          <w:rFonts w:asciiTheme="minorHAnsi" w:hAnsiTheme="minorHAnsi"/>
          <w:sz w:val="24"/>
          <w:szCs w:val="24"/>
        </w:rPr>
        <w:t xml:space="preserve">coming </w:t>
      </w:r>
      <w:r w:rsidRPr="0001137B">
        <w:rPr>
          <w:rFonts w:asciiTheme="minorHAnsi" w:hAnsiTheme="minorHAnsi"/>
          <w:sz w:val="24"/>
          <w:szCs w:val="24"/>
        </w:rPr>
        <w:t xml:space="preserve">under </w:t>
      </w:r>
      <w:r>
        <w:rPr>
          <w:rFonts w:asciiTheme="minorHAnsi" w:hAnsiTheme="minorHAnsi"/>
          <w:sz w:val="24"/>
          <w:szCs w:val="24"/>
        </w:rPr>
        <w:t>‘</w:t>
      </w:r>
      <w:r w:rsidRPr="0001137B">
        <w:rPr>
          <w:rFonts w:asciiTheme="minorHAnsi" w:hAnsiTheme="minorHAnsi"/>
          <w:sz w:val="24"/>
          <w:szCs w:val="24"/>
        </w:rPr>
        <w:t>development education</w:t>
      </w:r>
      <w:r>
        <w:rPr>
          <w:rFonts w:asciiTheme="minorHAnsi" w:hAnsiTheme="minorHAnsi"/>
          <w:sz w:val="24"/>
          <w:szCs w:val="24"/>
        </w:rPr>
        <w:t>’</w:t>
      </w:r>
      <w:r w:rsidRPr="0001137B">
        <w:rPr>
          <w:rFonts w:asciiTheme="minorHAnsi" w:hAnsiTheme="minorHAnsi"/>
          <w:sz w:val="24"/>
          <w:szCs w:val="24"/>
        </w:rPr>
        <w:t xml:space="preserve"> should be a regional competence. While historically the federal level was the main driver for development cooperation, the last decades </w:t>
      </w:r>
      <w:r>
        <w:rPr>
          <w:rFonts w:asciiTheme="minorHAnsi" w:hAnsiTheme="minorHAnsi"/>
          <w:sz w:val="24"/>
          <w:szCs w:val="24"/>
        </w:rPr>
        <w:t xml:space="preserve">have </w:t>
      </w:r>
      <w:r w:rsidRPr="0001137B">
        <w:rPr>
          <w:rFonts w:asciiTheme="minorHAnsi" w:hAnsiTheme="minorHAnsi"/>
          <w:sz w:val="24"/>
          <w:szCs w:val="24"/>
        </w:rPr>
        <w:t xml:space="preserve">witnessed a double movement. On the one hand, the European integration </w:t>
      </w:r>
      <w:r>
        <w:rPr>
          <w:rFonts w:asciiTheme="minorHAnsi" w:hAnsiTheme="minorHAnsi"/>
          <w:sz w:val="24"/>
          <w:szCs w:val="24"/>
        </w:rPr>
        <w:t xml:space="preserve">has </w:t>
      </w:r>
      <w:r w:rsidRPr="0001137B">
        <w:rPr>
          <w:rFonts w:asciiTheme="minorHAnsi" w:hAnsiTheme="minorHAnsi"/>
          <w:sz w:val="24"/>
          <w:szCs w:val="24"/>
        </w:rPr>
        <w:t xml:space="preserve">led to a stronger alignment of the Belgian development cooperation policy to the European guidelines. On the other hand, local governments </w:t>
      </w:r>
      <w:r>
        <w:rPr>
          <w:rFonts w:asciiTheme="minorHAnsi" w:hAnsiTheme="minorHAnsi"/>
          <w:sz w:val="24"/>
          <w:szCs w:val="24"/>
        </w:rPr>
        <w:t xml:space="preserve">have </w:t>
      </w:r>
      <w:r w:rsidRPr="0001137B">
        <w:rPr>
          <w:rFonts w:asciiTheme="minorHAnsi" w:hAnsiTheme="minorHAnsi"/>
          <w:sz w:val="24"/>
          <w:szCs w:val="24"/>
        </w:rPr>
        <w:t>increased their interest in development cooperation. The initiatives launched by municipalities, for instance, can be considered as a part of the already</w:t>
      </w:r>
      <w:r>
        <w:rPr>
          <w:rFonts w:asciiTheme="minorHAnsi" w:hAnsiTheme="minorHAnsi"/>
          <w:sz w:val="24"/>
          <w:szCs w:val="24"/>
        </w:rPr>
        <w:t>-</w:t>
      </w:r>
      <w:r w:rsidRPr="0001137B">
        <w:rPr>
          <w:rFonts w:asciiTheme="minorHAnsi" w:hAnsiTheme="minorHAnsi"/>
          <w:sz w:val="24"/>
          <w:szCs w:val="24"/>
        </w:rPr>
        <w:t xml:space="preserve">mentioned 4th pillar. This would not mean, however, that the federal level is no longer </w:t>
      </w:r>
      <w:r>
        <w:rPr>
          <w:rFonts w:asciiTheme="minorHAnsi" w:hAnsiTheme="minorHAnsi"/>
          <w:sz w:val="24"/>
          <w:szCs w:val="24"/>
        </w:rPr>
        <w:t>needed</w:t>
      </w:r>
      <w:r w:rsidRPr="0001137B">
        <w:rPr>
          <w:rFonts w:asciiTheme="minorHAnsi" w:hAnsiTheme="minorHAnsi"/>
          <w:sz w:val="24"/>
          <w:szCs w:val="24"/>
        </w:rPr>
        <w:t xml:space="preserve">. All parties </w:t>
      </w:r>
      <w:r>
        <w:rPr>
          <w:rFonts w:asciiTheme="minorHAnsi" w:hAnsiTheme="minorHAnsi"/>
          <w:sz w:val="24"/>
          <w:szCs w:val="24"/>
        </w:rPr>
        <w:t xml:space="preserve">have </w:t>
      </w:r>
      <w:r w:rsidRPr="0001137B">
        <w:rPr>
          <w:rFonts w:asciiTheme="minorHAnsi" w:hAnsiTheme="minorHAnsi"/>
          <w:sz w:val="24"/>
          <w:szCs w:val="24"/>
        </w:rPr>
        <w:t>recogn</w:t>
      </w:r>
      <w:r>
        <w:rPr>
          <w:rFonts w:asciiTheme="minorHAnsi" w:hAnsiTheme="minorHAnsi"/>
          <w:sz w:val="24"/>
          <w:szCs w:val="24"/>
        </w:rPr>
        <w:t>ise</w:t>
      </w:r>
      <w:r w:rsidRPr="0001137B">
        <w:rPr>
          <w:rFonts w:asciiTheme="minorHAnsi" w:hAnsiTheme="minorHAnsi"/>
          <w:sz w:val="24"/>
          <w:szCs w:val="24"/>
        </w:rPr>
        <w:t xml:space="preserve">d a significant role for the federal government, either </w:t>
      </w:r>
      <w:r>
        <w:rPr>
          <w:rFonts w:asciiTheme="minorHAnsi" w:hAnsiTheme="minorHAnsi"/>
          <w:sz w:val="24"/>
          <w:szCs w:val="24"/>
        </w:rPr>
        <w:t xml:space="preserve">through </w:t>
      </w:r>
      <w:r w:rsidRPr="0001137B">
        <w:rPr>
          <w:rFonts w:asciiTheme="minorHAnsi" w:hAnsiTheme="minorHAnsi"/>
          <w:sz w:val="24"/>
          <w:szCs w:val="24"/>
        </w:rPr>
        <w:t xml:space="preserve">principle or from a pragmatic viewpoint. </w:t>
      </w:r>
      <w:r>
        <w:rPr>
          <w:rFonts w:asciiTheme="minorHAnsi" w:hAnsiTheme="minorHAnsi"/>
          <w:sz w:val="24"/>
          <w:szCs w:val="24"/>
        </w:rPr>
        <w:t xml:space="preserve">Since </w:t>
      </w:r>
      <w:r w:rsidRPr="0001137B">
        <w:rPr>
          <w:rFonts w:asciiTheme="minorHAnsi" w:hAnsiTheme="minorHAnsi"/>
          <w:sz w:val="24"/>
          <w:szCs w:val="24"/>
        </w:rPr>
        <w:t xml:space="preserve">for example funding mechanisms for NGOs are </w:t>
      </w:r>
      <w:r>
        <w:rPr>
          <w:rFonts w:asciiTheme="minorHAnsi" w:hAnsiTheme="minorHAnsi"/>
          <w:sz w:val="24"/>
          <w:szCs w:val="24"/>
        </w:rPr>
        <w:t xml:space="preserve">located </w:t>
      </w:r>
      <w:r w:rsidRPr="0001137B">
        <w:rPr>
          <w:rFonts w:asciiTheme="minorHAnsi" w:hAnsiTheme="minorHAnsi"/>
          <w:sz w:val="24"/>
          <w:szCs w:val="24"/>
        </w:rPr>
        <w:t xml:space="preserve">at </w:t>
      </w:r>
      <w:r>
        <w:rPr>
          <w:rFonts w:asciiTheme="minorHAnsi" w:hAnsiTheme="minorHAnsi"/>
          <w:sz w:val="24"/>
          <w:szCs w:val="24"/>
        </w:rPr>
        <w:t xml:space="preserve">the </w:t>
      </w:r>
      <w:r w:rsidRPr="0001137B">
        <w:rPr>
          <w:rFonts w:asciiTheme="minorHAnsi" w:hAnsiTheme="minorHAnsi"/>
          <w:sz w:val="24"/>
          <w:szCs w:val="24"/>
        </w:rPr>
        <w:t>national level, even the regionalist parties do not see a reason to change this - at least not in the short term.</w:t>
      </w:r>
    </w:p>
    <w:p w:rsidR="00B26798" w:rsidRPr="0001137B" w:rsidRDefault="00B26798" w:rsidP="00B26798">
      <w:pPr>
        <w:pStyle w:val="Normal-Indent09cm"/>
        <w:spacing w:after="120" w:line="320" w:lineRule="exact"/>
        <w:ind w:left="0"/>
        <w:rPr>
          <w:rFonts w:asciiTheme="minorHAnsi" w:hAnsiTheme="minorHAnsi"/>
          <w:sz w:val="24"/>
          <w:szCs w:val="24"/>
        </w:rPr>
      </w:pPr>
      <w:r w:rsidRPr="0001137B">
        <w:rPr>
          <w:rFonts w:asciiTheme="minorHAnsi" w:hAnsiTheme="minorHAnsi"/>
          <w:sz w:val="24"/>
          <w:szCs w:val="24"/>
        </w:rPr>
        <w:t>All parties also recogn</w:t>
      </w:r>
      <w:r>
        <w:rPr>
          <w:rFonts w:asciiTheme="minorHAnsi" w:hAnsiTheme="minorHAnsi"/>
          <w:sz w:val="24"/>
          <w:szCs w:val="24"/>
        </w:rPr>
        <w:t>ise</w:t>
      </w:r>
      <w:r w:rsidRPr="0001137B">
        <w:rPr>
          <w:rFonts w:asciiTheme="minorHAnsi" w:hAnsiTheme="minorHAnsi"/>
          <w:sz w:val="24"/>
          <w:szCs w:val="24"/>
        </w:rPr>
        <w:t xml:space="preserve"> the usefulness of a diversification of operational levels of development aid: bilateral, multilateral, or indirect. Some see clear advantages in multilateral aid, for the scale of impact it may have, or the possibility </w:t>
      </w:r>
      <w:r>
        <w:rPr>
          <w:rFonts w:asciiTheme="minorHAnsi" w:hAnsiTheme="minorHAnsi"/>
          <w:sz w:val="24"/>
          <w:szCs w:val="24"/>
        </w:rPr>
        <w:t xml:space="preserve">of </w:t>
      </w:r>
      <w:r w:rsidRPr="0001137B">
        <w:rPr>
          <w:rFonts w:asciiTheme="minorHAnsi" w:hAnsiTheme="minorHAnsi"/>
          <w:sz w:val="24"/>
          <w:szCs w:val="24"/>
        </w:rPr>
        <w:t>denounc</w:t>
      </w:r>
      <w:r>
        <w:rPr>
          <w:rFonts w:asciiTheme="minorHAnsi" w:hAnsiTheme="minorHAnsi"/>
          <w:sz w:val="24"/>
          <w:szCs w:val="24"/>
        </w:rPr>
        <w:t xml:space="preserve">ing </w:t>
      </w:r>
      <w:r w:rsidRPr="0001137B">
        <w:rPr>
          <w:rFonts w:asciiTheme="minorHAnsi" w:hAnsiTheme="minorHAnsi"/>
          <w:sz w:val="24"/>
          <w:szCs w:val="24"/>
        </w:rPr>
        <w:t xml:space="preserve">violations of human rights and corruption in a country without having to fear diplomatic incidents. Others </w:t>
      </w:r>
      <w:r>
        <w:rPr>
          <w:rFonts w:asciiTheme="minorHAnsi" w:hAnsiTheme="minorHAnsi"/>
          <w:sz w:val="24"/>
          <w:szCs w:val="24"/>
        </w:rPr>
        <w:t xml:space="preserve">have </w:t>
      </w:r>
      <w:r w:rsidRPr="0001137B">
        <w:rPr>
          <w:rFonts w:asciiTheme="minorHAnsi" w:hAnsiTheme="minorHAnsi"/>
          <w:sz w:val="24"/>
          <w:szCs w:val="24"/>
        </w:rPr>
        <w:t>critic</w:t>
      </w:r>
      <w:r>
        <w:rPr>
          <w:rFonts w:asciiTheme="minorHAnsi" w:hAnsiTheme="minorHAnsi"/>
          <w:sz w:val="24"/>
          <w:szCs w:val="24"/>
        </w:rPr>
        <w:t>ise</w:t>
      </w:r>
      <w:r w:rsidRPr="0001137B">
        <w:rPr>
          <w:rFonts w:asciiTheme="minorHAnsi" w:hAnsiTheme="minorHAnsi"/>
          <w:sz w:val="24"/>
          <w:szCs w:val="24"/>
        </w:rPr>
        <w:t xml:space="preserve">d this type of aid for its bureaucracy. Specific national competencies, they claim, can emerge better through bilateral approaches, e.g. the Belgian approach for countries of Central Africa. Indirect aid is in principle supported by all parties, but right-wing parties tend to put more conditions </w:t>
      </w:r>
      <w:r>
        <w:rPr>
          <w:rFonts w:asciiTheme="minorHAnsi" w:hAnsiTheme="minorHAnsi"/>
          <w:sz w:val="24"/>
          <w:szCs w:val="24"/>
        </w:rPr>
        <w:t xml:space="preserve">on </w:t>
      </w:r>
      <w:r w:rsidRPr="0001137B">
        <w:rPr>
          <w:rFonts w:asciiTheme="minorHAnsi" w:hAnsiTheme="minorHAnsi"/>
          <w:sz w:val="24"/>
          <w:szCs w:val="24"/>
        </w:rPr>
        <w:t>that type of aid (efficiency, coherence with bilateral aid, etc.). Conditionality, it seems, is also a source of divi</w:t>
      </w:r>
      <w:r>
        <w:rPr>
          <w:rFonts w:asciiTheme="minorHAnsi" w:hAnsiTheme="minorHAnsi"/>
          <w:sz w:val="24"/>
          <w:szCs w:val="24"/>
        </w:rPr>
        <w:t xml:space="preserve">sion </w:t>
      </w:r>
      <w:r w:rsidRPr="0001137B">
        <w:rPr>
          <w:rFonts w:asciiTheme="minorHAnsi" w:hAnsiTheme="minorHAnsi"/>
          <w:sz w:val="24"/>
          <w:szCs w:val="24"/>
        </w:rPr>
        <w:t xml:space="preserve">with regard to </w:t>
      </w:r>
      <w:r w:rsidRPr="0001137B">
        <w:rPr>
          <w:rFonts w:asciiTheme="minorHAnsi" w:hAnsiTheme="minorHAnsi"/>
          <w:sz w:val="24"/>
          <w:szCs w:val="24"/>
        </w:rPr>
        <w:lastRenderedPageBreak/>
        <w:t>bilateral aid: Flemish</w:t>
      </w:r>
      <w:r w:rsidRPr="00F630DE">
        <w:rPr>
          <w:rFonts w:asciiTheme="minorHAnsi" w:hAnsiTheme="minorHAnsi"/>
          <w:sz w:val="24"/>
          <w:szCs w:val="24"/>
        </w:rPr>
        <w:t>-speaking</w:t>
      </w:r>
      <w:r w:rsidRPr="0001137B">
        <w:rPr>
          <w:rFonts w:asciiTheme="minorHAnsi" w:hAnsiTheme="minorHAnsi"/>
          <w:sz w:val="24"/>
          <w:szCs w:val="24"/>
        </w:rPr>
        <w:t xml:space="preserve"> parties </w:t>
      </w:r>
      <w:r>
        <w:rPr>
          <w:rFonts w:asciiTheme="minorHAnsi" w:hAnsiTheme="minorHAnsi"/>
          <w:sz w:val="24"/>
          <w:szCs w:val="24"/>
        </w:rPr>
        <w:t xml:space="preserve">have traditionally </w:t>
      </w:r>
      <w:r w:rsidRPr="0001137B">
        <w:rPr>
          <w:rFonts w:asciiTheme="minorHAnsi" w:hAnsiTheme="minorHAnsi"/>
          <w:sz w:val="24"/>
          <w:szCs w:val="24"/>
        </w:rPr>
        <w:t xml:space="preserve">insisted, much more </w:t>
      </w:r>
      <w:r>
        <w:rPr>
          <w:rFonts w:asciiTheme="minorHAnsi" w:hAnsiTheme="minorHAnsi"/>
          <w:sz w:val="24"/>
          <w:szCs w:val="24"/>
        </w:rPr>
        <w:t xml:space="preserve">so </w:t>
      </w:r>
      <w:r w:rsidRPr="0001137B">
        <w:rPr>
          <w:rFonts w:asciiTheme="minorHAnsi" w:hAnsiTheme="minorHAnsi"/>
          <w:sz w:val="24"/>
          <w:szCs w:val="24"/>
        </w:rPr>
        <w:t>than French-speaking</w:t>
      </w:r>
      <w:r>
        <w:rPr>
          <w:rFonts w:asciiTheme="minorHAnsi" w:hAnsiTheme="minorHAnsi"/>
          <w:sz w:val="24"/>
          <w:szCs w:val="24"/>
        </w:rPr>
        <w:t xml:space="preserve"> </w:t>
      </w:r>
      <w:r w:rsidRPr="00F630DE">
        <w:rPr>
          <w:rFonts w:asciiTheme="minorHAnsi" w:hAnsiTheme="minorHAnsi"/>
          <w:sz w:val="24"/>
          <w:szCs w:val="24"/>
        </w:rPr>
        <w:t>parties</w:t>
      </w:r>
      <w:r w:rsidRPr="0001137B">
        <w:rPr>
          <w:rFonts w:asciiTheme="minorHAnsi" w:hAnsiTheme="minorHAnsi"/>
          <w:sz w:val="24"/>
          <w:szCs w:val="24"/>
        </w:rPr>
        <w:t>, on the conditions (such as good governance) that should be imposed in exchange for aid. This divi</w:t>
      </w:r>
      <w:r>
        <w:rPr>
          <w:rFonts w:asciiTheme="minorHAnsi" w:hAnsiTheme="minorHAnsi"/>
          <w:sz w:val="24"/>
          <w:szCs w:val="24"/>
        </w:rPr>
        <w:t xml:space="preserve">sion can also be seen </w:t>
      </w:r>
      <w:r w:rsidRPr="0001137B">
        <w:rPr>
          <w:rFonts w:asciiTheme="minorHAnsi" w:hAnsiTheme="minorHAnsi"/>
          <w:sz w:val="24"/>
          <w:szCs w:val="24"/>
        </w:rPr>
        <w:t>between the Flemish</w:t>
      </w:r>
      <w:r>
        <w:rPr>
          <w:rFonts w:asciiTheme="minorHAnsi" w:hAnsiTheme="minorHAnsi"/>
          <w:sz w:val="24"/>
          <w:szCs w:val="24"/>
        </w:rPr>
        <w:t>-</w:t>
      </w:r>
      <w:r w:rsidRPr="00F630DE">
        <w:rPr>
          <w:rFonts w:asciiTheme="minorHAnsi" w:hAnsiTheme="minorHAnsi"/>
          <w:sz w:val="24"/>
          <w:szCs w:val="24"/>
        </w:rPr>
        <w:t>speaking</w:t>
      </w:r>
      <w:r w:rsidRPr="0001137B">
        <w:rPr>
          <w:rFonts w:asciiTheme="minorHAnsi" w:hAnsiTheme="minorHAnsi"/>
          <w:sz w:val="24"/>
          <w:szCs w:val="24"/>
        </w:rPr>
        <w:t xml:space="preserve"> and French-speaking NGOs.</w:t>
      </w:r>
    </w:p>
    <w:p w:rsidR="00B26798" w:rsidRPr="0001137B" w:rsidRDefault="00B26798" w:rsidP="00B26798">
      <w:pPr>
        <w:pStyle w:val="Normal-Indent09cm"/>
        <w:spacing w:after="120" w:line="320" w:lineRule="exact"/>
        <w:ind w:left="0"/>
        <w:rPr>
          <w:rFonts w:asciiTheme="minorHAnsi" w:hAnsiTheme="minorHAnsi"/>
          <w:sz w:val="24"/>
          <w:szCs w:val="24"/>
        </w:rPr>
      </w:pPr>
      <w:r w:rsidRPr="0001137B">
        <w:rPr>
          <w:rFonts w:asciiTheme="minorHAnsi" w:hAnsiTheme="minorHAnsi"/>
          <w:sz w:val="24"/>
          <w:szCs w:val="24"/>
        </w:rPr>
        <w:t>There is political consensus on the restriction of the number of partner countries on the basis of predefined criteria to avoid dispersion, and also to differentiate between least developed</w:t>
      </w:r>
      <w:r>
        <w:rPr>
          <w:rFonts w:asciiTheme="minorHAnsi" w:hAnsiTheme="minorHAnsi"/>
          <w:sz w:val="24"/>
          <w:szCs w:val="24"/>
        </w:rPr>
        <w:t xml:space="preserve"> </w:t>
      </w:r>
      <w:r w:rsidRPr="0001137B">
        <w:rPr>
          <w:rFonts w:asciiTheme="minorHAnsi" w:hAnsiTheme="minorHAnsi"/>
          <w:sz w:val="24"/>
          <w:szCs w:val="24"/>
        </w:rPr>
        <w:t>countries and emerging countries. Least developed countries may be best served through huge financial and logistic investments. On the type of cooperation best suited for emerging countries, opinions seem to differ. Right</w:t>
      </w:r>
      <w:r>
        <w:rPr>
          <w:rFonts w:asciiTheme="minorHAnsi" w:hAnsiTheme="minorHAnsi"/>
          <w:sz w:val="24"/>
          <w:szCs w:val="24"/>
        </w:rPr>
        <w:t>-</w:t>
      </w:r>
      <w:r w:rsidRPr="0001137B">
        <w:rPr>
          <w:rFonts w:asciiTheme="minorHAnsi" w:hAnsiTheme="minorHAnsi"/>
          <w:sz w:val="24"/>
          <w:szCs w:val="24"/>
        </w:rPr>
        <w:t xml:space="preserve">wing parties think they need technical and research collaboration. Left-wing parties prefer projects tackling human rights issues and democratisation processes; indirect cooperation (NGOs) </w:t>
      </w:r>
      <w:proofErr w:type="gramStart"/>
      <w:r w:rsidRPr="0001137B">
        <w:rPr>
          <w:rFonts w:asciiTheme="minorHAnsi" w:hAnsiTheme="minorHAnsi"/>
          <w:sz w:val="24"/>
          <w:szCs w:val="24"/>
        </w:rPr>
        <w:t>are</w:t>
      </w:r>
      <w:proofErr w:type="gramEnd"/>
      <w:r w:rsidRPr="0001137B">
        <w:rPr>
          <w:rFonts w:asciiTheme="minorHAnsi" w:hAnsiTheme="minorHAnsi"/>
          <w:sz w:val="24"/>
          <w:szCs w:val="24"/>
        </w:rPr>
        <w:t xml:space="preserve"> considered to be best </w:t>
      </w:r>
      <w:r>
        <w:rPr>
          <w:rFonts w:asciiTheme="minorHAnsi" w:hAnsiTheme="minorHAnsi"/>
          <w:sz w:val="24"/>
          <w:szCs w:val="24"/>
        </w:rPr>
        <w:t xml:space="preserve">placed </w:t>
      </w:r>
      <w:r w:rsidRPr="0001137B">
        <w:rPr>
          <w:rFonts w:asciiTheme="minorHAnsi" w:hAnsiTheme="minorHAnsi"/>
          <w:sz w:val="24"/>
          <w:szCs w:val="24"/>
        </w:rPr>
        <w:t>to set up projects in these domains.</w:t>
      </w:r>
    </w:p>
    <w:p w:rsidR="00B26798" w:rsidRPr="0001137B" w:rsidRDefault="00B26798" w:rsidP="00B26798">
      <w:pPr>
        <w:pStyle w:val="Normal-Indent09cm"/>
        <w:spacing w:after="120" w:line="320" w:lineRule="exact"/>
        <w:ind w:left="0"/>
        <w:rPr>
          <w:rFonts w:asciiTheme="minorHAnsi" w:hAnsiTheme="minorHAnsi"/>
          <w:sz w:val="24"/>
          <w:szCs w:val="24"/>
        </w:rPr>
      </w:pPr>
      <w:r w:rsidRPr="0001137B">
        <w:rPr>
          <w:rFonts w:asciiTheme="minorHAnsi" w:hAnsiTheme="minorHAnsi"/>
          <w:sz w:val="24"/>
          <w:szCs w:val="24"/>
        </w:rPr>
        <w:t xml:space="preserve">In terms of which socio-economic sectors to support, a left-right divide </w:t>
      </w:r>
      <w:r>
        <w:rPr>
          <w:rFonts w:asciiTheme="minorHAnsi" w:hAnsiTheme="minorHAnsi"/>
          <w:sz w:val="24"/>
          <w:szCs w:val="24"/>
        </w:rPr>
        <w:t xml:space="preserve">appears </w:t>
      </w:r>
      <w:r w:rsidRPr="0001137B">
        <w:rPr>
          <w:rFonts w:asciiTheme="minorHAnsi" w:hAnsiTheme="minorHAnsi"/>
          <w:sz w:val="24"/>
          <w:szCs w:val="24"/>
        </w:rPr>
        <w:t>as well. Left</w:t>
      </w:r>
      <w:r>
        <w:rPr>
          <w:rFonts w:asciiTheme="minorHAnsi" w:hAnsiTheme="minorHAnsi"/>
          <w:sz w:val="24"/>
          <w:szCs w:val="24"/>
        </w:rPr>
        <w:t xml:space="preserve">-wing </w:t>
      </w:r>
      <w:r w:rsidRPr="0001137B">
        <w:rPr>
          <w:rFonts w:asciiTheme="minorHAnsi" w:hAnsiTheme="minorHAnsi"/>
          <w:sz w:val="24"/>
          <w:szCs w:val="24"/>
        </w:rPr>
        <w:t>parties emphas</w:t>
      </w:r>
      <w:r>
        <w:rPr>
          <w:rFonts w:asciiTheme="minorHAnsi" w:hAnsiTheme="minorHAnsi"/>
          <w:sz w:val="24"/>
          <w:szCs w:val="24"/>
        </w:rPr>
        <w:t>ise</w:t>
      </w:r>
      <w:r w:rsidRPr="0001137B">
        <w:rPr>
          <w:rFonts w:asciiTheme="minorHAnsi" w:hAnsiTheme="minorHAnsi"/>
          <w:sz w:val="24"/>
          <w:szCs w:val="24"/>
        </w:rPr>
        <w:t xml:space="preserve"> social development (health and education) as main areas. They also critic</w:t>
      </w:r>
      <w:r>
        <w:rPr>
          <w:rFonts w:asciiTheme="minorHAnsi" w:hAnsiTheme="minorHAnsi"/>
          <w:sz w:val="24"/>
          <w:szCs w:val="24"/>
        </w:rPr>
        <w:t>ise</w:t>
      </w:r>
      <w:r w:rsidRPr="0001137B">
        <w:rPr>
          <w:rFonts w:asciiTheme="minorHAnsi" w:hAnsiTheme="minorHAnsi"/>
          <w:sz w:val="24"/>
          <w:szCs w:val="24"/>
        </w:rPr>
        <w:t xml:space="preserve"> the imposing of (neo-liberal) ideologically inspired liberal</w:t>
      </w:r>
      <w:r>
        <w:rPr>
          <w:rFonts w:asciiTheme="minorHAnsi" w:hAnsiTheme="minorHAnsi"/>
          <w:sz w:val="24"/>
          <w:szCs w:val="24"/>
        </w:rPr>
        <w:t>isa</w:t>
      </w:r>
      <w:r w:rsidRPr="0001137B">
        <w:rPr>
          <w:rFonts w:asciiTheme="minorHAnsi" w:hAnsiTheme="minorHAnsi"/>
          <w:sz w:val="24"/>
          <w:szCs w:val="24"/>
        </w:rPr>
        <w:t xml:space="preserve">tion policies for local governments (opening of markets, free competition, etc.). Right-wing parties insist on fostering economic development to leverage broader development. Their critique on social development as </w:t>
      </w:r>
      <w:r>
        <w:rPr>
          <w:rFonts w:asciiTheme="minorHAnsi" w:hAnsiTheme="minorHAnsi"/>
          <w:sz w:val="24"/>
          <w:szCs w:val="24"/>
        </w:rPr>
        <w:t xml:space="preserve">the </w:t>
      </w:r>
      <w:r w:rsidRPr="0001137B">
        <w:rPr>
          <w:rFonts w:asciiTheme="minorHAnsi" w:hAnsiTheme="minorHAnsi"/>
          <w:sz w:val="24"/>
          <w:szCs w:val="24"/>
        </w:rPr>
        <w:t xml:space="preserve">prime focus is that it reduces development cooperation to </w:t>
      </w:r>
      <w:r>
        <w:rPr>
          <w:rFonts w:asciiTheme="minorHAnsi" w:hAnsiTheme="minorHAnsi"/>
          <w:sz w:val="24"/>
          <w:szCs w:val="24"/>
        </w:rPr>
        <w:t>‘</w:t>
      </w:r>
      <w:r w:rsidRPr="0001137B">
        <w:rPr>
          <w:rFonts w:asciiTheme="minorHAnsi" w:hAnsiTheme="minorHAnsi"/>
          <w:sz w:val="24"/>
          <w:szCs w:val="24"/>
        </w:rPr>
        <w:t>palliative care</w:t>
      </w:r>
      <w:r>
        <w:rPr>
          <w:rFonts w:asciiTheme="minorHAnsi" w:hAnsiTheme="minorHAnsi"/>
          <w:sz w:val="24"/>
          <w:szCs w:val="24"/>
        </w:rPr>
        <w:t>’</w:t>
      </w:r>
      <w:r w:rsidRPr="0001137B">
        <w:rPr>
          <w:rFonts w:asciiTheme="minorHAnsi" w:hAnsiTheme="minorHAnsi"/>
          <w:sz w:val="24"/>
          <w:szCs w:val="24"/>
        </w:rPr>
        <w:t xml:space="preserve">, bringing relief but not curing. Both sides blame the other of </w:t>
      </w:r>
      <w:r>
        <w:rPr>
          <w:rFonts w:asciiTheme="minorHAnsi" w:hAnsiTheme="minorHAnsi"/>
          <w:sz w:val="24"/>
          <w:szCs w:val="24"/>
        </w:rPr>
        <w:t>‘</w:t>
      </w:r>
      <w:r w:rsidRPr="0001137B">
        <w:rPr>
          <w:rFonts w:asciiTheme="minorHAnsi" w:hAnsiTheme="minorHAnsi"/>
          <w:sz w:val="24"/>
          <w:szCs w:val="24"/>
        </w:rPr>
        <w:t>paternalism</w:t>
      </w:r>
      <w:r>
        <w:rPr>
          <w:rFonts w:asciiTheme="minorHAnsi" w:hAnsiTheme="minorHAnsi"/>
          <w:sz w:val="24"/>
          <w:szCs w:val="24"/>
        </w:rPr>
        <w:t>’</w:t>
      </w:r>
      <w:r w:rsidRPr="0001137B">
        <w:rPr>
          <w:rFonts w:asciiTheme="minorHAnsi" w:hAnsiTheme="minorHAnsi"/>
          <w:sz w:val="24"/>
          <w:szCs w:val="24"/>
        </w:rPr>
        <w:t xml:space="preserve"> and sticking to </w:t>
      </w:r>
      <w:r>
        <w:rPr>
          <w:rFonts w:asciiTheme="minorHAnsi" w:hAnsiTheme="minorHAnsi"/>
          <w:sz w:val="24"/>
          <w:szCs w:val="24"/>
        </w:rPr>
        <w:t>‘</w:t>
      </w:r>
      <w:r w:rsidRPr="0001137B">
        <w:rPr>
          <w:rFonts w:asciiTheme="minorHAnsi" w:hAnsiTheme="minorHAnsi"/>
          <w:sz w:val="24"/>
          <w:szCs w:val="24"/>
        </w:rPr>
        <w:t>past practices</w:t>
      </w:r>
      <w:r>
        <w:rPr>
          <w:rFonts w:asciiTheme="minorHAnsi" w:hAnsiTheme="minorHAnsi"/>
          <w:sz w:val="24"/>
          <w:szCs w:val="24"/>
        </w:rPr>
        <w:t>’</w:t>
      </w:r>
      <w:r w:rsidRPr="0001137B">
        <w:rPr>
          <w:rFonts w:asciiTheme="minorHAnsi" w:hAnsiTheme="minorHAnsi"/>
          <w:sz w:val="24"/>
          <w:szCs w:val="24"/>
        </w:rPr>
        <w:t>. A concern they both share however is the need to step out of charity cooperation.</w:t>
      </w:r>
    </w:p>
    <w:p w:rsidR="00B26798" w:rsidRPr="0001137B" w:rsidRDefault="00B26798" w:rsidP="00B26798">
      <w:pPr>
        <w:pStyle w:val="Normal-Indent09cm"/>
        <w:spacing w:after="120" w:line="320" w:lineRule="exact"/>
        <w:ind w:left="0"/>
        <w:rPr>
          <w:rFonts w:asciiTheme="minorHAnsi" w:hAnsiTheme="minorHAnsi"/>
          <w:sz w:val="24"/>
          <w:szCs w:val="24"/>
        </w:rPr>
      </w:pPr>
      <w:r w:rsidRPr="0001137B">
        <w:rPr>
          <w:rFonts w:asciiTheme="minorHAnsi" w:hAnsiTheme="minorHAnsi"/>
          <w:sz w:val="24"/>
          <w:szCs w:val="24"/>
        </w:rPr>
        <w:t>Divergences also appear on how to reach the 0.7% of GDP devoted to development aid. Left</w:t>
      </w:r>
      <w:r>
        <w:rPr>
          <w:rFonts w:asciiTheme="minorHAnsi" w:hAnsiTheme="minorHAnsi"/>
          <w:sz w:val="24"/>
          <w:szCs w:val="24"/>
        </w:rPr>
        <w:t xml:space="preserve">-wing </w:t>
      </w:r>
      <w:r w:rsidRPr="0001137B">
        <w:rPr>
          <w:rFonts w:asciiTheme="minorHAnsi" w:hAnsiTheme="minorHAnsi"/>
          <w:sz w:val="24"/>
          <w:szCs w:val="24"/>
        </w:rPr>
        <w:t xml:space="preserve">parties and NGOs prefer to preserve this budget for </w:t>
      </w:r>
      <w:r>
        <w:rPr>
          <w:rFonts w:asciiTheme="minorHAnsi" w:hAnsiTheme="minorHAnsi"/>
          <w:sz w:val="24"/>
          <w:szCs w:val="24"/>
        </w:rPr>
        <w:t>‘</w:t>
      </w:r>
      <w:r w:rsidRPr="0001137B">
        <w:rPr>
          <w:rFonts w:asciiTheme="minorHAnsi" w:hAnsiTheme="minorHAnsi"/>
          <w:sz w:val="24"/>
          <w:szCs w:val="24"/>
        </w:rPr>
        <w:t>pure</w:t>
      </w:r>
      <w:r>
        <w:rPr>
          <w:rFonts w:asciiTheme="minorHAnsi" w:hAnsiTheme="minorHAnsi"/>
          <w:sz w:val="24"/>
          <w:szCs w:val="24"/>
        </w:rPr>
        <w:t>’</w:t>
      </w:r>
      <w:r w:rsidRPr="0001137B">
        <w:rPr>
          <w:rFonts w:asciiTheme="minorHAnsi" w:hAnsiTheme="minorHAnsi"/>
          <w:sz w:val="24"/>
          <w:szCs w:val="24"/>
        </w:rPr>
        <w:t xml:space="preserve"> development cooperation projects. Right</w:t>
      </w:r>
      <w:r>
        <w:rPr>
          <w:rFonts w:asciiTheme="minorHAnsi" w:hAnsiTheme="minorHAnsi"/>
          <w:sz w:val="24"/>
          <w:szCs w:val="24"/>
        </w:rPr>
        <w:t xml:space="preserve">-wing </w:t>
      </w:r>
      <w:r w:rsidRPr="0001137B">
        <w:rPr>
          <w:rFonts w:asciiTheme="minorHAnsi" w:hAnsiTheme="minorHAnsi"/>
          <w:sz w:val="24"/>
          <w:szCs w:val="24"/>
        </w:rPr>
        <w:t xml:space="preserve">parties suggest also </w:t>
      </w:r>
      <w:r>
        <w:rPr>
          <w:rFonts w:asciiTheme="minorHAnsi" w:hAnsiTheme="minorHAnsi"/>
          <w:sz w:val="24"/>
          <w:szCs w:val="24"/>
        </w:rPr>
        <w:t xml:space="preserve">taking </w:t>
      </w:r>
      <w:r w:rsidRPr="0001137B">
        <w:rPr>
          <w:rFonts w:asciiTheme="minorHAnsi" w:hAnsiTheme="minorHAnsi"/>
          <w:sz w:val="24"/>
          <w:szCs w:val="24"/>
        </w:rPr>
        <w:t>into account the costs of asylum policy and/or the cancellation of debts.</w:t>
      </w:r>
    </w:p>
    <w:p w:rsidR="00B26798" w:rsidRPr="0001137B" w:rsidRDefault="00B26798" w:rsidP="00B26798">
      <w:pPr>
        <w:pStyle w:val="Normal-Indent09cm"/>
        <w:spacing w:after="120" w:line="320" w:lineRule="exact"/>
        <w:ind w:left="0"/>
        <w:rPr>
          <w:rFonts w:asciiTheme="minorHAnsi" w:hAnsiTheme="minorHAnsi"/>
          <w:sz w:val="24"/>
          <w:szCs w:val="24"/>
        </w:rPr>
      </w:pPr>
      <w:r w:rsidRPr="0001137B">
        <w:rPr>
          <w:rFonts w:asciiTheme="minorHAnsi" w:hAnsiTheme="minorHAnsi"/>
          <w:sz w:val="24"/>
          <w:szCs w:val="24"/>
        </w:rPr>
        <w:t>Finally, parties feature diverg</w:t>
      </w:r>
      <w:r>
        <w:rPr>
          <w:rFonts w:asciiTheme="minorHAnsi" w:hAnsiTheme="minorHAnsi"/>
          <w:sz w:val="24"/>
          <w:szCs w:val="24"/>
        </w:rPr>
        <w:t xml:space="preserve">ent </w:t>
      </w:r>
      <w:r w:rsidRPr="0001137B">
        <w:rPr>
          <w:rFonts w:asciiTheme="minorHAnsi" w:hAnsiTheme="minorHAnsi"/>
          <w:sz w:val="24"/>
          <w:szCs w:val="24"/>
        </w:rPr>
        <w:t xml:space="preserve">discourses on the efficiency of development cooperation. One specific concern of mainly the right-wing parties is the need to improve the transparency on NGO funding, which is to be based on criteria of effectiveness and efficiency. The motive for this concern is that increased efficiency will increase the public support for development cooperation. Parties of the political centre insist on the need for more efficiency in multilateral aid. Most parties see a positive sign in the 2005 Paris Declaration </w:t>
      </w:r>
      <w:r>
        <w:rPr>
          <w:rFonts w:asciiTheme="minorHAnsi" w:hAnsiTheme="minorHAnsi"/>
          <w:sz w:val="24"/>
          <w:szCs w:val="24"/>
        </w:rPr>
        <w:t xml:space="preserve">on </w:t>
      </w:r>
      <w:r w:rsidRPr="0001137B">
        <w:rPr>
          <w:rFonts w:asciiTheme="minorHAnsi" w:hAnsiTheme="minorHAnsi"/>
          <w:sz w:val="24"/>
          <w:szCs w:val="24"/>
        </w:rPr>
        <w:t>Aid Effectiveness.</w:t>
      </w:r>
    </w:p>
    <w:p w:rsidR="00B26798" w:rsidRPr="0001137B" w:rsidRDefault="00B26798" w:rsidP="00B26798">
      <w:pPr>
        <w:pStyle w:val="Titre2"/>
        <w:spacing w:before="360" w:after="240" w:line="320" w:lineRule="exact"/>
        <w:rPr>
          <w:b/>
          <w:sz w:val="24"/>
          <w:szCs w:val="24"/>
          <w:lang w:val="en-GB"/>
        </w:rPr>
      </w:pPr>
      <w:r w:rsidRPr="0001137B">
        <w:rPr>
          <w:b/>
          <w:sz w:val="24"/>
          <w:szCs w:val="24"/>
          <w:lang w:val="en-GB"/>
        </w:rPr>
        <w:t>Implications</w:t>
      </w:r>
    </w:p>
    <w:p w:rsidR="00B26798" w:rsidRPr="0001137B" w:rsidRDefault="00B26798" w:rsidP="00B26798">
      <w:pPr>
        <w:pStyle w:val="Normal-Indent09cm"/>
        <w:spacing w:after="120" w:line="320" w:lineRule="exact"/>
        <w:ind w:left="0"/>
        <w:rPr>
          <w:rFonts w:asciiTheme="minorHAnsi" w:hAnsiTheme="minorHAnsi"/>
          <w:sz w:val="24"/>
          <w:szCs w:val="24"/>
        </w:rPr>
      </w:pPr>
      <w:r w:rsidRPr="0001137B">
        <w:rPr>
          <w:rFonts w:asciiTheme="minorHAnsi" w:hAnsiTheme="minorHAnsi"/>
          <w:sz w:val="24"/>
          <w:szCs w:val="24"/>
        </w:rPr>
        <w:t>One striking outcome of this research is that NGOs and NGO</w:t>
      </w:r>
      <w:r>
        <w:rPr>
          <w:rFonts w:asciiTheme="minorHAnsi" w:hAnsiTheme="minorHAnsi"/>
          <w:sz w:val="24"/>
          <w:szCs w:val="24"/>
        </w:rPr>
        <w:t xml:space="preserve"> </w:t>
      </w:r>
      <w:r w:rsidRPr="0001137B">
        <w:rPr>
          <w:rFonts w:asciiTheme="minorHAnsi" w:hAnsiTheme="minorHAnsi"/>
          <w:sz w:val="24"/>
          <w:szCs w:val="24"/>
        </w:rPr>
        <w:t xml:space="preserve">networks are generally not considered as </w:t>
      </w:r>
      <w:r>
        <w:rPr>
          <w:rFonts w:asciiTheme="minorHAnsi" w:hAnsiTheme="minorHAnsi"/>
          <w:sz w:val="24"/>
          <w:szCs w:val="24"/>
        </w:rPr>
        <w:t>‘</w:t>
      </w:r>
      <w:r w:rsidRPr="0001137B">
        <w:rPr>
          <w:rFonts w:asciiTheme="minorHAnsi" w:hAnsiTheme="minorHAnsi"/>
          <w:sz w:val="24"/>
          <w:szCs w:val="24"/>
        </w:rPr>
        <w:t>opposition</w:t>
      </w:r>
      <w:r>
        <w:rPr>
          <w:rFonts w:asciiTheme="minorHAnsi" w:hAnsiTheme="minorHAnsi"/>
          <w:sz w:val="24"/>
          <w:szCs w:val="24"/>
        </w:rPr>
        <w:t>’</w:t>
      </w:r>
      <w:r w:rsidRPr="0001137B">
        <w:rPr>
          <w:rFonts w:asciiTheme="minorHAnsi" w:hAnsiTheme="minorHAnsi"/>
          <w:sz w:val="24"/>
          <w:szCs w:val="24"/>
        </w:rPr>
        <w:t xml:space="preserve"> by the political world but rather as informers, specialists</w:t>
      </w:r>
      <w:r>
        <w:rPr>
          <w:rFonts w:asciiTheme="minorHAnsi" w:hAnsiTheme="minorHAnsi"/>
          <w:sz w:val="24"/>
          <w:szCs w:val="24"/>
        </w:rPr>
        <w:t xml:space="preserve"> and a source of inspiration</w:t>
      </w:r>
      <w:r w:rsidRPr="0001137B">
        <w:rPr>
          <w:rFonts w:asciiTheme="minorHAnsi" w:hAnsiTheme="minorHAnsi"/>
          <w:sz w:val="24"/>
          <w:szCs w:val="24"/>
        </w:rPr>
        <w:t xml:space="preserve">. At the same time, the input of NGOs </w:t>
      </w:r>
      <w:r>
        <w:rPr>
          <w:rFonts w:asciiTheme="minorHAnsi" w:hAnsiTheme="minorHAnsi"/>
          <w:sz w:val="24"/>
          <w:szCs w:val="24"/>
        </w:rPr>
        <w:t xml:space="preserve">is heard </w:t>
      </w:r>
      <w:r w:rsidRPr="0001137B">
        <w:rPr>
          <w:rFonts w:asciiTheme="minorHAnsi" w:hAnsiTheme="minorHAnsi"/>
          <w:sz w:val="24"/>
          <w:szCs w:val="24"/>
        </w:rPr>
        <w:t xml:space="preserve">early </w:t>
      </w:r>
      <w:r>
        <w:rPr>
          <w:rFonts w:asciiTheme="minorHAnsi" w:hAnsiTheme="minorHAnsi"/>
          <w:sz w:val="24"/>
          <w:szCs w:val="24"/>
        </w:rPr>
        <w:t xml:space="preserve">on </w:t>
      </w:r>
      <w:r w:rsidRPr="0001137B">
        <w:rPr>
          <w:rFonts w:asciiTheme="minorHAnsi" w:hAnsiTheme="minorHAnsi"/>
          <w:sz w:val="24"/>
          <w:szCs w:val="24"/>
        </w:rPr>
        <w:t xml:space="preserve">in the consulting process. When an issue or even the domain of development cooperation at large reaches the </w:t>
      </w:r>
      <w:r>
        <w:rPr>
          <w:rFonts w:asciiTheme="minorHAnsi" w:hAnsiTheme="minorHAnsi"/>
          <w:sz w:val="24"/>
          <w:szCs w:val="24"/>
        </w:rPr>
        <w:t>‘</w:t>
      </w:r>
      <w:r w:rsidRPr="0001137B">
        <w:rPr>
          <w:rFonts w:asciiTheme="minorHAnsi" w:hAnsiTheme="minorHAnsi"/>
          <w:sz w:val="24"/>
          <w:szCs w:val="24"/>
        </w:rPr>
        <w:t>inner circle</w:t>
      </w:r>
      <w:r>
        <w:rPr>
          <w:rFonts w:asciiTheme="minorHAnsi" w:hAnsiTheme="minorHAnsi"/>
          <w:sz w:val="24"/>
          <w:szCs w:val="24"/>
        </w:rPr>
        <w:t>’</w:t>
      </w:r>
      <w:r w:rsidRPr="0001137B">
        <w:rPr>
          <w:rFonts w:asciiTheme="minorHAnsi" w:hAnsiTheme="minorHAnsi"/>
          <w:sz w:val="24"/>
          <w:szCs w:val="24"/>
        </w:rPr>
        <w:t xml:space="preserve">, the voice of civil society is - when not </w:t>
      </w:r>
      <w:r>
        <w:rPr>
          <w:rFonts w:asciiTheme="minorHAnsi" w:hAnsiTheme="minorHAnsi"/>
          <w:sz w:val="24"/>
          <w:szCs w:val="24"/>
        </w:rPr>
        <w:t xml:space="preserve">brushed </w:t>
      </w:r>
      <w:r w:rsidRPr="0001137B">
        <w:rPr>
          <w:rFonts w:asciiTheme="minorHAnsi" w:hAnsiTheme="minorHAnsi"/>
          <w:sz w:val="24"/>
          <w:szCs w:val="24"/>
        </w:rPr>
        <w:t xml:space="preserve">aside altogether - at best </w:t>
      </w:r>
      <w:r>
        <w:rPr>
          <w:rFonts w:asciiTheme="minorHAnsi" w:hAnsiTheme="minorHAnsi"/>
          <w:sz w:val="24"/>
          <w:szCs w:val="24"/>
        </w:rPr>
        <w:t xml:space="preserve">personified </w:t>
      </w:r>
      <w:r w:rsidRPr="0001137B">
        <w:rPr>
          <w:rFonts w:asciiTheme="minorHAnsi" w:hAnsiTheme="minorHAnsi"/>
          <w:sz w:val="24"/>
          <w:szCs w:val="24"/>
        </w:rPr>
        <w:t xml:space="preserve">by a trusted party delegate. This leads more often than not to development cooperation issues being put lower </w:t>
      </w:r>
      <w:r>
        <w:rPr>
          <w:rFonts w:asciiTheme="minorHAnsi" w:hAnsiTheme="minorHAnsi"/>
          <w:sz w:val="24"/>
          <w:szCs w:val="24"/>
        </w:rPr>
        <w:t xml:space="preserve">down </w:t>
      </w:r>
      <w:r w:rsidRPr="0001137B">
        <w:rPr>
          <w:rFonts w:asciiTheme="minorHAnsi" w:hAnsiTheme="minorHAnsi"/>
          <w:sz w:val="24"/>
          <w:szCs w:val="24"/>
        </w:rPr>
        <w:t xml:space="preserve">on the agenda. To counter this tendency, NGOs </w:t>
      </w:r>
      <w:r w:rsidRPr="0001137B">
        <w:rPr>
          <w:rFonts w:asciiTheme="minorHAnsi" w:hAnsiTheme="minorHAnsi"/>
          <w:sz w:val="24"/>
          <w:szCs w:val="24"/>
        </w:rPr>
        <w:lastRenderedPageBreak/>
        <w:t xml:space="preserve">could strengthen their position by stipulating that their inspirational and informative input is not for free, but rather a first stage in a process wherein NGOs are involved right towards the output end. This would be </w:t>
      </w:r>
      <w:r>
        <w:rPr>
          <w:rFonts w:asciiTheme="minorHAnsi" w:hAnsiTheme="minorHAnsi"/>
          <w:sz w:val="24"/>
          <w:szCs w:val="24"/>
        </w:rPr>
        <w:t xml:space="preserve">to </w:t>
      </w:r>
      <w:r w:rsidRPr="0001137B">
        <w:rPr>
          <w:rFonts w:asciiTheme="minorHAnsi" w:hAnsiTheme="minorHAnsi"/>
          <w:sz w:val="24"/>
          <w:szCs w:val="24"/>
        </w:rPr>
        <w:t xml:space="preserve">the benefit of NGOs as well as politicians. NGOs would not be reduced to </w:t>
      </w:r>
      <w:r>
        <w:rPr>
          <w:rFonts w:asciiTheme="minorHAnsi" w:hAnsiTheme="minorHAnsi"/>
          <w:sz w:val="24"/>
          <w:szCs w:val="24"/>
        </w:rPr>
        <w:t xml:space="preserve">mere </w:t>
      </w:r>
      <w:r w:rsidRPr="001E6633">
        <w:rPr>
          <w:rFonts w:asciiTheme="minorHAnsi" w:hAnsiTheme="minorHAnsi"/>
          <w:sz w:val="24"/>
          <w:szCs w:val="24"/>
        </w:rPr>
        <w:t>source</w:t>
      </w:r>
      <w:r>
        <w:rPr>
          <w:rFonts w:asciiTheme="minorHAnsi" w:hAnsiTheme="minorHAnsi"/>
          <w:sz w:val="24"/>
          <w:szCs w:val="24"/>
        </w:rPr>
        <w:t>s</w:t>
      </w:r>
      <w:r w:rsidRPr="001E6633">
        <w:rPr>
          <w:rFonts w:asciiTheme="minorHAnsi" w:hAnsiTheme="minorHAnsi"/>
          <w:sz w:val="24"/>
          <w:szCs w:val="24"/>
        </w:rPr>
        <w:t xml:space="preserve"> of inspiration</w:t>
      </w:r>
      <w:r w:rsidRPr="0001137B">
        <w:rPr>
          <w:rFonts w:asciiTheme="minorHAnsi" w:hAnsiTheme="minorHAnsi"/>
          <w:sz w:val="24"/>
          <w:szCs w:val="24"/>
        </w:rPr>
        <w:t>. At the same time politicians would have specialists at the table who would not limit their input to critique but who would collaborate pragmatically to find political solutions to fundamental problems.</w:t>
      </w:r>
    </w:p>
    <w:p w:rsidR="00B26798" w:rsidRPr="0001137B" w:rsidRDefault="00B26798" w:rsidP="00B26798">
      <w:pPr>
        <w:pStyle w:val="Normal-Indent09cm"/>
        <w:spacing w:after="120" w:line="320" w:lineRule="exact"/>
        <w:ind w:left="0"/>
        <w:rPr>
          <w:rFonts w:asciiTheme="minorHAnsi" w:hAnsiTheme="minorHAnsi"/>
          <w:sz w:val="24"/>
          <w:szCs w:val="24"/>
        </w:rPr>
      </w:pPr>
      <w:r w:rsidRPr="0001137B">
        <w:rPr>
          <w:rFonts w:asciiTheme="minorHAnsi" w:hAnsiTheme="minorHAnsi"/>
          <w:sz w:val="24"/>
          <w:szCs w:val="24"/>
        </w:rPr>
        <w:t>An element of this trade-off would be that NGOs and NGO</w:t>
      </w:r>
      <w:r>
        <w:rPr>
          <w:rFonts w:asciiTheme="minorHAnsi" w:hAnsiTheme="minorHAnsi"/>
          <w:sz w:val="24"/>
          <w:szCs w:val="24"/>
        </w:rPr>
        <w:t xml:space="preserve"> </w:t>
      </w:r>
      <w:r w:rsidRPr="0001137B">
        <w:rPr>
          <w:rFonts w:asciiTheme="minorHAnsi" w:hAnsiTheme="minorHAnsi"/>
          <w:sz w:val="24"/>
          <w:szCs w:val="24"/>
        </w:rPr>
        <w:t>networks do more than just voic</w:t>
      </w:r>
      <w:r>
        <w:rPr>
          <w:rFonts w:asciiTheme="minorHAnsi" w:hAnsiTheme="minorHAnsi"/>
          <w:sz w:val="24"/>
          <w:szCs w:val="24"/>
        </w:rPr>
        <w:t xml:space="preserve">e </w:t>
      </w:r>
      <w:r w:rsidRPr="0001137B">
        <w:rPr>
          <w:rFonts w:asciiTheme="minorHAnsi" w:hAnsiTheme="minorHAnsi"/>
          <w:sz w:val="24"/>
          <w:szCs w:val="24"/>
        </w:rPr>
        <w:t>criticism. They would then, regardless of political colours, cooperate with political parties or cabinet ministers to design pragmatic alternatives, which could be carried out without upsetting the minister, the government and its electorate. This would certainly imply a change of roles and a change of style, but at the same time increase the actual impact of NGO lobbying.</w:t>
      </w:r>
    </w:p>
    <w:p w:rsidR="00B26798" w:rsidRPr="0001137B" w:rsidRDefault="00B26798" w:rsidP="00B26798">
      <w:pPr>
        <w:pStyle w:val="Normal-Indent09cm"/>
        <w:spacing w:after="120" w:line="320" w:lineRule="exact"/>
        <w:ind w:left="0"/>
        <w:rPr>
          <w:rFonts w:asciiTheme="minorHAnsi" w:hAnsiTheme="minorHAnsi"/>
          <w:sz w:val="24"/>
          <w:szCs w:val="24"/>
        </w:rPr>
      </w:pPr>
      <w:r w:rsidRPr="0001137B">
        <w:rPr>
          <w:rFonts w:asciiTheme="minorHAnsi" w:hAnsiTheme="minorHAnsi"/>
          <w:sz w:val="24"/>
          <w:szCs w:val="24"/>
        </w:rPr>
        <w:t xml:space="preserve">Politicians and political parties should try to diversify their antennas </w:t>
      </w:r>
      <w:r>
        <w:rPr>
          <w:rFonts w:asciiTheme="minorHAnsi" w:hAnsiTheme="minorHAnsi"/>
          <w:sz w:val="24"/>
          <w:szCs w:val="24"/>
        </w:rPr>
        <w:t xml:space="preserve">to the greatest extent </w:t>
      </w:r>
      <w:r w:rsidRPr="001E6633">
        <w:rPr>
          <w:rFonts w:asciiTheme="minorHAnsi" w:hAnsiTheme="minorHAnsi"/>
          <w:sz w:val="24"/>
          <w:szCs w:val="24"/>
        </w:rPr>
        <w:t xml:space="preserve">possible </w:t>
      </w:r>
      <w:r w:rsidRPr="0001137B">
        <w:rPr>
          <w:rFonts w:asciiTheme="minorHAnsi" w:hAnsiTheme="minorHAnsi"/>
          <w:sz w:val="24"/>
          <w:szCs w:val="24"/>
        </w:rPr>
        <w:t xml:space="preserve">in order to understand what </w:t>
      </w:r>
      <w:r>
        <w:rPr>
          <w:rFonts w:asciiTheme="minorHAnsi" w:hAnsiTheme="minorHAnsi"/>
          <w:sz w:val="24"/>
          <w:szCs w:val="24"/>
        </w:rPr>
        <w:t xml:space="preserve">is current </w:t>
      </w:r>
      <w:r w:rsidRPr="0001137B">
        <w:rPr>
          <w:rFonts w:asciiTheme="minorHAnsi" w:hAnsiTheme="minorHAnsi"/>
          <w:sz w:val="24"/>
          <w:szCs w:val="24"/>
        </w:rPr>
        <w:t xml:space="preserve">in civil society and society at large with regard to development cooperation. These antennas could </w:t>
      </w:r>
      <w:r>
        <w:rPr>
          <w:rFonts w:asciiTheme="minorHAnsi" w:hAnsiTheme="minorHAnsi"/>
          <w:sz w:val="24"/>
          <w:szCs w:val="24"/>
        </w:rPr>
        <w:t xml:space="preserve">naturally </w:t>
      </w:r>
      <w:r w:rsidRPr="0001137B">
        <w:rPr>
          <w:rFonts w:asciiTheme="minorHAnsi" w:hAnsiTheme="minorHAnsi"/>
          <w:sz w:val="24"/>
          <w:szCs w:val="24"/>
        </w:rPr>
        <w:t xml:space="preserve">be NGOs, NGO networks and other civil society institutions, </w:t>
      </w:r>
      <w:r>
        <w:rPr>
          <w:rFonts w:asciiTheme="minorHAnsi" w:hAnsiTheme="minorHAnsi"/>
          <w:sz w:val="24"/>
          <w:szCs w:val="24"/>
        </w:rPr>
        <w:t xml:space="preserve">but they could also be </w:t>
      </w:r>
      <w:r w:rsidRPr="0001137B">
        <w:rPr>
          <w:rFonts w:asciiTheme="minorHAnsi" w:hAnsiTheme="minorHAnsi"/>
          <w:sz w:val="24"/>
          <w:szCs w:val="24"/>
        </w:rPr>
        <w:t xml:space="preserve">blogs, discussion groups, press releases, columns, research reports and informal </w:t>
      </w:r>
      <w:r>
        <w:rPr>
          <w:rFonts w:asciiTheme="minorHAnsi" w:hAnsiTheme="minorHAnsi"/>
          <w:sz w:val="24"/>
          <w:szCs w:val="24"/>
        </w:rPr>
        <w:t xml:space="preserve">dialogue </w:t>
      </w:r>
      <w:r w:rsidRPr="0001137B">
        <w:rPr>
          <w:rFonts w:asciiTheme="minorHAnsi" w:hAnsiTheme="minorHAnsi"/>
          <w:sz w:val="24"/>
          <w:szCs w:val="24"/>
        </w:rPr>
        <w:t>at local community level. Given the fact that a subject like development cooperation is not one that politicians would use to profile themselves for gaining the popular vote, alliances should be sought across the parties in order to have propositions voted.</w:t>
      </w:r>
    </w:p>
    <w:p w:rsidR="00B26798" w:rsidRPr="0001137B" w:rsidRDefault="00B26798" w:rsidP="00B26798">
      <w:pPr>
        <w:pStyle w:val="Normal-Indent09cm"/>
        <w:spacing w:after="120" w:line="320" w:lineRule="exact"/>
        <w:ind w:left="0"/>
        <w:rPr>
          <w:rFonts w:asciiTheme="minorHAnsi" w:hAnsiTheme="minorHAnsi"/>
          <w:sz w:val="24"/>
          <w:szCs w:val="24"/>
        </w:rPr>
      </w:pPr>
      <w:r w:rsidRPr="0001137B">
        <w:rPr>
          <w:rFonts w:asciiTheme="minorHAnsi" w:hAnsiTheme="minorHAnsi"/>
          <w:sz w:val="24"/>
          <w:szCs w:val="24"/>
        </w:rPr>
        <w:t xml:space="preserve">Finally, this research has made clear that the current decision-making process implies that some aspects of development cooperation are not systematically </w:t>
      </w:r>
      <w:r>
        <w:rPr>
          <w:rFonts w:asciiTheme="minorHAnsi" w:hAnsiTheme="minorHAnsi"/>
          <w:sz w:val="24"/>
          <w:szCs w:val="24"/>
        </w:rPr>
        <w:t xml:space="preserve">seen as </w:t>
      </w:r>
      <w:r w:rsidRPr="0001137B">
        <w:rPr>
          <w:rFonts w:asciiTheme="minorHAnsi" w:hAnsiTheme="minorHAnsi"/>
          <w:sz w:val="24"/>
          <w:szCs w:val="24"/>
        </w:rPr>
        <w:t>choices for which alternatives are possible.</w:t>
      </w:r>
    </w:p>
    <w:p w:rsidR="00B26798" w:rsidRPr="0001137B" w:rsidRDefault="00B26798" w:rsidP="00B26798">
      <w:pPr>
        <w:pStyle w:val="Normal-Indent09cm"/>
        <w:numPr>
          <w:ilvl w:val="0"/>
          <w:numId w:val="1"/>
        </w:numPr>
        <w:spacing w:after="120" w:line="320" w:lineRule="exact"/>
        <w:rPr>
          <w:rFonts w:asciiTheme="minorHAnsi" w:hAnsiTheme="minorHAnsi"/>
          <w:sz w:val="24"/>
          <w:szCs w:val="24"/>
        </w:rPr>
      </w:pPr>
      <w:proofErr w:type="gramStart"/>
      <w:r w:rsidRPr="0001137B">
        <w:rPr>
          <w:rFonts w:asciiTheme="minorHAnsi" w:hAnsiTheme="minorHAnsi"/>
          <w:sz w:val="24"/>
          <w:szCs w:val="24"/>
        </w:rPr>
        <w:t xml:space="preserve">Multilateral aid, and the questionable effectiveness and efficiency of its operating institutions (UN agencies, World Bank, EU) </w:t>
      </w:r>
      <w:r>
        <w:rPr>
          <w:rFonts w:asciiTheme="minorHAnsi" w:hAnsiTheme="minorHAnsi"/>
          <w:sz w:val="24"/>
          <w:szCs w:val="24"/>
        </w:rPr>
        <w:t xml:space="preserve">were </w:t>
      </w:r>
      <w:r w:rsidRPr="0001137B">
        <w:rPr>
          <w:rFonts w:asciiTheme="minorHAnsi" w:hAnsiTheme="minorHAnsi"/>
          <w:sz w:val="24"/>
          <w:szCs w:val="24"/>
        </w:rPr>
        <w:t>mentioned by just one interviewee</w:t>
      </w:r>
      <w:proofErr w:type="gramEnd"/>
      <w:r w:rsidRPr="0001137B">
        <w:rPr>
          <w:rFonts w:asciiTheme="minorHAnsi" w:hAnsiTheme="minorHAnsi"/>
          <w:sz w:val="24"/>
          <w:szCs w:val="24"/>
        </w:rPr>
        <w:t>. Yet, about a third of the Belgian ODA is spent through multilateral aid.</w:t>
      </w:r>
    </w:p>
    <w:p w:rsidR="00B26798" w:rsidRPr="0001137B" w:rsidRDefault="00B26798" w:rsidP="00B26798">
      <w:pPr>
        <w:pStyle w:val="Normal-Indent09cm"/>
        <w:numPr>
          <w:ilvl w:val="0"/>
          <w:numId w:val="1"/>
        </w:numPr>
        <w:spacing w:after="120" w:line="320" w:lineRule="exact"/>
        <w:rPr>
          <w:rFonts w:asciiTheme="minorHAnsi" w:hAnsiTheme="minorHAnsi"/>
          <w:sz w:val="24"/>
          <w:szCs w:val="24"/>
        </w:rPr>
      </w:pPr>
      <w:r w:rsidRPr="0001137B">
        <w:rPr>
          <w:rFonts w:asciiTheme="minorHAnsi" w:hAnsiTheme="minorHAnsi"/>
          <w:sz w:val="24"/>
          <w:szCs w:val="24"/>
        </w:rPr>
        <w:t xml:space="preserve">The continuity and predictability of funding is </w:t>
      </w:r>
      <w:r>
        <w:rPr>
          <w:rFonts w:asciiTheme="minorHAnsi" w:hAnsiTheme="minorHAnsi"/>
          <w:sz w:val="24"/>
          <w:szCs w:val="24"/>
        </w:rPr>
        <w:t xml:space="preserve">crucially </w:t>
      </w:r>
      <w:r w:rsidRPr="0001137B">
        <w:rPr>
          <w:rFonts w:asciiTheme="minorHAnsi" w:hAnsiTheme="minorHAnsi"/>
          <w:sz w:val="24"/>
          <w:szCs w:val="24"/>
        </w:rPr>
        <w:t>important for the Southern partners</w:t>
      </w:r>
      <w:r>
        <w:rPr>
          <w:rFonts w:asciiTheme="minorHAnsi" w:hAnsiTheme="minorHAnsi"/>
          <w:sz w:val="24"/>
          <w:szCs w:val="24"/>
        </w:rPr>
        <w:t>’</w:t>
      </w:r>
      <w:r w:rsidRPr="0001137B">
        <w:rPr>
          <w:rFonts w:asciiTheme="minorHAnsi" w:hAnsiTheme="minorHAnsi"/>
          <w:sz w:val="24"/>
          <w:szCs w:val="24"/>
        </w:rPr>
        <w:t xml:space="preserve"> effectiveness in carrying out projects. Without predictable funding, technical staff may look for </w:t>
      </w:r>
      <w:proofErr w:type="gramStart"/>
      <w:r w:rsidRPr="0001137B">
        <w:rPr>
          <w:rFonts w:asciiTheme="minorHAnsi" w:hAnsiTheme="minorHAnsi"/>
          <w:sz w:val="24"/>
          <w:szCs w:val="24"/>
        </w:rPr>
        <w:t>other,</w:t>
      </w:r>
      <w:proofErr w:type="gramEnd"/>
      <w:r w:rsidRPr="0001137B">
        <w:rPr>
          <w:rFonts w:asciiTheme="minorHAnsi" w:hAnsiTheme="minorHAnsi"/>
          <w:sz w:val="24"/>
          <w:szCs w:val="24"/>
        </w:rPr>
        <w:t xml:space="preserve"> more stable employment and remaining budgets will be quickly spent while they are justifiable. At present, budgets and projects are often approved at a late stage, leaving Southern partners in the dark about their </w:t>
      </w:r>
      <w:r w:rsidRPr="001E6633">
        <w:rPr>
          <w:rFonts w:asciiTheme="minorHAnsi" w:hAnsiTheme="minorHAnsi"/>
          <w:sz w:val="24"/>
          <w:szCs w:val="24"/>
        </w:rPr>
        <w:t>continuity</w:t>
      </w:r>
      <w:r w:rsidRPr="0001137B">
        <w:rPr>
          <w:rFonts w:asciiTheme="minorHAnsi" w:hAnsiTheme="minorHAnsi"/>
          <w:sz w:val="24"/>
          <w:szCs w:val="24"/>
        </w:rPr>
        <w:t>. In spite of the obvious losses this leads to in terms of aid effectiveness, this issue is not sufficiently highlighted and therefore not remedied.</w:t>
      </w:r>
    </w:p>
    <w:p w:rsidR="00B26798" w:rsidRPr="0001137B" w:rsidRDefault="00B26798" w:rsidP="00B26798">
      <w:pPr>
        <w:pStyle w:val="Normal-Indent09cm"/>
        <w:numPr>
          <w:ilvl w:val="0"/>
          <w:numId w:val="1"/>
        </w:numPr>
        <w:spacing w:after="120" w:line="320" w:lineRule="exact"/>
        <w:rPr>
          <w:rFonts w:asciiTheme="minorHAnsi" w:hAnsiTheme="minorHAnsi"/>
          <w:sz w:val="24"/>
          <w:szCs w:val="24"/>
        </w:rPr>
      </w:pPr>
      <w:r w:rsidRPr="0001137B">
        <w:rPr>
          <w:rFonts w:asciiTheme="minorHAnsi" w:hAnsiTheme="minorHAnsi"/>
          <w:sz w:val="24"/>
          <w:szCs w:val="24"/>
        </w:rPr>
        <w:t xml:space="preserve">The current institutional set-up of aid in itself is never discussed. While it was induced when aid still took the form of one-time projects (water boreholes, building, vaccination campaigns), the reality today is one of processes rather than projects. Project funding responds to an accountability disposition based upon suspicion rather than trust. </w:t>
      </w:r>
      <w:proofErr w:type="gramStart"/>
      <w:r w:rsidRPr="0001137B">
        <w:rPr>
          <w:rFonts w:asciiTheme="minorHAnsi" w:hAnsiTheme="minorHAnsi"/>
          <w:sz w:val="24"/>
          <w:szCs w:val="24"/>
        </w:rPr>
        <w:t>New cooperation formats will not automatically be suggested by the current development aid institutions</w:t>
      </w:r>
      <w:proofErr w:type="gramEnd"/>
      <w:r w:rsidRPr="0001137B">
        <w:rPr>
          <w:rFonts w:asciiTheme="minorHAnsi" w:hAnsiTheme="minorHAnsi"/>
          <w:sz w:val="24"/>
          <w:szCs w:val="24"/>
        </w:rPr>
        <w:t>. Politicians and their advisers should see it as their task to detect potential for innovations by staying in touch with the public and the myriad channels voicing it.</w:t>
      </w:r>
    </w:p>
    <w:p w:rsidR="00B26798" w:rsidRPr="0001137B" w:rsidRDefault="00B26798" w:rsidP="00B26798">
      <w:pPr>
        <w:pStyle w:val="Normal-Indent09cm"/>
        <w:spacing w:after="120" w:line="320" w:lineRule="exact"/>
        <w:ind w:left="0"/>
        <w:rPr>
          <w:rFonts w:asciiTheme="minorHAnsi" w:hAnsiTheme="minorHAnsi"/>
          <w:sz w:val="24"/>
          <w:szCs w:val="24"/>
        </w:rPr>
      </w:pPr>
      <w:r w:rsidRPr="0001137B">
        <w:rPr>
          <w:rFonts w:asciiTheme="minorHAnsi" w:hAnsiTheme="minorHAnsi"/>
          <w:sz w:val="24"/>
          <w:szCs w:val="24"/>
        </w:rPr>
        <w:lastRenderedPageBreak/>
        <w:t xml:space="preserve">A regular and thorough examination of the level of support for development cooperation among political parties and the extent to which this support is influenced by the general public, civil society lobbying or technical expertise is therefore a useful </w:t>
      </w:r>
      <w:r>
        <w:rPr>
          <w:rFonts w:asciiTheme="minorHAnsi" w:hAnsiTheme="minorHAnsi"/>
          <w:sz w:val="24"/>
          <w:szCs w:val="24"/>
        </w:rPr>
        <w:t>avenue of investigation</w:t>
      </w:r>
      <w:r w:rsidRPr="0001137B">
        <w:rPr>
          <w:rFonts w:asciiTheme="minorHAnsi" w:hAnsiTheme="minorHAnsi"/>
          <w:sz w:val="24"/>
          <w:szCs w:val="24"/>
        </w:rPr>
        <w:t xml:space="preserve">. Also, more systematic comparative research in different countries could unveil alternative approaches for political decision-makers, approaches </w:t>
      </w:r>
      <w:proofErr w:type="gramStart"/>
      <w:r w:rsidRPr="0001137B">
        <w:rPr>
          <w:rFonts w:asciiTheme="minorHAnsi" w:hAnsiTheme="minorHAnsi"/>
          <w:sz w:val="24"/>
          <w:szCs w:val="24"/>
        </w:rPr>
        <w:t>which</w:t>
      </w:r>
      <w:proofErr w:type="gramEnd"/>
      <w:r w:rsidRPr="0001137B">
        <w:rPr>
          <w:rFonts w:asciiTheme="minorHAnsi" w:hAnsiTheme="minorHAnsi"/>
          <w:sz w:val="24"/>
          <w:szCs w:val="24"/>
        </w:rPr>
        <w:t xml:space="preserve"> would not automatically emerge from inside development actors and institutions.</w:t>
      </w:r>
    </w:p>
    <w:p w:rsidR="00B26798" w:rsidRPr="0001137B" w:rsidRDefault="00B26798" w:rsidP="00B26798">
      <w:pPr>
        <w:pStyle w:val="Titre3"/>
        <w:spacing w:before="360" w:after="240"/>
        <w:rPr>
          <w:lang w:val="en-GB"/>
        </w:rPr>
      </w:pPr>
      <w:r w:rsidRPr="0001137B">
        <w:rPr>
          <w:lang w:val="en-GB"/>
        </w:rPr>
        <w:t>Bibliographical references</w:t>
      </w:r>
    </w:p>
    <w:p w:rsidR="00B26798" w:rsidRPr="0001137B" w:rsidRDefault="00B26798" w:rsidP="00B26798">
      <w:pPr>
        <w:spacing w:after="0" w:line="240" w:lineRule="auto"/>
        <w:ind w:left="720" w:hanging="720"/>
        <w:rPr>
          <w:rFonts w:eastAsia="Times New Roman"/>
          <w:noProof/>
          <w:color w:val="000000"/>
          <w:szCs w:val="72"/>
          <w:lang w:val="en-GB" w:eastAsia="fr-BE"/>
        </w:rPr>
      </w:pPr>
      <w:bookmarkStart w:id="5" w:name="_ENREF_4"/>
      <w:r w:rsidRPr="0001137B">
        <w:rPr>
          <w:rFonts w:eastAsia="Times New Roman"/>
          <w:noProof/>
          <w:color w:val="000000"/>
          <w:szCs w:val="72"/>
          <w:lang w:val="en-GB" w:eastAsia="fr-BE"/>
        </w:rPr>
        <w:t xml:space="preserve">De Bruyn, T. &amp; Godin, J. (2010), </w:t>
      </w:r>
      <w:r w:rsidRPr="0001137B">
        <w:rPr>
          <w:rFonts w:eastAsia="Times New Roman"/>
          <w:i/>
          <w:noProof/>
          <w:color w:val="000000"/>
          <w:szCs w:val="72"/>
          <w:lang w:val="en-GB" w:eastAsia="fr-BE"/>
        </w:rPr>
        <w:t>L</w:t>
      </w:r>
      <w:r>
        <w:rPr>
          <w:rFonts w:eastAsia="Times New Roman"/>
          <w:i/>
          <w:noProof/>
          <w:color w:val="000000"/>
          <w:szCs w:val="72"/>
          <w:lang w:val="en-GB" w:eastAsia="fr-BE"/>
        </w:rPr>
        <w:t>’</w:t>
      </w:r>
      <w:r w:rsidRPr="0001137B">
        <w:rPr>
          <w:rFonts w:eastAsia="Times New Roman"/>
          <w:i/>
          <w:noProof/>
          <w:color w:val="000000"/>
          <w:szCs w:val="72"/>
          <w:lang w:val="en-GB" w:eastAsia="fr-BE"/>
        </w:rPr>
        <w:t xml:space="preserve">émergence de nouveaux acteurs de la solidarité internationale en Wallonie et à Bruxelles: une enquête exploratoire sur le </w:t>
      </w:r>
      <w:r>
        <w:rPr>
          <w:rFonts w:eastAsia="Times New Roman"/>
          <w:i/>
          <w:noProof/>
          <w:color w:val="000000"/>
          <w:szCs w:val="72"/>
          <w:lang w:val="en-GB" w:eastAsia="fr-BE"/>
        </w:rPr>
        <w:t>‘</w:t>
      </w:r>
      <w:r w:rsidRPr="0001137B">
        <w:rPr>
          <w:rFonts w:eastAsia="Times New Roman"/>
          <w:i/>
          <w:noProof/>
          <w:color w:val="000000"/>
          <w:szCs w:val="72"/>
          <w:lang w:val="en-GB" w:eastAsia="fr-BE"/>
        </w:rPr>
        <w:t>quatrième pilier</w:t>
      </w:r>
      <w:r>
        <w:rPr>
          <w:rFonts w:eastAsia="Times New Roman"/>
          <w:i/>
          <w:noProof/>
          <w:color w:val="000000"/>
          <w:szCs w:val="72"/>
          <w:lang w:val="en-GB" w:eastAsia="fr-BE"/>
        </w:rPr>
        <w:t>’</w:t>
      </w:r>
      <w:r w:rsidRPr="0001137B">
        <w:rPr>
          <w:rFonts w:eastAsia="Times New Roman"/>
          <w:noProof/>
          <w:color w:val="000000"/>
          <w:szCs w:val="72"/>
          <w:lang w:val="en-GB" w:eastAsia="fr-BE"/>
        </w:rPr>
        <w:t>, HIVA-K.U.Leuven et Service de Socio-Anthropologie du Développement, Institut des Sciences Humaines et Sociales, Université de Liège.</w:t>
      </w:r>
      <w:bookmarkEnd w:id="5"/>
    </w:p>
    <w:p w:rsidR="00B26798" w:rsidRPr="001048DE" w:rsidRDefault="00B26798" w:rsidP="00B26798">
      <w:pPr>
        <w:spacing w:after="0" w:line="240" w:lineRule="auto"/>
        <w:ind w:left="720" w:hanging="720"/>
        <w:rPr>
          <w:rFonts w:eastAsia="Times New Roman"/>
          <w:noProof/>
          <w:color w:val="000000"/>
          <w:szCs w:val="72"/>
          <w:lang w:val="nl-BE" w:eastAsia="fr-BE"/>
        </w:rPr>
      </w:pPr>
      <w:bookmarkStart w:id="6" w:name="_ENREF_5"/>
      <w:r w:rsidRPr="001048DE">
        <w:rPr>
          <w:rFonts w:eastAsia="Times New Roman"/>
          <w:noProof/>
          <w:color w:val="000000"/>
          <w:szCs w:val="72"/>
          <w:lang w:val="nl-BE" w:eastAsia="fr-BE"/>
        </w:rPr>
        <w:t xml:space="preserve">De Bruyn, T. &amp; Huyse, H. (2009), </w:t>
      </w:r>
      <w:r w:rsidRPr="001048DE">
        <w:rPr>
          <w:rFonts w:eastAsia="Times New Roman"/>
          <w:i/>
          <w:noProof/>
          <w:color w:val="000000"/>
          <w:szCs w:val="72"/>
          <w:lang w:val="nl-BE" w:eastAsia="fr-BE"/>
        </w:rPr>
        <w:t>De vierde pijler van ontwikkelingssamenwerking. Voorbij de eerste kennismaking</w:t>
      </w:r>
      <w:r w:rsidRPr="001048DE">
        <w:rPr>
          <w:rFonts w:eastAsia="Times New Roman"/>
          <w:noProof/>
          <w:color w:val="000000"/>
          <w:szCs w:val="72"/>
          <w:lang w:val="nl-BE" w:eastAsia="fr-BE"/>
        </w:rPr>
        <w:t>, VAIS.</w:t>
      </w:r>
      <w:bookmarkEnd w:id="6"/>
    </w:p>
    <w:p w:rsidR="00B26798" w:rsidRPr="001048DE" w:rsidRDefault="00B26798" w:rsidP="00B26798">
      <w:pPr>
        <w:spacing w:after="0" w:line="240" w:lineRule="auto"/>
        <w:ind w:left="720" w:hanging="720"/>
        <w:rPr>
          <w:rFonts w:eastAsia="Times New Roman"/>
          <w:noProof/>
          <w:color w:val="000000"/>
          <w:szCs w:val="72"/>
          <w:lang w:val="nl-BE" w:eastAsia="fr-BE"/>
        </w:rPr>
      </w:pPr>
      <w:bookmarkStart w:id="7" w:name="_ENREF_7"/>
      <w:r w:rsidRPr="001048DE">
        <w:rPr>
          <w:rFonts w:eastAsia="Times New Roman"/>
          <w:noProof/>
          <w:color w:val="000000"/>
          <w:szCs w:val="72"/>
          <w:lang w:val="nl-BE" w:eastAsia="fr-BE"/>
        </w:rPr>
        <w:t xml:space="preserve">Develtere, P., Fonteneau, B. &amp; Pollet, I. (2004), ‘L’évaluation dans les ONG belges: entre volonté et contrainte’, </w:t>
      </w:r>
      <w:r w:rsidRPr="001048DE">
        <w:rPr>
          <w:rFonts w:eastAsia="Times New Roman"/>
          <w:i/>
          <w:noProof/>
          <w:color w:val="000000"/>
          <w:szCs w:val="72"/>
          <w:lang w:val="nl-BE" w:eastAsia="fr-BE"/>
        </w:rPr>
        <w:t>Tiers-Monde</w:t>
      </w:r>
      <w:r w:rsidRPr="001048DE">
        <w:rPr>
          <w:rFonts w:eastAsia="Times New Roman"/>
          <w:noProof/>
          <w:color w:val="000000"/>
          <w:szCs w:val="72"/>
          <w:lang w:val="nl-BE" w:eastAsia="fr-BE"/>
        </w:rPr>
        <w:t>, 45:180, 799-823.</w:t>
      </w:r>
      <w:bookmarkEnd w:id="7"/>
    </w:p>
    <w:p w:rsidR="00B26798" w:rsidRPr="0001137B" w:rsidRDefault="00B26798" w:rsidP="00B26798">
      <w:pPr>
        <w:spacing w:after="0" w:line="240" w:lineRule="auto"/>
        <w:ind w:left="720" w:hanging="720"/>
        <w:rPr>
          <w:rFonts w:eastAsia="Times New Roman"/>
          <w:noProof/>
          <w:color w:val="000000"/>
          <w:szCs w:val="72"/>
          <w:lang w:val="en-GB" w:eastAsia="fr-BE"/>
        </w:rPr>
      </w:pPr>
      <w:bookmarkStart w:id="8" w:name="_ENREF_10"/>
      <w:r w:rsidRPr="0001137B">
        <w:rPr>
          <w:rFonts w:eastAsia="Times New Roman"/>
          <w:noProof/>
          <w:color w:val="000000"/>
          <w:szCs w:val="72"/>
          <w:lang w:val="en-GB" w:eastAsia="fr-BE"/>
        </w:rPr>
        <w:t xml:space="preserve">Dror, Y. (1989), </w:t>
      </w:r>
      <w:r w:rsidRPr="0001137B">
        <w:rPr>
          <w:rFonts w:eastAsia="Times New Roman"/>
          <w:i/>
          <w:noProof/>
          <w:color w:val="000000"/>
          <w:szCs w:val="72"/>
          <w:lang w:val="en-GB" w:eastAsia="fr-BE"/>
        </w:rPr>
        <w:t>Public p</w:t>
      </w:r>
      <w:r>
        <w:rPr>
          <w:rFonts w:eastAsia="Times New Roman"/>
          <w:i/>
          <w:noProof/>
          <w:color w:val="000000"/>
          <w:szCs w:val="72"/>
          <w:lang w:val="en-GB" w:eastAsia="fr-BE"/>
        </w:rPr>
        <w:t>olicymak</w:t>
      </w:r>
      <w:r w:rsidRPr="0001137B">
        <w:rPr>
          <w:rFonts w:eastAsia="Times New Roman"/>
          <w:i/>
          <w:noProof/>
          <w:color w:val="000000"/>
          <w:szCs w:val="72"/>
          <w:lang w:val="en-GB" w:eastAsia="fr-BE"/>
        </w:rPr>
        <w:t>ing reexamined</w:t>
      </w:r>
      <w:r w:rsidRPr="0001137B">
        <w:rPr>
          <w:rFonts w:eastAsia="Times New Roman"/>
          <w:noProof/>
          <w:color w:val="000000"/>
          <w:szCs w:val="72"/>
          <w:lang w:val="en-GB" w:eastAsia="fr-BE"/>
        </w:rPr>
        <w:t>, Transaction, New Brunswick.</w:t>
      </w:r>
      <w:bookmarkEnd w:id="8"/>
    </w:p>
    <w:p w:rsidR="00B26798" w:rsidRPr="0001137B" w:rsidRDefault="00B26798" w:rsidP="00B26798">
      <w:pPr>
        <w:spacing w:after="0" w:line="240" w:lineRule="auto"/>
        <w:ind w:left="720" w:hanging="720"/>
        <w:rPr>
          <w:rFonts w:eastAsia="Times New Roman"/>
          <w:noProof/>
          <w:color w:val="000000"/>
          <w:szCs w:val="72"/>
          <w:lang w:val="en-GB" w:eastAsia="fr-BE"/>
        </w:rPr>
      </w:pPr>
      <w:bookmarkStart w:id="9" w:name="_ENREF_12"/>
      <w:r w:rsidRPr="0001137B">
        <w:rPr>
          <w:rFonts w:eastAsia="Times New Roman"/>
          <w:noProof/>
          <w:color w:val="000000"/>
          <w:szCs w:val="72"/>
          <w:lang w:val="en-GB" w:eastAsia="fr-BE"/>
        </w:rPr>
        <w:t xml:space="preserve">Grenade, F. (2007), </w:t>
      </w:r>
      <w:r w:rsidRPr="0001137B">
        <w:rPr>
          <w:rFonts w:eastAsia="Times New Roman"/>
          <w:i/>
          <w:noProof/>
          <w:color w:val="000000"/>
          <w:szCs w:val="72"/>
          <w:lang w:val="en-GB" w:eastAsia="fr-BE"/>
        </w:rPr>
        <w:t>L</w:t>
      </w:r>
      <w:r>
        <w:rPr>
          <w:rFonts w:eastAsia="Times New Roman"/>
          <w:i/>
          <w:noProof/>
          <w:color w:val="000000"/>
          <w:szCs w:val="72"/>
          <w:lang w:val="en-GB" w:eastAsia="fr-BE"/>
        </w:rPr>
        <w:t>’</w:t>
      </w:r>
      <w:r w:rsidRPr="0001137B">
        <w:rPr>
          <w:rFonts w:eastAsia="Times New Roman"/>
          <w:i/>
          <w:noProof/>
          <w:color w:val="000000"/>
          <w:szCs w:val="72"/>
          <w:lang w:val="en-GB" w:eastAsia="fr-BE"/>
        </w:rPr>
        <w:t>engagement politique des organisations non gouvernementales de coopération au développement</w:t>
      </w:r>
      <w:r w:rsidRPr="0001137B">
        <w:rPr>
          <w:rFonts w:eastAsia="Times New Roman"/>
          <w:noProof/>
          <w:color w:val="000000"/>
          <w:szCs w:val="72"/>
          <w:lang w:val="en-GB" w:eastAsia="fr-BE"/>
        </w:rPr>
        <w:t>, Université de Liège.</w:t>
      </w:r>
      <w:bookmarkEnd w:id="9"/>
    </w:p>
    <w:p w:rsidR="00B26798" w:rsidRPr="0001137B" w:rsidRDefault="00B26798" w:rsidP="00B26798">
      <w:pPr>
        <w:spacing w:after="0" w:line="240" w:lineRule="auto"/>
        <w:ind w:left="720" w:hanging="720"/>
        <w:rPr>
          <w:rFonts w:eastAsia="Times New Roman"/>
          <w:noProof/>
          <w:color w:val="000000"/>
          <w:szCs w:val="72"/>
          <w:lang w:val="en-GB" w:eastAsia="fr-BE"/>
        </w:rPr>
      </w:pPr>
      <w:r w:rsidRPr="0001137B">
        <w:rPr>
          <w:rFonts w:eastAsia="Times New Roman"/>
          <w:noProof/>
          <w:color w:val="000000"/>
          <w:szCs w:val="72"/>
          <w:lang w:val="en-GB" w:eastAsia="fr-BE"/>
        </w:rPr>
        <w:t>Huybrechts, B., Mouchamps H., Urbain C., and Lizin, O (2012)., Pulse project: Political barometer. How public authorities and civil society interact to forster public support for development cooperation, Centre d</w:t>
      </w:r>
      <w:r>
        <w:rPr>
          <w:rFonts w:eastAsia="Times New Roman"/>
          <w:noProof/>
          <w:color w:val="000000"/>
          <w:szCs w:val="72"/>
          <w:lang w:val="en-GB" w:eastAsia="fr-BE"/>
        </w:rPr>
        <w:t>’</w:t>
      </w:r>
      <w:r w:rsidRPr="0001137B">
        <w:rPr>
          <w:rFonts w:eastAsia="Times New Roman"/>
          <w:noProof/>
          <w:color w:val="000000"/>
          <w:szCs w:val="72"/>
          <w:lang w:val="en-GB" w:eastAsia="fr-BE"/>
        </w:rPr>
        <w:t>Économie Sociale, Université de Liège.</w:t>
      </w:r>
    </w:p>
    <w:p w:rsidR="00B26798" w:rsidRPr="0001137B" w:rsidRDefault="00B26798" w:rsidP="00B26798">
      <w:pPr>
        <w:spacing w:after="0" w:line="240" w:lineRule="auto"/>
        <w:ind w:left="720" w:hanging="720"/>
        <w:rPr>
          <w:rFonts w:eastAsia="Times New Roman"/>
          <w:noProof/>
          <w:color w:val="000000"/>
          <w:szCs w:val="72"/>
          <w:lang w:val="en-GB" w:eastAsia="fr-BE"/>
        </w:rPr>
      </w:pPr>
      <w:bookmarkStart w:id="10" w:name="_ENREF_13"/>
      <w:r w:rsidRPr="0001137B">
        <w:rPr>
          <w:rFonts w:eastAsia="Times New Roman"/>
          <w:noProof/>
          <w:color w:val="000000"/>
          <w:szCs w:val="72"/>
          <w:lang w:val="en-GB" w:eastAsia="fr-BE"/>
        </w:rPr>
        <w:t>Kinder, D. &amp; Sears, O. (1985), Public Opinion and Political Action, in: G. Lindzet and E. Aronson (eds), The Handbook of Social Psychology, Vol II, Third Edition. New York: Random House, pp. 659-741.</w:t>
      </w:r>
    </w:p>
    <w:p w:rsidR="00B26798" w:rsidRPr="0001137B" w:rsidRDefault="00B26798" w:rsidP="00B26798">
      <w:pPr>
        <w:spacing w:after="0" w:line="240" w:lineRule="auto"/>
        <w:ind w:left="720" w:hanging="720"/>
        <w:rPr>
          <w:rFonts w:eastAsia="Times New Roman"/>
          <w:noProof/>
          <w:color w:val="000000"/>
          <w:szCs w:val="72"/>
          <w:lang w:val="en-GB" w:eastAsia="fr-BE"/>
        </w:rPr>
      </w:pPr>
      <w:r w:rsidRPr="0001137B">
        <w:rPr>
          <w:rFonts w:eastAsia="Times New Roman"/>
          <w:noProof/>
          <w:color w:val="000000"/>
          <w:szCs w:val="72"/>
          <w:lang w:val="en-GB" w:eastAsia="fr-BE"/>
        </w:rPr>
        <w:t xml:space="preserve">Lambert, A. &amp; De Smedt, E. (2006), </w:t>
      </w:r>
      <w:r w:rsidRPr="0001137B">
        <w:rPr>
          <w:rFonts w:eastAsia="Times New Roman"/>
          <w:i/>
          <w:noProof/>
          <w:color w:val="000000"/>
          <w:szCs w:val="72"/>
          <w:lang w:val="en-GB" w:eastAsia="fr-BE"/>
        </w:rPr>
        <w:t>Etude du rôle et des fonctions des coupoles et fédérations d</w:t>
      </w:r>
      <w:r>
        <w:rPr>
          <w:rFonts w:eastAsia="Times New Roman"/>
          <w:i/>
          <w:noProof/>
          <w:color w:val="000000"/>
          <w:szCs w:val="72"/>
          <w:lang w:val="en-GB" w:eastAsia="fr-BE"/>
        </w:rPr>
        <w:t>’</w:t>
      </w:r>
      <w:r w:rsidRPr="0001137B">
        <w:rPr>
          <w:rFonts w:eastAsia="Times New Roman"/>
          <w:i/>
          <w:noProof/>
          <w:color w:val="000000"/>
          <w:szCs w:val="72"/>
          <w:lang w:val="en-GB" w:eastAsia="fr-BE"/>
        </w:rPr>
        <w:t>ONG en Belgique</w:t>
      </w:r>
      <w:r w:rsidRPr="0001137B">
        <w:rPr>
          <w:rFonts w:eastAsia="Times New Roman"/>
          <w:noProof/>
          <w:color w:val="000000"/>
          <w:szCs w:val="72"/>
          <w:lang w:val="en-GB" w:eastAsia="fr-BE"/>
        </w:rPr>
        <w:t>, Direction générale de la coopération au développement, Bruxelles.</w:t>
      </w:r>
      <w:bookmarkEnd w:id="10"/>
    </w:p>
    <w:p w:rsidR="00B26798" w:rsidRPr="0001137B" w:rsidRDefault="00B26798" w:rsidP="00B26798">
      <w:pPr>
        <w:spacing w:after="0" w:line="240" w:lineRule="auto"/>
        <w:ind w:left="720" w:hanging="720"/>
        <w:rPr>
          <w:rFonts w:eastAsia="Times New Roman"/>
          <w:noProof/>
          <w:color w:val="000000"/>
          <w:szCs w:val="72"/>
          <w:lang w:val="en-GB" w:eastAsia="fr-BE"/>
        </w:rPr>
      </w:pPr>
      <w:bookmarkStart w:id="11" w:name="_ENREF_14"/>
      <w:r w:rsidRPr="0001137B">
        <w:rPr>
          <w:rFonts w:eastAsia="Times New Roman"/>
          <w:noProof/>
          <w:color w:val="000000"/>
          <w:szCs w:val="72"/>
          <w:lang w:val="en-GB" w:eastAsia="fr-BE"/>
        </w:rPr>
        <w:t xml:space="preserve">Lasswell, H. D. (1956), </w:t>
      </w:r>
      <w:r w:rsidRPr="0001137B">
        <w:rPr>
          <w:rFonts w:eastAsia="Times New Roman"/>
          <w:i/>
          <w:noProof/>
          <w:color w:val="000000"/>
          <w:szCs w:val="72"/>
          <w:lang w:val="en-GB" w:eastAsia="fr-BE"/>
        </w:rPr>
        <w:t>The decision process: seven categories of functional analysis</w:t>
      </w:r>
      <w:r w:rsidRPr="0001137B">
        <w:rPr>
          <w:rFonts w:eastAsia="Times New Roman"/>
          <w:noProof/>
          <w:color w:val="000000"/>
          <w:szCs w:val="72"/>
          <w:lang w:val="en-GB" w:eastAsia="fr-BE"/>
        </w:rPr>
        <w:t>, Bureau of Governmental Research, College of Business and Public Administration, University of Maryland.</w:t>
      </w:r>
      <w:bookmarkEnd w:id="11"/>
    </w:p>
    <w:p w:rsidR="00B26798" w:rsidRPr="0001137B" w:rsidRDefault="00B26798" w:rsidP="00B26798">
      <w:pPr>
        <w:spacing w:after="0" w:line="240" w:lineRule="auto"/>
        <w:ind w:left="720" w:hanging="720"/>
        <w:rPr>
          <w:rFonts w:eastAsia="Times New Roman"/>
          <w:noProof/>
          <w:color w:val="000000"/>
          <w:szCs w:val="72"/>
          <w:lang w:val="en-GB" w:eastAsia="fr-BE"/>
        </w:rPr>
      </w:pPr>
      <w:bookmarkStart w:id="12" w:name="_ENREF_16"/>
      <w:r w:rsidRPr="0001137B">
        <w:rPr>
          <w:rFonts w:eastAsia="Times New Roman"/>
          <w:noProof/>
          <w:color w:val="000000"/>
          <w:szCs w:val="72"/>
          <w:lang w:val="en-GB" w:eastAsia="fr-BE"/>
        </w:rPr>
        <w:t xml:space="preserve">Mahy, L. (2011), </w:t>
      </w:r>
      <w:r w:rsidRPr="0001137B">
        <w:rPr>
          <w:rFonts w:eastAsia="Times New Roman"/>
          <w:i/>
          <w:noProof/>
          <w:color w:val="000000"/>
          <w:szCs w:val="72"/>
          <w:lang w:val="en-GB" w:eastAsia="fr-BE"/>
        </w:rPr>
        <w:t>Analyse du processus de cofinancement des programmes ONG par la DGD sous l</w:t>
      </w:r>
      <w:r>
        <w:rPr>
          <w:rFonts w:eastAsia="Times New Roman"/>
          <w:i/>
          <w:noProof/>
          <w:color w:val="000000"/>
          <w:szCs w:val="72"/>
          <w:lang w:val="en-GB" w:eastAsia="fr-BE"/>
        </w:rPr>
        <w:t>’</w:t>
      </w:r>
      <w:r w:rsidRPr="0001137B">
        <w:rPr>
          <w:rFonts w:eastAsia="Times New Roman"/>
          <w:i/>
          <w:noProof/>
          <w:color w:val="000000"/>
          <w:szCs w:val="72"/>
          <w:lang w:val="en-GB" w:eastAsia="fr-BE"/>
        </w:rPr>
        <w:t>angle de la justification décisionnelle</w:t>
      </w:r>
      <w:r w:rsidRPr="0001137B">
        <w:rPr>
          <w:rFonts w:eastAsia="Times New Roman"/>
          <w:noProof/>
          <w:color w:val="000000"/>
          <w:szCs w:val="72"/>
          <w:lang w:val="en-GB" w:eastAsia="fr-BE"/>
        </w:rPr>
        <w:t>, Université de Liège.</w:t>
      </w:r>
      <w:bookmarkEnd w:id="12"/>
    </w:p>
    <w:p w:rsidR="00B26798" w:rsidRPr="0001137B" w:rsidRDefault="00B26798" w:rsidP="00B26798">
      <w:pPr>
        <w:spacing w:after="0" w:line="240" w:lineRule="auto"/>
        <w:ind w:left="720" w:hanging="720"/>
        <w:rPr>
          <w:rFonts w:eastAsia="Times New Roman"/>
          <w:noProof/>
          <w:color w:val="000000"/>
          <w:szCs w:val="72"/>
          <w:lang w:val="en-GB" w:eastAsia="fr-BE"/>
        </w:rPr>
      </w:pPr>
      <w:bookmarkStart w:id="13" w:name="_ENREF_17"/>
      <w:r w:rsidRPr="0001137B">
        <w:rPr>
          <w:rFonts w:eastAsia="Times New Roman"/>
          <w:noProof/>
          <w:color w:val="000000"/>
          <w:szCs w:val="72"/>
          <w:lang w:val="en-GB" w:eastAsia="fr-BE"/>
        </w:rPr>
        <w:t xml:space="preserve">Martens, K. (2002), </w:t>
      </w:r>
      <w:r>
        <w:rPr>
          <w:rFonts w:eastAsia="Times New Roman"/>
          <w:noProof/>
          <w:color w:val="000000"/>
          <w:szCs w:val="72"/>
          <w:lang w:val="en-GB" w:eastAsia="fr-BE"/>
        </w:rPr>
        <w:t>‘</w:t>
      </w:r>
      <w:r w:rsidRPr="0001137B">
        <w:rPr>
          <w:rFonts w:eastAsia="Times New Roman"/>
          <w:noProof/>
          <w:color w:val="000000"/>
          <w:szCs w:val="72"/>
          <w:lang w:val="en-GB" w:eastAsia="fr-BE"/>
        </w:rPr>
        <w:t>Mission Impossible? Defining Nongovernmental Organ</w:t>
      </w:r>
      <w:r>
        <w:rPr>
          <w:rFonts w:eastAsia="Times New Roman"/>
          <w:noProof/>
          <w:color w:val="000000"/>
          <w:szCs w:val="72"/>
          <w:lang w:val="en-GB" w:eastAsia="fr-BE"/>
        </w:rPr>
        <w:t>isa</w:t>
      </w:r>
      <w:r w:rsidRPr="0001137B">
        <w:rPr>
          <w:rFonts w:eastAsia="Times New Roman"/>
          <w:noProof/>
          <w:color w:val="000000"/>
          <w:szCs w:val="72"/>
          <w:lang w:val="en-GB" w:eastAsia="fr-BE"/>
        </w:rPr>
        <w:t>tions</w:t>
      </w:r>
      <w:r>
        <w:rPr>
          <w:rFonts w:eastAsia="Times New Roman"/>
          <w:noProof/>
          <w:color w:val="000000"/>
          <w:szCs w:val="72"/>
          <w:lang w:val="en-GB" w:eastAsia="fr-BE"/>
        </w:rPr>
        <w:t>’</w:t>
      </w:r>
      <w:r w:rsidRPr="0001137B">
        <w:rPr>
          <w:rFonts w:eastAsia="Times New Roman"/>
          <w:noProof/>
          <w:color w:val="000000"/>
          <w:szCs w:val="72"/>
          <w:lang w:val="en-GB" w:eastAsia="fr-BE"/>
        </w:rPr>
        <w:t xml:space="preserve">, </w:t>
      </w:r>
      <w:r w:rsidRPr="0001137B">
        <w:rPr>
          <w:rFonts w:eastAsia="Times New Roman"/>
          <w:i/>
          <w:noProof/>
          <w:color w:val="000000"/>
          <w:szCs w:val="72"/>
          <w:lang w:val="en-GB" w:eastAsia="fr-BE"/>
        </w:rPr>
        <w:t>Voluntas: International Journal of Voluntary and Nonprofit Organ</w:t>
      </w:r>
      <w:r>
        <w:rPr>
          <w:rFonts w:eastAsia="Times New Roman"/>
          <w:i/>
          <w:noProof/>
          <w:color w:val="000000"/>
          <w:szCs w:val="72"/>
          <w:lang w:val="en-GB" w:eastAsia="fr-BE"/>
        </w:rPr>
        <w:t>isa</w:t>
      </w:r>
      <w:r w:rsidRPr="0001137B">
        <w:rPr>
          <w:rFonts w:eastAsia="Times New Roman"/>
          <w:i/>
          <w:noProof/>
          <w:color w:val="000000"/>
          <w:szCs w:val="72"/>
          <w:lang w:val="en-GB" w:eastAsia="fr-BE"/>
        </w:rPr>
        <w:t>tions</w:t>
      </w:r>
      <w:r w:rsidRPr="0001137B">
        <w:rPr>
          <w:rFonts w:eastAsia="Times New Roman"/>
          <w:noProof/>
          <w:color w:val="000000"/>
          <w:szCs w:val="72"/>
          <w:lang w:val="en-GB" w:eastAsia="fr-BE"/>
        </w:rPr>
        <w:t>, 13:3, 271-285.</w:t>
      </w:r>
      <w:bookmarkEnd w:id="13"/>
    </w:p>
    <w:p w:rsidR="00B26798" w:rsidRPr="0001137B" w:rsidRDefault="00B26798" w:rsidP="00B26798">
      <w:pPr>
        <w:spacing w:after="0" w:line="240" w:lineRule="auto"/>
        <w:ind w:left="720" w:hanging="720"/>
        <w:rPr>
          <w:rFonts w:eastAsia="Times New Roman"/>
          <w:noProof/>
          <w:color w:val="000000"/>
          <w:szCs w:val="72"/>
          <w:lang w:val="en-GB" w:eastAsia="fr-BE"/>
        </w:rPr>
      </w:pPr>
      <w:bookmarkStart w:id="14" w:name="_ENREF_21"/>
      <w:r w:rsidRPr="0001137B">
        <w:rPr>
          <w:rFonts w:eastAsia="Times New Roman"/>
          <w:noProof/>
          <w:color w:val="000000"/>
          <w:szCs w:val="72"/>
          <w:lang w:val="en-GB" w:eastAsia="fr-BE"/>
        </w:rPr>
        <w:t xml:space="preserve">Stangherlin, G. (2001), </w:t>
      </w:r>
      <w:r>
        <w:rPr>
          <w:rFonts w:eastAsia="Times New Roman"/>
          <w:noProof/>
          <w:color w:val="000000"/>
          <w:szCs w:val="72"/>
          <w:lang w:val="en-GB" w:eastAsia="fr-BE"/>
        </w:rPr>
        <w:t>‘</w:t>
      </w:r>
      <w:r w:rsidRPr="0001137B">
        <w:rPr>
          <w:rFonts w:eastAsia="Times New Roman"/>
          <w:noProof/>
          <w:color w:val="000000"/>
          <w:szCs w:val="72"/>
          <w:lang w:val="en-GB" w:eastAsia="fr-BE"/>
        </w:rPr>
        <w:t>Les organisations non gouvernementales de coopération au développement. Origine, cadre juridique, cofinancement et enjeux</w:t>
      </w:r>
      <w:r>
        <w:rPr>
          <w:rFonts w:eastAsia="Times New Roman"/>
          <w:noProof/>
          <w:color w:val="000000"/>
          <w:szCs w:val="72"/>
          <w:lang w:val="en-GB" w:eastAsia="fr-BE"/>
        </w:rPr>
        <w:t>’</w:t>
      </w:r>
      <w:r w:rsidRPr="0001137B">
        <w:rPr>
          <w:rFonts w:eastAsia="Times New Roman"/>
          <w:noProof/>
          <w:color w:val="000000"/>
          <w:szCs w:val="72"/>
          <w:lang w:val="en-GB" w:eastAsia="fr-BE"/>
        </w:rPr>
        <w:t xml:space="preserve">, </w:t>
      </w:r>
      <w:r w:rsidRPr="0001137B">
        <w:rPr>
          <w:rFonts w:eastAsia="Times New Roman"/>
          <w:i/>
          <w:noProof/>
          <w:color w:val="000000"/>
          <w:szCs w:val="72"/>
          <w:lang w:val="en-GB" w:eastAsia="fr-BE"/>
        </w:rPr>
        <w:t>Cahiers du CRISP</w:t>
      </w:r>
      <w:r w:rsidRPr="0001137B">
        <w:rPr>
          <w:rFonts w:eastAsia="Times New Roman"/>
          <w:noProof/>
          <w:color w:val="000000"/>
          <w:szCs w:val="72"/>
          <w:lang w:val="en-GB" w:eastAsia="fr-BE"/>
        </w:rPr>
        <w:t>, 9-10:1714-1715, 5-69.</w:t>
      </w:r>
      <w:bookmarkEnd w:id="14"/>
    </w:p>
    <w:p w:rsidR="00B26798" w:rsidRPr="0001137B" w:rsidRDefault="00B26798" w:rsidP="00B26798">
      <w:pPr>
        <w:spacing w:after="0" w:line="240" w:lineRule="auto"/>
        <w:ind w:left="720" w:hanging="720"/>
        <w:rPr>
          <w:rFonts w:eastAsia="Times New Roman"/>
          <w:noProof/>
          <w:color w:val="000000"/>
          <w:szCs w:val="72"/>
          <w:lang w:val="en-GB" w:eastAsia="fr-BE"/>
        </w:rPr>
      </w:pPr>
      <w:bookmarkStart w:id="15" w:name="_ENREF_23"/>
      <w:r w:rsidRPr="0001137B">
        <w:rPr>
          <w:rFonts w:eastAsia="Times New Roman"/>
          <w:noProof/>
          <w:color w:val="000000"/>
          <w:szCs w:val="72"/>
          <w:lang w:val="en-GB" w:eastAsia="fr-BE"/>
        </w:rPr>
        <w:t xml:space="preserve">Sutton, R. (1999), </w:t>
      </w:r>
      <w:r w:rsidRPr="0001137B">
        <w:rPr>
          <w:rFonts w:eastAsia="Times New Roman"/>
          <w:i/>
          <w:noProof/>
          <w:color w:val="000000"/>
          <w:szCs w:val="72"/>
          <w:lang w:val="en-GB" w:eastAsia="fr-BE"/>
        </w:rPr>
        <w:t>The Policy Process: An Overview</w:t>
      </w:r>
      <w:r w:rsidRPr="0001137B">
        <w:rPr>
          <w:rFonts w:eastAsia="Times New Roman"/>
          <w:noProof/>
          <w:color w:val="000000"/>
          <w:szCs w:val="72"/>
          <w:lang w:val="en-GB" w:eastAsia="fr-BE"/>
        </w:rPr>
        <w:t>, ODI Working Paper 118, London.</w:t>
      </w:r>
      <w:bookmarkEnd w:id="15"/>
    </w:p>
    <w:p w:rsidR="00B26798" w:rsidRPr="0001137B" w:rsidRDefault="00B26798" w:rsidP="00B26798">
      <w:pPr>
        <w:pStyle w:val="Normal-Indent09cm"/>
        <w:spacing w:line="300" w:lineRule="exact"/>
        <w:ind w:left="0"/>
        <w:jc w:val="left"/>
        <w:rPr>
          <w:rFonts w:asciiTheme="minorHAnsi" w:hAnsiTheme="minorHAnsi"/>
          <w:sz w:val="24"/>
          <w:szCs w:val="24"/>
        </w:rPr>
      </w:pPr>
    </w:p>
    <w:p w:rsidR="00C40522" w:rsidRPr="00B26798" w:rsidRDefault="00FB0996">
      <w:pPr>
        <w:rPr>
          <w:lang w:val="en-GB"/>
        </w:rPr>
      </w:pPr>
    </w:p>
    <w:sectPr w:rsidR="00C40522" w:rsidRPr="00B267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Palatino">
    <w:altName w:val="Book Antiqua"/>
    <w:panose1 w:val="020005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0EAD"/>
    <w:multiLevelType w:val="hybridMultilevel"/>
    <w:tmpl w:val="A1FE212C"/>
    <w:lvl w:ilvl="0" w:tplc="015A3F4C">
      <w:numFmt w:val="bullet"/>
      <w:lvlText w:val="-"/>
      <w:lvlJc w:val="left"/>
      <w:pPr>
        <w:ind w:left="720" w:hanging="360"/>
      </w:pPr>
      <w:rPr>
        <w:rFonts w:ascii="Garamond" w:eastAsia="Times New Roman" w:hAnsi="Garamond"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798"/>
    <w:rsid w:val="00284501"/>
    <w:rsid w:val="005E22C6"/>
    <w:rsid w:val="00B26798"/>
    <w:rsid w:val="00FB099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798"/>
    <w:pPr>
      <w:jc w:val="both"/>
    </w:pPr>
    <w:rPr>
      <w:rFonts w:eastAsiaTheme="minorEastAsia"/>
      <w:sz w:val="20"/>
      <w:szCs w:val="20"/>
      <w:lang w:val="en-US" w:bidi="en-US"/>
    </w:rPr>
  </w:style>
  <w:style w:type="paragraph" w:styleId="Titre1">
    <w:name w:val="heading 1"/>
    <w:basedOn w:val="Normal"/>
    <w:next w:val="Normal"/>
    <w:link w:val="Titre1Car"/>
    <w:qFormat/>
    <w:rsid w:val="00B26798"/>
    <w:pPr>
      <w:spacing w:before="300" w:after="40"/>
      <w:jc w:val="left"/>
      <w:outlineLvl w:val="0"/>
    </w:pPr>
    <w:rPr>
      <w:smallCaps/>
      <w:spacing w:val="5"/>
      <w:sz w:val="32"/>
      <w:szCs w:val="32"/>
    </w:rPr>
  </w:style>
  <w:style w:type="paragraph" w:styleId="Titre2">
    <w:name w:val="heading 2"/>
    <w:basedOn w:val="Normal"/>
    <w:next w:val="Normal"/>
    <w:link w:val="Titre2Car"/>
    <w:unhideWhenUsed/>
    <w:qFormat/>
    <w:rsid w:val="00B26798"/>
    <w:pPr>
      <w:spacing w:before="240" w:after="80"/>
      <w:jc w:val="left"/>
      <w:outlineLvl w:val="1"/>
    </w:pPr>
    <w:rPr>
      <w:smallCaps/>
      <w:spacing w:val="5"/>
      <w:sz w:val="28"/>
      <w:szCs w:val="28"/>
    </w:rPr>
  </w:style>
  <w:style w:type="paragraph" w:styleId="Titre3">
    <w:name w:val="heading 3"/>
    <w:basedOn w:val="Normal"/>
    <w:next w:val="Normal"/>
    <w:link w:val="Titre3Car"/>
    <w:uiPriority w:val="99"/>
    <w:unhideWhenUsed/>
    <w:qFormat/>
    <w:rsid w:val="00B26798"/>
    <w:pPr>
      <w:spacing w:after="0"/>
      <w:jc w:val="left"/>
      <w:outlineLvl w:val="2"/>
    </w:pPr>
    <w:rPr>
      <w:smallCaps/>
      <w:spacing w:val="5"/>
      <w:sz w:val="24"/>
      <w:szCs w:val="24"/>
    </w:rPr>
  </w:style>
  <w:style w:type="paragraph" w:styleId="Titre7">
    <w:name w:val="heading 7"/>
    <w:basedOn w:val="Normal"/>
    <w:next w:val="Normal"/>
    <w:link w:val="Titre7Car"/>
    <w:uiPriority w:val="9"/>
    <w:unhideWhenUsed/>
    <w:qFormat/>
    <w:rsid w:val="00B26798"/>
    <w:pPr>
      <w:spacing w:after="0"/>
      <w:jc w:val="left"/>
      <w:outlineLvl w:val="6"/>
    </w:pPr>
    <w:rPr>
      <w:b/>
      <w:smallCaps/>
      <w:color w:val="C0504D" w:themeColor="accent2"/>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26798"/>
    <w:rPr>
      <w:rFonts w:eastAsiaTheme="minorEastAsia"/>
      <w:smallCaps/>
      <w:spacing w:val="5"/>
      <w:sz w:val="32"/>
      <w:szCs w:val="32"/>
      <w:lang w:val="en-US" w:bidi="en-US"/>
    </w:rPr>
  </w:style>
  <w:style w:type="character" w:customStyle="1" w:styleId="Titre2Car">
    <w:name w:val="Titre 2 Car"/>
    <w:basedOn w:val="Policepardfaut"/>
    <w:link w:val="Titre2"/>
    <w:rsid w:val="00B26798"/>
    <w:rPr>
      <w:rFonts w:eastAsiaTheme="minorEastAsia"/>
      <w:smallCaps/>
      <w:spacing w:val="5"/>
      <w:sz w:val="28"/>
      <w:szCs w:val="28"/>
      <w:lang w:val="en-US" w:bidi="en-US"/>
    </w:rPr>
  </w:style>
  <w:style w:type="character" w:customStyle="1" w:styleId="Titre3Car">
    <w:name w:val="Titre 3 Car"/>
    <w:basedOn w:val="Policepardfaut"/>
    <w:link w:val="Titre3"/>
    <w:uiPriority w:val="99"/>
    <w:rsid w:val="00B26798"/>
    <w:rPr>
      <w:rFonts w:eastAsiaTheme="minorEastAsia"/>
      <w:smallCaps/>
      <w:spacing w:val="5"/>
      <w:sz w:val="24"/>
      <w:szCs w:val="24"/>
      <w:lang w:val="en-US" w:bidi="en-US"/>
    </w:rPr>
  </w:style>
  <w:style w:type="character" w:customStyle="1" w:styleId="Titre7Car">
    <w:name w:val="Titre 7 Car"/>
    <w:basedOn w:val="Policepardfaut"/>
    <w:link w:val="Titre7"/>
    <w:uiPriority w:val="9"/>
    <w:rsid w:val="00B26798"/>
    <w:rPr>
      <w:rFonts w:eastAsiaTheme="minorEastAsia"/>
      <w:b/>
      <w:smallCaps/>
      <w:color w:val="C0504D" w:themeColor="accent2"/>
      <w:spacing w:val="10"/>
      <w:sz w:val="20"/>
      <w:szCs w:val="20"/>
      <w:lang w:val="en-US" w:bidi="en-US"/>
    </w:rPr>
  </w:style>
  <w:style w:type="paragraph" w:styleId="Retraitnormal">
    <w:name w:val="Normal Indent"/>
    <w:basedOn w:val="Normal"/>
    <w:uiPriority w:val="99"/>
    <w:qFormat/>
    <w:rsid w:val="00B26798"/>
    <w:pPr>
      <w:spacing w:line="360" w:lineRule="exact"/>
      <w:ind w:left="720"/>
    </w:pPr>
    <w:rPr>
      <w:rFonts w:ascii="Palatino" w:hAnsi="Palatino"/>
      <w:sz w:val="24"/>
      <w:szCs w:val="24"/>
    </w:rPr>
  </w:style>
  <w:style w:type="paragraph" w:styleId="NormalWeb">
    <w:name w:val="Normal (Web)"/>
    <w:basedOn w:val="Normal"/>
    <w:uiPriority w:val="99"/>
    <w:rsid w:val="00B26798"/>
    <w:pPr>
      <w:spacing w:before="100" w:beforeAutospacing="1" w:after="100" w:afterAutospacing="1" w:line="240" w:lineRule="auto"/>
      <w:jc w:val="left"/>
    </w:pPr>
    <w:rPr>
      <w:rFonts w:ascii="Times New Roman" w:hAnsi="Times New Roman"/>
      <w:sz w:val="24"/>
      <w:szCs w:val="24"/>
    </w:rPr>
  </w:style>
  <w:style w:type="character" w:styleId="Accentuationdiscrte">
    <w:name w:val="Subtle Emphasis"/>
    <w:uiPriority w:val="19"/>
    <w:qFormat/>
    <w:rsid w:val="00B26798"/>
    <w:rPr>
      <w:i/>
    </w:rPr>
  </w:style>
  <w:style w:type="paragraph" w:customStyle="1" w:styleId="Normal-1WitregelVoor">
    <w:name w:val="_Normal-1WitregelVoor"/>
    <w:basedOn w:val="Normal"/>
    <w:next w:val="Retraitnormal"/>
    <w:uiPriority w:val="99"/>
    <w:qFormat/>
    <w:rsid w:val="00B26798"/>
    <w:pPr>
      <w:spacing w:before="274" w:after="0" w:line="274" w:lineRule="exact"/>
    </w:pPr>
    <w:rPr>
      <w:rFonts w:ascii="Garamond" w:eastAsia="Times New Roman" w:hAnsi="Garamond" w:cs="Times New Roman"/>
      <w:sz w:val="22"/>
      <w:szCs w:val="17"/>
      <w:lang w:val="nl-BE" w:eastAsia="nl-NL" w:bidi="ar-SA"/>
    </w:rPr>
  </w:style>
  <w:style w:type="paragraph" w:customStyle="1" w:styleId="Normal-Indent09cm">
    <w:name w:val="_Normal-Indent 0.9cm"/>
    <w:basedOn w:val="Normal"/>
    <w:qFormat/>
    <w:rsid w:val="00B26798"/>
    <w:pPr>
      <w:spacing w:after="0" w:line="274" w:lineRule="exact"/>
      <w:ind w:left="510"/>
    </w:pPr>
    <w:rPr>
      <w:rFonts w:ascii="Garamond" w:eastAsia="Times New Roman" w:hAnsi="Garamond" w:cs="Times New Roman"/>
      <w:sz w:val="22"/>
      <w:szCs w:val="17"/>
      <w:lang w:val="en-GB" w:eastAsia="nl-NL" w:bidi="ar-SA"/>
    </w:rPr>
  </w:style>
  <w:style w:type="table" w:customStyle="1" w:styleId="LightShading1">
    <w:name w:val="Light Shading1"/>
    <w:aliases w:val="Table1-HIVA"/>
    <w:basedOn w:val="TableauNormal"/>
    <w:uiPriority w:val="99"/>
    <w:qFormat/>
    <w:rsid w:val="00B26798"/>
    <w:pPr>
      <w:keepNext/>
      <w:keepLines/>
      <w:spacing w:after="0" w:line="274" w:lineRule="exact"/>
      <w:ind w:left="57" w:right="57"/>
    </w:pPr>
    <w:rPr>
      <w:rFonts w:ascii="Garamond" w:eastAsia="Times New Roman" w:hAnsi="Garamond" w:cs="Times New Roman"/>
      <w:color w:val="000000" w:themeColor="text1" w:themeShade="BF"/>
      <w:sz w:val="17"/>
      <w:szCs w:val="17"/>
      <w:lang w:eastAsia="nl-BE"/>
    </w:rPr>
    <w:tblPr>
      <w:tblStyleRowBandSize w:val="1"/>
      <w:tblStyleColBandSize w:val="1"/>
      <w:tblInd w:w="57" w:type="dxa"/>
      <w:tblBorders>
        <w:top w:val="single" w:sz="4" w:space="0" w:color="808080"/>
        <w:left w:val="single" w:sz="12" w:space="0" w:color="808080"/>
        <w:bottom w:val="single" w:sz="4" w:space="0" w:color="808080"/>
        <w:right w:val="single" w:sz="12" w:space="0" w:color="808080"/>
        <w:insideV w:val="single" w:sz="4" w:space="0" w:color="808080"/>
      </w:tblBorders>
      <w:tblCellMar>
        <w:top w:w="0" w:type="dxa"/>
        <w:left w:w="57" w:type="dxa"/>
        <w:bottom w:w="0" w:type="dxa"/>
        <w:right w:w="57" w:type="dxa"/>
      </w:tblCellMar>
    </w:tblPr>
    <w:trPr>
      <w:cantSplit/>
    </w:trPr>
    <w:tblStylePr w:type="firstRow">
      <w:pPr>
        <w:wordWrap/>
        <w:spacing w:beforeLines="0" w:beforeAutospacing="0" w:afterLines="0" w:afterAutospacing="0" w:line="274" w:lineRule="exact"/>
        <w:ind w:leftChars="0" w:left="57" w:rightChars="0" w:right="57" w:firstLineChars="0" w:firstLine="0"/>
        <w:jc w:val="left"/>
      </w:pPr>
      <w:rPr>
        <w:rFonts w:ascii="Garamond" w:hAnsi="Garamond"/>
        <w:b/>
        <w:bCs/>
        <w:sz w:val="17"/>
      </w:rPr>
      <w:tblPr/>
      <w:tcPr>
        <w:tcBorders>
          <w:top w:val="single" w:sz="4" w:space="0" w:color="808080"/>
          <w:left w:val="single" w:sz="12" w:space="0" w:color="808080"/>
          <w:bottom w:val="single" w:sz="12" w:space="0" w:color="808080"/>
          <w:right w:val="single" w:sz="12" w:space="0" w:color="808080"/>
          <w:insideH w:val="nil"/>
          <w:insideV w:val="single" w:sz="4" w:space="0" w:color="808080"/>
        </w:tcBorders>
      </w:tcPr>
    </w:tblStylePr>
    <w:tblStylePr w:type="lastRow">
      <w:pPr>
        <w:wordWrap/>
        <w:spacing w:beforeLines="0" w:beforeAutospacing="0" w:afterLines="0" w:afterAutospacing="0" w:line="274" w:lineRule="exact"/>
        <w:ind w:leftChars="0" w:left="57" w:rightChars="0" w:right="57" w:firstLineChars="0" w:firstLine="0"/>
        <w:jc w:val="left"/>
      </w:pPr>
      <w:rPr>
        <w:rFonts w:ascii="Garamond" w:hAnsi="Garamond"/>
        <w:b w:val="0"/>
        <w:bCs/>
        <w:sz w:val="17"/>
      </w:rPr>
      <w:tblPr/>
      <w:tcPr>
        <w:tcBorders>
          <w:top w:val="single" w:sz="12" w:space="0" w:color="808080"/>
          <w:left w:val="single" w:sz="12" w:space="0" w:color="808080"/>
          <w:bottom w:val="single" w:sz="4" w:space="0" w:color="808080"/>
          <w:right w:val="single" w:sz="12" w:space="0" w:color="808080"/>
          <w:insideH w:val="nil"/>
          <w:insideV w:val="single" w:sz="4" w:space="0" w:color="808080"/>
        </w:tcBorders>
      </w:tcPr>
    </w:tblStylePr>
    <w:tblStylePr w:type="firstCol">
      <w:rPr>
        <w:rFonts w:ascii="Garamond" w:hAnsi="Garamond"/>
        <w:b w:val="0"/>
        <w:bCs/>
        <w:sz w:val="17"/>
      </w:rPr>
    </w:tblStylePr>
    <w:tblStylePr w:type="lastCol">
      <w:rPr>
        <w:rFonts w:ascii="Garamond" w:hAnsi="Garamond"/>
        <w:b w:val="0"/>
        <w:bCs/>
        <w:sz w:val="17"/>
      </w:rPr>
    </w:tblStylePr>
    <w:tblStylePr w:type="band1Vert">
      <w:rPr>
        <w:rFonts w:ascii="Garamond" w:hAnsi="Garamond"/>
        <w:sz w:val="17"/>
      </w:rPr>
      <w:tblPr/>
      <w:tcPr>
        <w:tcBorders>
          <w:left w:val="nil"/>
          <w:right w:val="nil"/>
          <w:insideH w:val="nil"/>
          <w:insideV w:val="nil"/>
        </w:tcBorders>
        <w:shd w:val="clear" w:color="auto" w:fill="C0C0C0" w:themeFill="text1" w:themeFillTint="3F"/>
      </w:tcPr>
    </w:tblStylePr>
    <w:tblStylePr w:type="band2Vert">
      <w:rPr>
        <w:rFonts w:ascii="Garamond" w:hAnsi="Garamond"/>
        <w:sz w:val="17"/>
      </w:rPr>
    </w:tblStylePr>
    <w:tblStylePr w:type="band1Horz">
      <w:pPr>
        <w:wordWrap/>
        <w:spacing w:beforeLines="0" w:beforeAutospacing="0" w:afterLines="0" w:afterAutospacing="0" w:line="274" w:lineRule="exact"/>
        <w:ind w:leftChars="0" w:left="57" w:rightChars="0" w:right="57" w:firstLineChars="0" w:firstLine="0"/>
        <w:jc w:val="left"/>
      </w:pPr>
      <w:rPr>
        <w:rFonts w:ascii="Garamond" w:hAnsi="Garamond"/>
        <w:sz w:val="17"/>
      </w:rPr>
      <w:tblPr/>
      <w:trPr>
        <w:cantSplit w:val="0"/>
      </w:trPr>
    </w:tblStylePr>
    <w:tblStylePr w:type="band2Horz">
      <w:pPr>
        <w:keepNext/>
        <w:keepLines/>
        <w:widowControl/>
        <w:wordWrap/>
        <w:spacing w:beforeLines="0" w:beforeAutospacing="0" w:afterLines="0" w:afterAutospacing="0" w:line="274" w:lineRule="atLeast"/>
        <w:ind w:leftChars="0" w:left="57" w:rightChars="0" w:right="57" w:firstLineChars="0" w:firstLine="0"/>
        <w:jc w:val="left"/>
      </w:pPr>
      <w:rPr>
        <w:rFonts w:ascii="Garamond" w:hAnsi="Garamond"/>
        <w:sz w:val="17"/>
      </w:rPr>
    </w:tblStylePr>
  </w:style>
  <w:style w:type="character" w:customStyle="1" w:styleId="hps">
    <w:name w:val="hps"/>
    <w:basedOn w:val="Policepardfaut"/>
    <w:uiPriority w:val="99"/>
    <w:rsid w:val="00B26798"/>
  </w:style>
  <w:style w:type="character" w:customStyle="1" w:styleId="longtext">
    <w:name w:val="long_text"/>
    <w:basedOn w:val="Policepardfaut"/>
    <w:rsid w:val="00B26798"/>
  </w:style>
  <w:style w:type="character" w:customStyle="1" w:styleId="shorttext">
    <w:name w:val="short_text"/>
    <w:basedOn w:val="Policepardfaut"/>
    <w:rsid w:val="00B267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798"/>
    <w:pPr>
      <w:jc w:val="both"/>
    </w:pPr>
    <w:rPr>
      <w:rFonts w:eastAsiaTheme="minorEastAsia"/>
      <w:sz w:val="20"/>
      <w:szCs w:val="20"/>
      <w:lang w:val="en-US" w:bidi="en-US"/>
    </w:rPr>
  </w:style>
  <w:style w:type="paragraph" w:styleId="Titre1">
    <w:name w:val="heading 1"/>
    <w:basedOn w:val="Normal"/>
    <w:next w:val="Normal"/>
    <w:link w:val="Titre1Car"/>
    <w:qFormat/>
    <w:rsid w:val="00B26798"/>
    <w:pPr>
      <w:spacing w:before="300" w:after="40"/>
      <w:jc w:val="left"/>
      <w:outlineLvl w:val="0"/>
    </w:pPr>
    <w:rPr>
      <w:smallCaps/>
      <w:spacing w:val="5"/>
      <w:sz w:val="32"/>
      <w:szCs w:val="32"/>
    </w:rPr>
  </w:style>
  <w:style w:type="paragraph" w:styleId="Titre2">
    <w:name w:val="heading 2"/>
    <w:basedOn w:val="Normal"/>
    <w:next w:val="Normal"/>
    <w:link w:val="Titre2Car"/>
    <w:unhideWhenUsed/>
    <w:qFormat/>
    <w:rsid w:val="00B26798"/>
    <w:pPr>
      <w:spacing w:before="240" w:after="80"/>
      <w:jc w:val="left"/>
      <w:outlineLvl w:val="1"/>
    </w:pPr>
    <w:rPr>
      <w:smallCaps/>
      <w:spacing w:val="5"/>
      <w:sz w:val="28"/>
      <w:szCs w:val="28"/>
    </w:rPr>
  </w:style>
  <w:style w:type="paragraph" w:styleId="Titre3">
    <w:name w:val="heading 3"/>
    <w:basedOn w:val="Normal"/>
    <w:next w:val="Normal"/>
    <w:link w:val="Titre3Car"/>
    <w:uiPriority w:val="99"/>
    <w:unhideWhenUsed/>
    <w:qFormat/>
    <w:rsid w:val="00B26798"/>
    <w:pPr>
      <w:spacing w:after="0"/>
      <w:jc w:val="left"/>
      <w:outlineLvl w:val="2"/>
    </w:pPr>
    <w:rPr>
      <w:smallCaps/>
      <w:spacing w:val="5"/>
      <w:sz w:val="24"/>
      <w:szCs w:val="24"/>
    </w:rPr>
  </w:style>
  <w:style w:type="paragraph" w:styleId="Titre7">
    <w:name w:val="heading 7"/>
    <w:basedOn w:val="Normal"/>
    <w:next w:val="Normal"/>
    <w:link w:val="Titre7Car"/>
    <w:uiPriority w:val="9"/>
    <w:unhideWhenUsed/>
    <w:qFormat/>
    <w:rsid w:val="00B26798"/>
    <w:pPr>
      <w:spacing w:after="0"/>
      <w:jc w:val="left"/>
      <w:outlineLvl w:val="6"/>
    </w:pPr>
    <w:rPr>
      <w:b/>
      <w:smallCaps/>
      <w:color w:val="C0504D" w:themeColor="accent2"/>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26798"/>
    <w:rPr>
      <w:rFonts w:eastAsiaTheme="minorEastAsia"/>
      <w:smallCaps/>
      <w:spacing w:val="5"/>
      <w:sz w:val="32"/>
      <w:szCs w:val="32"/>
      <w:lang w:val="en-US" w:bidi="en-US"/>
    </w:rPr>
  </w:style>
  <w:style w:type="character" w:customStyle="1" w:styleId="Titre2Car">
    <w:name w:val="Titre 2 Car"/>
    <w:basedOn w:val="Policepardfaut"/>
    <w:link w:val="Titre2"/>
    <w:rsid w:val="00B26798"/>
    <w:rPr>
      <w:rFonts w:eastAsiaTheme="minorEastAsia"/>
      <w:smallCaps/>
      <w:spacing w:val="5"/>
      <w:sz w:val="28"/>
      <w:szCs w:val="28"/>
      <w:lang w:val="en-US" w:bidi="en-US"/>
    </w:rPr>
  </w:style>
  <w:style w:type="character" w:customStyle="1" w:styleId="Titre3Car">
    <w:name w:val="Titre 3 Car"/>
    <w:basedOn w:val="Policepardfaut"/>
    <w:link w:val="Titre3"/>
    <w:uiPriority w:val="99"/>
    <w:rsid w:val="00B26798"/>
    <w:rPr>
      <w:rFonts w:eastAsiaTheme="minorEastAsia"/>
      <w:smallCaps/>
      <w:spacing w:val="5"/>
      <w:sz w:val="24"/>
      <w:szCs w:val="24"/>
      <w:lang w:val="en-US" w:bidi="en-US"/>
    </w:rPr>
  </w:style>
  <w:style w:type="character" w:customStyle="1" w:styleId="Titre7Car">
    <w:name w:val="Titre 7 Car"/>
    <w:basedOn w:val="Policepardfaut"/>
    <w:link w:val="Titre7"/>
    <w:uiPriority w:val="9"/>
    <w:rsid w:val="00B26798"/>
    <w:rPr>
      <w:rFonts w:eastAsiaTheme="minorEastAsia"/>
      <w:b/>
      <w:smallCaps/>
      <w:color w:val="C0504D" w:themeColor="accent2"/>
      <w:spacing w:val="10"/>
      <w:sz w:val="20"/>
      <w:szCs w:val="20"/>
      <w:lang w:val="en-US" w:bidi="en-US"/>
    </w:rPr>
  </w:style>
  <w:style w:type="paragraph" w:styleId="Retraitnormal">
    <w:name w:val="Normal Indent"/>
    <w:basedOn w:val="Normal"/>
    <w:uiPriority w:val="99"/>
    <w:qFormat/>
    <w:rsid w:val="00B26798"/>
    <w:pPr>
      <w:spacing w:line="360" w:lineRule="exact"/>
      <w:ind w:left="720"/>
    </w:pPr>
    <w:rPr>
      <w:rFonts w:ascii="Palatino" w:hAnsi="Palatino"/>
      <w:sz w:val="24"/>
      <w:szCs w:val="24"/>
    </w:rPr>
  </w:style>
  <w:style w:type="paragraph" w:styleId="NormalWeb">
    <w:name w:val="Normal (Web)"/>
    <w:basedOn w:val="Normal"/>
    <w:uiPriority w:val="99"/>
    <w:rsid w:val="00B26798"/>
    <w:pPr>
      <w:spacing w:before="100" w:beforeAutospacing="1" w:after="100" w:afterAutospacing="1" w:line="240" w:lineRule="auto"/>
      <w:jc w:val="left"/>
    </w:pPr>
    <w:rPr>
      <w:rFonts w:ascii="Times New Roman" w:hAnsi="Times New Roman"/>
      <w:sz w:val="24"/>
      <w:szCs w:val="24"/>
    </w:rPr>
  </w:style>
  <w:style w:type="character" w:styleId="Accentuationdiscrte">
    <w:name w:val="Subtle Emphasis"/>
    <w:uiPriority w:val="19"/>
    <w:qFormat/>
    <w:rsid w:val="00B26798"/>
    <w:rPr>
      <w:i/>
    </w:rPr>
  </w:style>
  <w:style w:type="paragraph" w:customStyle="1" w:styleId="Normal-1WitregelVoor">
    <w:name w:val="_Normal-1WitregelVoor"/>
    <w:basedOn w:val="Normal"/>
    <w:next w:val="Retraitnormal"/>
    <w:uiPriority w:val="99"/>
    <w:qFormat/>
    <w:rsid w:val="00B26798"/>
    <w:pPr>
      <w:spacing w:before="274" w:after="0" w:line="274" w:lineRule="exact"/>
    </w:pPr>
    <w:rPr>
      <w:rFonts w:ascii="Garamond" w:eastAsia="Times New Roman" w:hAnsi="Garamond" w:cs="Times New Roman"/>
      <w:sz w:val="22"/>
      <w:szCs w:val="17"/>
      <w:lang w:val="nl-BE" w:eastAsia="nl-NL" w:bidi="ar-SA"/>
    </w:rPr>
  </w:style>
  <w:style w:type="paragraph" w:customStyle="1" w:styleId="Normal-Indent09cm">
    <w:name w:val="_Normal-Indent 0.9cm"/>
    <w:basedOn w:val="Normal"/>
    <w:qFormat/>
    <w:rsid w:val="00B26798"/>
    <w:pPr>
      <w:spacing w:after="0" w:line="274" w:lineRule="exact"/>
      <w:ind w:left="510"/>
    </w:pPr>
    <w:rPr>
      <w:rFonts w:ascii="Garamond" w:eastAsia="Times New Roman" w:hAnsi="Garamond" w:cs="Times New Roman"/>
      <w:sz w:val="22"/>
      <w:szCs w:val="17"/>
      <w:lang w:val="en-GB" w:eastAsia="nl-NL" w:bidi="ar-SA"/>
    </w:rPr>
  </w:style>
  <w:style w:type="table" w:customStyle="1" w:styleId="LightShading1">
    <w:name w:val="Light Shading1"/>
    <w:aliases w:val="Table1-HIVA"/>
    <w:basedOn w:val="TableauNormal"/>
    <w:uiPriority w:val="99"/>
    <w:qFormat/>
    <w:rsid w:val="00B26798"/>
    <w:pPr>
      <w:keepNext/>
      <w:keepLines/>
      <w:spacing w:after="0" w:line="274" w:lineRule="exact"/>
      <w:ind w:left="57" w:right="57"/>
    </w:pPr>
    <w:rPr>
      <w:rFonts w:ascii="Garamond" w:eastAsia="Times New Roman" w:hAnsi="Garamond" w:cs="Times New Roman"/>
      <w:color w:val="000000" w:themeColor="text1" w:themeShade="BF"/>
      <w:sz w:val="17"/>
      <w:szCs w:val="17"/>
      <w:lang w:eastAsia="nl-BE"/>
    </w:rPr>
    <w:tblPr>
      <w:tblStyleRowBandSize w:val="1"/>
      <w:tblStyleColBandSize w:val="1"/>
      <w:tblInd w:w="57" w:type="dxa"/>
      <w:tblBorders>
        <w:top w:val="single" w:sz="4" w:space="0" w:color="808080"/>
        <w:left w:val="single" w:sz="12" w:space="0" w:color="808080"/>
        <w:bottom w:val="single" w:sz="4" w:space="0" w:color="808080"/>
        <w:right w:val="single" w:sz="12" w:space="0" w:color="808080"/>
        <w:insideV w:val="single" w:sz="4" w:space="0" w:color="808080"/>
      </w:tblBorders>
      <w:tblCellMar>
        <w:top w:w="0" w:type="dxa"/>
        <w:left w:w="57" w:type="dxa"/>
        <w:bottom w:w="0" w:type="dxa"/>
        <w:right w:w="57" w:type="dxa"/>
      </w:tblCellMar>
    </w:tblPr>
    <w:trPr>
      <w:cantSplit/>
    </w:trPr>
    <w:tblStylePr w:type="firstRow">
      <w:pPr>
        <w:wordWrap/>
        <w:spacing w:beforeLines="0" w:beforeAutospacing="0" w:afterLines="0" w:afterAutospacing="0" w:line="274" w:lineRule="exact"/>
        <w:ind w:leftChars="0" w:left="57" w:rightChars="0" w:right="57" w:firstLineChars="0" w:firstLine="0"/>
        <w:jc w:val="left"/>
      </w:pPr>
      <w:rPr>
        <w:rFonts w:ascii="Garamond" w:hAnsi="Garamond"/>
        <w:b/>
        <w:bCs/>
        <w:sz w:val="17"/>
      </w:rPr>
      <w:tblPr/>
      <w:tcPr>
        <w:tcBorders>
          <w:top w:val="single" w:sz="4" w:space="0" w:color="808080"/>
          <w:left w:val="single" w:sz="12" w:space="0" w:color="808080"/>
          <w:bottom w:val="single" w:sz="12" w:space="0" w:color="808080"/>
          <w:right w:val="single" w:sz="12" w:space="0" w:color="808080"/>
          <w:insideH w:val="nil"/>
          <w:insideV w:val="single" w:sz="4" w:space="0" w:color="808080"/>
        </w:tcBorders>
      </w:tcPr>
    </w:tblStylePr>
    <w:tblStylePr w:type="lastRow">
      <w:pPr>
        <w:wordWrap/>
        <w:spacing w:beforeLines="0" w:beforeAutospacing="0" w:afterLines="0" w:afterAutospacing="0" w:line="274" w:lineRule="exact"/>
        <w:ind w:leftChars="0" w:left="57" w:rightChars="0" w:right="57" w:firstLineChars="0" w:firstLine="0"/>
        <w:jc w:val="left"/>
      </w:pPr>
      <w:rPr>
        <w:rFonts w:ascii="Garamond" w:hAnsi="Garamond"/>
        <w:b w:val="0"/>
        <w:bCs/>
        <w:sz w:val="17"/>
      </w:rPr>
      <w:tblPr/>
      <w:tcPr>
        <w:tcBorders>
          <w:top w:val="single" w:sz="12" w:space="0" w:color="808080"/>
          <w:left w:val="single" w:sz="12" w:space="0" w:color="808080"/>
          <w:bottom w:val="single" w:sz="4" w:space="0" w:color="808080"/>
          <w:right w:val="single" w:sz="12" w:space="0" w:color="808080"/>
          <w:insideH w:val="nil"/>
          <w:insideV w:val="single" w:sz="4" w:space="0" w:color="808080"/>
        </w:tcBorders>
      </w:tcPr>
    </w:tblStylePr>
    <w:tblStylePr w:type="firstCol">
      <w:rPr>
        <w:rFonts w:ascii="Garamond" w:hAnsi="Garamond"/>
        <w:b w:val="0"/>
        <w:bCs/>
        <w:sz w:val="17"/>
      </w:rPr>
    </w:tblStylePr>
    <w:tblStylePr w:type="lastCol">
      <w:rPr>
        <w:rFonts w:ascii="Garamond" w:hAnsi="Garamond"/>
        <w:b w:val="0"/>
        <w:bCs/>
        <w:sz w:val="17"/>
      </w:rPr>
    </w:tblStylePr>
    <w:tblStylePr w:type="band1Vert">
      <w:rPr>
        <w:rFonts w:ascii="Garamond" w:hAnsi="Garamond"/>
        <w:sz w:val="17"/>
      </w:rPr>
      <w:tblPr/>
      <w:tcPr>
        <w:tcBorders>
          <w:left w:val="nil"/>
          <w:right w:val="nil"/>
          <w:insideH w:val="nil"/>
          <w:insideV w:val="nil"/>
        </w:tcBorders>
        <w:shd w:val="clear" w:color="auto" w:fill="C0C0C0" w:themeFill="text1" w:themeFillTint="3F"/>
      </w:tcPr>
    </w:tblStylePr>
    <w:tblStylePr w:type="band2Vert">
      <w:rPr>
        <w:rFonts w:ascii="Garamond" w:hAnsi="Garamond"/>
        <w:sz w:val="17"/>
      </w:rPr>
    </w:tblStylePr>
    <w:tblStylePr w:type="band1Horz">
      <w:pPr>
        <w:wordWrap/>
        <w:spacing w:beforeLines="0" w:beforeAutospacing="0" w:afterLines="0" w:afterAutospacing="0" w:line="274" w:lineRule="exact"/>
        <w:ind w:leftChars="0" w:left="57" w:rightChars="0" w:right="57" w:firstLineChars="0" w:firstLine="0"/>
        <w:jc w:val="left"/>
      </w:pPr>
      <w:rPr>
        <w:rFonts w:ascii="Garamond" w:hAnsi="Garamond"/>
        <w:sz w:val="17"/>
      </w:rPr>
      <w:tblPr/>
      <w:trPr>
        <w:cantSplit w:val="0"/>
      </w:trPr>
    </w:tblStylePr>
    <w:tblStylePr w:type="band2Horz">
      <w:pPr>
        <w:keepNext/>
        <w:keepLines/>
        <w:widowControl/>
        <w:wordWrap/>
        <w:spacing w:beforeLines="0" w:beforeAutospacing="0" w:afterLines="0" w:afterAutospacing="0" w:line="274" w:lineRule="atLeast"/>
        <w:ind w:leftChars="0" w:left="57" w:rightChars="0" w:right="57" w:firstLineChars="0" w:firstLine="0"/>
        <w:jc w:val="left"/>
      </w:pPr>
      <w:rPr>
        <w:rFonts w:ascii="Garamond" w:hAnsi="Garamond"/>
        <w:sz w:val="17"/>
      </w:rPr>
    </w:tblStylePr>
  </w:style>
  <w:style w:type="character" w:customStyle="1" w:styleId="hps">
    <w:name w:val="hps"/>
    <w:basedOn w:val="Policepardfaut"/>
    <w:uiPriority w:val="99"/>
    <w:rsid w:val="00B26798"/>
  </w:style>
  <w:style w:type="character" w:customStyle="1" w:styleId="longtext">
    <w:name w:val="long_text"/>
    <w:basedOn w:val="Policepardfaut"/>
    <w:rsid w:val="00B26798"/>
  </w:style>
  <w:style w:type="character" w:customStyle="1" w:styleId="shorttext">
    <w:name w:val="short_text"/>
    <w:basedOn w:val="Policepardfaut"/>
    <w:rsid w:val="00B26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4332</Words>
  <Characters>23832</Characters>
  <Application>Microsoft Macintosh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HIVA - KU Leuven</Company>
  <LinksUpToDate>false</LinksUpToDate>
  <CharactersWithSpaces>28108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IgnaceP</dc:creator>
  <cp:lastModifiedBy>Benjamin Huybrechts</cp:lastModifiedBy>
  <cp:revision>2</cp:revision>
  <dcterms:created xsi:type="dcterms:W3CDTF">2013-11-19T12:13:00Z</dcterms:created>
  <dcterms:modified xsi:type="dcterms:W3CDTF">2013-11-19T12:13:00Z</dcterms:modified>
</cp:coreProperties>
</file>