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Default Extension="gif" ContentType="image/gif"/>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header2.xml" ContentType="application/vnd.openxmlformats-officedocument.wordprocessingml.header+xml"/>
  <Default Extension="xlsx" ContentType="application/vnd.openxmlformats-officedocument.spreadsheetml.sheet"/>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74F5" w:rsidRDefault="000E7623" w:rsidP="000E7623">
      <w:pPr>
        <w:autoSpaceDE w:val="0"/>
        <w:autoSpaceDN w:val="0"/>
        <w:adjustRightInd w:val="0"/>
        <w:spacing w:after="0" w:line="240" w:lineRule="auto"/>
      </w:pPr>
      <w:r w:rsidRPr="008A53DA">
        <w:rPr>
          <w:b/>
          <w:noProof/>
          <w:lang w:val="fr-BE" w:eastAsia="fr-BE"/>
        </w:rPr>
        <w:drawing>
          <wp:inline distT="0" distB="0" distL="0" distR="0">
            <wp:extent cx="4043519" cy="716280"/>
            <wp:effectExtent l="0" t="0" r="0" b="7620"/>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4066715" cy="720389"/>
                    </a:xfrm>
                    <a:prstGeom prst="rect">
                      <a:avLst/>
                    </a:prstGeom>
                    <a:noFill/>
                    <a:ln w="9525">
                      <a:noFill/>
                      <a:miter lim="800000"/>
                      <a:headEnd/>
                      <a:tailEnd/>
                    </a:ln>
                  </pic:spPr>
                </pic:pic>
              </a:graphicData>
            </a:graphic>
          </wp:inline>
        </w:drawing>
      </w:r>
    </w:p>
    <w:p w:rsidR="00C874F5" w:rsidRDefault="00C874F5" w:rsidP="00C874F5">
      <w:pPr>
        <w:autoSpaceDE w:val="0"/>
        <w:autoSpaceDN w:val="0"/>
        <w:adjustRightInd w:val="0"/>
        <w:spacing w:after="0" w:line="240" w:lineRule="auto"/>
        <w:rPr>
          <w:rFonts w:ascii="Times New Roman" w:hAnsi="Times New Roman" w:cs="Times New Roman"/>
          <w:b/>
          <w:bCs/>
          <w:sz w:val="28"/>
          <w:szCs w:val="28"/>
        </w:rPr>
      </w:pPr>
    </w:p>
    <w:p w:rsidR="00C874F5" w:rsidRDefault="00C874F5" w:rsidP="00C874F5">
      <w:pPr>
        <w:autoSpaceDE w:val="0"/>
        <w:autoSpaceDN w:val="0"/>
        <w:adjustRightInd w:val="0"/>
        <w:spacing w:after="0" w:line="240" w:lineRule="auto"/>
        <w:rPr>
          <w:rFonts w:ascii="Times New Roman" w:hAnsi="Times New Roman" w:cs="Times New Roman"/>
          <w:b/>
          <w:bCs/>
          <w:sz w:val="28"/>
          <w:szCs w:val="28"/>
        </w:rPr>
      </w:pPr>
    </w:p>
    <w:p w:rsidR="00C874F5" w:rsidRPr="00970638" w:rsidRDefault="00C874F5" w:rsidP="002667E5">
      <w:pPr>
        <w:autoSpaceDE w:val="0"/>
        <w:autoSpaceDN w:val="0"/>
        <w:adjustRightInd w:val="0"/>
        <w:spacing w:after="0" w:line="240" w:lineRule="auto"/>
      </w:pPr>
      <w:r w:rsidRPr="00970638">
        <w:rPr>
          <w:rFonts w:cstheme="minorHAnsi"/>
          <w:b/>
          <w:i/>
          <w:iCs/>
          <w:sz w:val="40"/>
          <w:szCs w:val="40"/>
        </w:rPr>
        <w:t xml:space="preserve">Mapping of </w:t>
      </w:r>
      <w:r w:rsidR="00A91EC6">
        <w:rPr>
          <w:rFonts w:cstheme="minorHAnsi"/>
          <w:b/>
          <w:i/>
          <w:iCs/>
          <w:sz w:val="40"/>
          <w:szCs w:val="40"/>
        </w:rPr>
        <w:t>E</w:t>
      </w:r>
      <w:r w:rsidRPr="00970638">
        <w:rPr>
          <w:rFonts w:cstheme="minorHAnsi"/>
          <w:b/>
          <w:i/>
          <w:iCs/>
          <w:sz w:val="40"/>
          <w:szCs w:val="40"/>
        </w:rPr>
        <w:t xml:space="preserve">cosystems and their </w:t>
      </w:r>
      <w:r w:rsidR="00A91EC6">
        <w:rPr>
          <w:rFonts w:cstheme="minorHAnsi"/>
          <w:b/>
          <w:i/>
          <w:iCs/>
          <w:sz w:val="40"/>
          <w:szCs w:val="40"/>
        </w:rPr>
        <w:t>S</w:t>
      </w:r>
      <w:r w:rsidRPr="00970638">
        <w:rPr>
          <w:rFonts w:cstheme="minorHAnsi"/>
          <w:b/>
          <w:i/>
          <w:iCs/>
          <w:sz w:val="40"/>
          <w:szCs w:val="40"/>
        </w:rPr>
        <w:t>ervices in the EU and its MemberStates</w:t>
      </w:r>
      <w:r w:rsidR="00A91EC6">
        <w:rPr>
          <w:rFonts w:cstheme="minorHAnsi"/>
          <w:b/>
          <w:i/>
          <w:iCs/>
          <w:sz w:val="40"/>
          <w:szCs w:val="40"/>
        </w:rPr>
        <w:t xml:space="preserve"> (MESEU)</w:t>
      </w:r>
    </w:p>
    <w:p w:rsidR="00C874F5" w:rsidRPr="00970638" w:rsidRDefault="00C874F5"/>
    <w:p w:rsidR="00AE3BE7" w:rsidRPr="00970638" w:rsidRDefault="00AE3BE7">
      <w:pPr>
        <w:rPr>
          <w:b/>
          <w:sz w:val="28"/>
          <w:szCs w:val="28"/>
        </w:rPr>
      </w:pPr>
    </w:p>
    <w:p w:rsidR="000E7623" w:rsidRPr="00970638" w:rsidRDefault="000E7623" w:rsidP="00D02A89">
      <w:pPr>
        <w:autoSpaceDE w:val="0"/>
        <w:autoSpaceDN w:val="0"/>
        <w:adjustRightInd w:val="0"/>
        <w:spacing w:line="240" w:lineRule="auto"/>
        <w:rPr>
          <w:rFonts w:cstheme="minorHAnsi"/>
          <w:b/>
          <w:bCs/>
          <w:sz w:val="28"/>
          <w:szCs w:val="28"/>
        </w:rPr>
      </w:pPr>
      <w:r w:rsidRPr="00970638">
        <w:rPr>
          <w:rFonts w:cstheme="minorHAnsi"/>
          <w:b/>
          <w:bCs/>
          <w:sz w:val="28"/>
          <w:szCs w:val="28"/>
        </w:rPr>
        <w:t>ENV.B.2/SER/2012/0016</w:t>
      </w:r>
    </w:p>
    <w:p w:rsidR="00C874F5" w:rsidRPr="00970638" w:rsidRDefault="00966C6C">
      <w:pPr>
        <w:rPr>
          <w:b/>
          <w:sz w:val="28"/>
          <w:szCs w:val="28"/>
        </w:rPr>
      </w:pPr>
      <w:r>
        <w:rPr>
          <w:b/>
          <w:sz w:val="28"/>
          <w:szCs w:val="28"/>
        </w:rPr>
        <w:t>October 31, 2013</w:t>
      </w:r>
    </w:p>
    <w:p w:rsidR="000E3C16" w:rsidRDefault="000E3C16"/>
    <w:p w:rsidR="000E3C16" w:rsidRPr="006B7C29" w:rsidRDefault="00966C6C" w:rsidP="006B7C29">
      <w:pPr>
        <w:shd w:val="clear" w:color="auto" w:fill="DBE5F1" w:themeFill="accent1" w:themeFillTint="33"/>
        <w:rPr>
          <w:b/>
          <w:sz w:val="40"/>
          <w:szCs w:val="40"/>
        </w:rPr>
      </w:pPr>
      <w:r w:rsidRPr="006B7C29">
        <w:rPr>
          <w:b/>
          <w:sz w:val="40"/>
          <w:szCs w:val="40"/>
        </w:rPr>
        <w:t>FINAL REPORT</w:t>
      </w:r>
    </w:p>
    <w:p w:rsidR="002B118B" w:rsidRPr="006B7C29" w:rsidRDefault="002B118B" w:rsidP="006B7C29">
      <w:pPr>
        <w:shd w:val="clear" w:color="auto" w:fill="DBE5F1" w:themeFill="accent1" w:themeFillTint="33"/>
        <w:rPr>
          <w:b/>
          <w:sz w:val="36"/>
          <w:szCs w:val="36"/>
        </w:rPr>
      </w:pPr>
      <w:r w:rsidRPr="006B7C29">
        <w:rPr>
          <w:b/>
          <w:sz w:val="36"/>
          <w:szCs w:val="36"/>
        </w:rPr>
        <w:t>Part 1: Introduction</w:t>
      </w:r>
      <w:r w:rsidR="00742AFD" w:rsidRPr="006B7C29">
        <w:rPr>
          <w:b/>
          <w:sz w:val="36"/>
          <w:szCs w:val="36"/>
        </w:rPr>
        <w:t>,</w:t>
      </w:r>
      <w:r w:rsidR="00A43600" w:rsidRPr="006B7C29">
        <w:rPr>
          <w:b/>
          <w:sz w:val="36"/>
          <w:szCs w:val="36"/>
        </w:rPr>
        <w:t>s</w:t>
      </w:r>
      <w:r w:rsidR="00FE63C8" w:rsidRPr="006B7C29">
        <w:rPr>
          <w:b/>
          <w:sz w:val="36"/>
          <w:szCs w:val="36"/>
        </w:rPr>
        <w:t>ummary</w:t>
      </w:r>
      <w:r w:rsidR="00654B33" w:rsidRPr="006B7C29">
        <w:rPr>
          <w:b/>
          <w:sz w:val="36"/>
          <w:szCs w:val="36"/>
        </w:rPr>
        <w:t>&amp;</w:t>
      </w:r>
      <w:r w:rsidR="00A43600" w:rsidRPr="006B7C29">
        <w:rPr>
          <w:b/>
          <w:sz w:val="36"/>
          <w:szCs w:val="36"/>
        </w:rPr>
        <w:t>c</w:t>
      </w:r>
      <w:r w:rsidR="00742AFD" w:rsidRPr="006B7C29">
        <w:rPr>
          <w:b/>
          <w:sz w:val="36"/>
          <w:szCs w:val="36"/>
        </w:rPr>
        <w:t>onclusions</w:t>
      </w:r>
    </w:p>
    <w:p w:rsidR="00966C6C" w:rsidRPr="00970638" w:rsidRDefault="00966C6C"/>
    <w:p w:rsidR="000E7623" w:rsidRPr="00970638" w:rsidRDefault="000E7623"/>
    <w:p w:rsidR="00C04E8D" w:rsidRPr="00970638" w:rsidRDefault="008A53DA">
      <w:pPr>
        <w:rPr>
          <w:b/>
        </w:rPr>
      </w:pPr>
      <w:r w:rsidRPr="00970638">
        <w:rPr>
          <w:b/>
          <w:noProof/>
          <w:lang w:val="fr-BE" w:eastAsia="fr-BE"/>
        </w:rPr>
        <w:drawing>
          <wp:inline distT="0" distB="0" distL="0" distR="0">
            <wp:extent cx="2698280" cy="477981"/>
            <wp:effectExtent l="0" t="0" r="6985" b="0"/>
            <wp:docPr id="440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2712954" cy="480580"/>
                    </a:xfrm>
                    <a:prstGeom prst="rect">
                      <a:avLst/>
                    </a:prstGeom>
                    <a:noFill/>
                    <a:ln w="9525">
                      <a:noFill/>
                      <a:miter lim="800000"/>
                      <a:headEnd/>
                      <a:tailEnd/>
                    </a:ln>
                  </pic:spPr>
                </pic:pic>
              </a:graphicData>
            </a:graphic>
          </wp:inline>
        </w:drawing>
      </w:r>
      <w:r w:rsidR="00B47242" w:rsidRPr="00970638">
        <w:rPr>
          <w:b/>
        </w:rPr>
        <w:tab/>
      </w:r>
      <w:r w:rsidR="00B47242" w:rsidRPr="00970638">
        <w:rPr>
          <w:b/>
        </w:rPr>
        <w:tab/>
      </w:r>
    </w:p>
    <w:p w:rsidR="0073613F" w:rsidRPr="00970638" w:rsidRDefault="0073613F">
      <w:pPr>
        <w:rPr>
          <w:b/>
        </w:rPr>
      </w:pPr>
    </w:p>
    <w:p w:rsidR="00447A0B" w:rsidRPr="00970638" w:rsidRDefault="00B47242" w:rsidP="00051234">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2502435" cy="540327"/>
            <wp:effectExtent l="0" t="0" r="0" b="0"/>
            <wp:docPr id="440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2" name="Picture 13"/>
                    <pic:cNvPicPr>
                      <a:picLocks noChangeAspect="1" noChangeArrowheads="1"/>
                    </pic:cNvPicPr>
                  </pic:nvPicPr>
                  <pic:blipFill>
                    <a:blip r:embed="rId9"/>
                    <a:srcRect/>
                    <a:stretch>
                      <a:fillRect/>
                    </a:stretch>
                  </pic:blipFill>
                  <pic:spPr bwMode="auto">
                    <a:xfrm>
                      <a:off x="0" y="0"/>
                      <a:ext cx="2501867" cy="540204"/>
                    </a:xfrm>
                    <a:prstGeom prst="rect">
                      <a:avLst/>
                    </a:prstGeom>
                    <a:noFill/>
                    <a:ln w="9525">
                      <a:noFill/>
                      <a:miter lim="800000"/>
                      <a:headEnd/>
                      <a:tailEnd/>
                    </a:ln>
                  </pic:spPr>
                </pic:pic>
              </a:graphicData>
            </a:graphic>
          </wp:inline>
        </w:drawing>
      </w:r>
      <w:r w:rsidR="00447A0B" w:rsidRPr="00970638">
        <w:rPr>
          <w:b/>
        </w:rPr>
        <w:tab/>
      </w:r>
      <w:r w:rsidR="00051234" w:rsidRPr="00970638">
        <w:rPr>
          <w:b/>
        </w:rPr>
        <w:tab/>
      </w:r>
      <w:r w:rsidR="008A53DA" w:rsidRPr="00970638">
        <w:rPr>
          <w:b/>
          <w:noProof/>
          <w:lang w:val="fr-BE" w:eastAsia="fr-BE"/>
        </w:rPr>
        <w:drawing>
          <wp:inline distT="0" distB="0" distL="0" distR="0">
            <wp:extent cx="1794164" cy="666969"/>
            <wp:effectExtent l="0" t="0" r="0" b="0"/>
            <wp:docPr id="12313" name="Picture 25" descr="ECNC good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 name="Picture 25" descr="ECNC good quality"/>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5643" cy="667519"/>
                    </a:xfrm>
                    <a:prstGeom prst="rect">
                      <a:avLst/>
                    </a:prstGeom>
                    <a:noFill/>
                    <a:ln>
                      <a:noFill/>
                    </a:ln>
                    <a:extLst/>
                  </pic:spPr>
                </pic:pic>
              </a:graphicData>
            </a:graphic>
          </wp:inline>
        </w:drawing>
      </w:r>
      <w:r w:rsidR="00447A0B" w:rsidRPr="00970638">
        <w:rPr>
          <w:b/>
        </w:rPr>
        <w:tab/>
      </w:r>
    </w:p>
    <w:p w:rsidR="00447A0B" w:rsidRPr="00970638" w:rsidRDefault="00B96842" w:rsidP="00051234">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sz w:val="28"/>
          <w:szCs w:val="28"/>
          <w:lang w:val="fr-BE" w:eastAsia="fr-BE"/>
        </w:rPr>
        <w:drawing>
          <wp:inline distT="0" distB="0" distL="0" distR="0">
            <wp:extent cx="1593657" cy="40386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_logo_black.tif"/>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93657" cy="403860"/>
                    </a:xfrm>
                    <a:prstGeom prst="rect">
                      <a:avLst/>
                    </a:prstGeom>
                  </pic:spPr>
                </pic:pic>
              </a:graphicData>
            </a:graphic>
          </wp:inline>
        </w:drawing>
      </w:r>
      <w:r w:rsidR="00B47242" w:rsidRPr="00970638">
        <w:rPr>
          <w:b/>
          <w:noProof/>
          <w:lang w:val="fr-BE" w:eastAsia="fr-BE"/>
        </w:rPr>
        <w:drawing>
          <wp:inline distT="0" distB="0" distL="0" distR="0">
            <wp:extent cx="852055" cy="76983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51961" cy="769745"/>
                    </a:xfrm>
                    <a:prstGeom prst="rect">
                      <a:avLst/>
                    </a:prstGeom>
                    <a:noFill/>
                    <a:ln>
                      <a:noFill/>
                    </a:ln>
                  </pic:spPr>
                </pic:pic>
              </a:graphicData>
            </a:graphic>
          </wp:inline>
        </w:drawing>
      </w:r>
      <w:r w:rsidR="00447A0B" w:rsidRPr="00970638">
        <w:rPr>
          <w:b/>
          <w:sz w:val="40"/>
          <w:szCs w:val="40"/>
        </w:rPr>
        <w:tab/>
      </w:r>
      <w:r w:rsidR="00C04E8D" w:rsidRPr="00970638">
        <w:rPr>
          <w:b/>
          <w:sz w:val="40"/>
          <w:szCs w:val="40"/>
        </w:rPr>
        <w:tab/>
      </w:r>
      <w:r w:rsidR="006D4857" w:rsidRPr="00970638">
        <w:rPr>
          <w:b/>
          <w:noProof/>
          <w:lang w:val="fr-BE" w:eastAsia="fr-BE"/>
        </w:rPr>
        <w:drawing>
          <wp:inline distT="0" distB="0" distL="0" distR="0">
            <wp:extent cx="2030442" cy="698018"/>
            <wp:effectExtent l="0" t="0" r="8255" b="6985"/>
            <wp:docPr id="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nbo.jpg"/>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29036" cy="697535"/>
                    </a:xfrm>
                    <a:prstGeom prst="rect">
                      <a:avLst/>
                    </a:prstGeom>
                  </pic:spPr>
                </pic:pic>
              </a:graphicData>
            </a:graphic>
          </wp:inline>
        </w:drawing>
      </w:r>
    </w:p>
    <w:p w:rsidR="00C874F5" w:rsidRPr="00970638" w:rsidRDefault="00095588" w:rsidP="00051234">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1216365" cy="748532"/>
            <wp:effectExtent l="0" t="0" r="3175"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AM.jpg"/>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216365" cy="748532"/>
                    </a:xfrm>
                    <a:prstGeom prst="rect">
                      <a:avLst/>
                    </a:prstGeom>
                  </pic:spPr>
                </pic:pic>
              </a:graphicData>
            </a:graphic>
          </wp:inline>
        </w:drawing>
      </w:r>
      <w:r w:rsidR="00447A0B" w:rsidRPr="00970638">
        <w:rPr>
          <w:b/>
        </w:rPr>
        <w:tab/>
      </w:r>
      <w:r w:rsidR="00447A0B" w:rsidRPr="00970638">
        <w:rPr>
          <w:b/>
        </w:rPr>
        <w:tab/>
      </w:r>
      <w:r w:rsidR="00447A0B" w:rsidRPr="00970638">
        <w:rPr>
          <w:b/>
        </w:rPr>
        <w:tab/>
      </w:r>
      <w:r w:rsidR="00447A0B" w:rsidRPr="00970638">
        <w:rPr>
          <w:b/>
        </w:rPr>
        <w:tab/>
      </w:r>
      <w:r w:rsidR="00051234" w:rsidRPr="00970638">
        <w:rPr>
          <w:b/>
        </w:rPr>
        <w:tab/>
      </w:r>
      <w:r w:rsidR="00CA78F8" w:rsidRPr="00970638">
        <w:rPr>
          <w:b/>
          <w:noProof/>
          <w:lang w:val="fr-BE" w:eastAsia="fr-BE"/>
        </w:rPr>
        <w:drawing>
          <wp:inline distT="0" distB="0" distL="0" distR="0">
            <wp:extent cx="2477537" cy="462357"/>
            <wp:effectExtent l="19050" t="0" r="0" b="0"/>
            <wp:docPr id="4" name="Bild 1" descr="yyUBA_logo_2010.gif"/>
            <wp:cNvGraphicFramePr/>
            <a:graphic xmlns:a="http://schemas.openxmlformats.org/drawingml/2006/main">
              <a:graphicData uri="http://schemas.openxmlformats.org/drawingml/2006/picture">
                <pic:pic xmlns:pic="http://schemas.openxmlformats.org/drawingml/2006/picture">
                  <pic:nvPicPr>
                    <pic:cNvPr id="31" name="Grafik 30" descr="yyUBA_logo_2010.gif"/>
                    <pic:cNvPicPr>
                      <a:picLocks noChangeAspect="1"/>
                    </pic:cNvPicPr>
                  </pic:nvPicPr>
                  <pic:blipFill>
                    <a:blip r:embed="rId15" cstate="screen"/>
                    <a:stretch>
                      <a:fillRect/>
                    </a:stretch>
                  </pic:blipFill>
                  <pic:spPr>
                    <a:xfrm>
                      <a:off x="0" y="0"/>
                      <a:ext cx="2477537" cy="462357"/>
                    </a:xfrm>
                    <a:prstGeom prst="rect">
                      <a:avLst/>
                    </a:prstGeom>
                    <a:solidFill>
                      <a:schemeClr val="bg1"/>
                    </a:solidFill>
                  </pic:spPr>
                </pic:pic>
              </a:graphicData>
            </a:graphic>
          </wp:inline>
        </w:drawing>
      </w:r>
    </w:p>
    <w:p w:rsidR="0014680A" w:rsidRPr="00970638" w:rsidRDefault="0014680A">
      <w:pPr>
        <w:rPr>
          <w:sz w:val="28"/>
          <w:szCs w:val="28"/>
        </w:rPr>
      </w:pPr>
      <w:r w:rsidRPr="00970638">
        <w:rPr>
          <w:sz w:val="28"/>
          <w:szCs w:val="28"/>
        </w:rPr>
        <w:lastRenderedPageBreak/>
        <w:t xml:space="preserve">This </w:t>
      </w:r>
      <w:r w:rsidR="00966C6C">
        <w:rPr>
          <w:sz w:val="28"/>
          <w:szCs w:val="28"/>
        </w:rPr>
        <w:t>Final</w:t>
      </w:r>
      <w:r w:rsidR="00B119DC" w:rsidRPr="00970638">
        <w:rPr>
          <w:sz w:val="28"/>
          <w:szCs w:val="28"/>
        </w:rPr>
        <w:t xml:space="preserve"> Report</w:t>
      </w:r>
      <w:r w:rsidRPr="00970638">
        <w:rPr>
          <w:sz w:val="28"/>
          <w:szCs w:val="28"/>
        </w:rPr>
        <w:t xml:space="preserve"> is submitted by:</w:t>
      </w:r>
    </w:p>
    <w:p w:rsidR="004C1BB4" w:rsidRPr="00970638" w:rsidRDefault="004C1BB4">
      <w:pPr>
        <w:rPr>
          <w:b/>
          <w:sz w:val="28"/>
          <w:szCs w:val="28"/>
        </w:rPr>
      </w:pPr>
      <w:r w:rsidRPr="00970638">
        <w:rPr>
          <w:b/>
          <w:sz w:val="28"/>
          <w:szCs w:val="28"/>
        </w:rPr>
        <w:t>Alterra,</w:t>
      </w:r>
    </w:p>
    <w:p w:rsidR="0014680A" w:rsidRPr="00970638" w:rsidRDefault="00472971">
      <w:pPr>
        <w:rPr>
          <w:b/>
          <w:sz w:val="28"/>
          <w:szCs w:val="28"/>
        </w:rPr>
      </w:pPr>
      <w:r w:rsidRPr="00970638">
        <w:rPr>
          <w:b/>
          <w:sz w:val="28"/>
          <w:szCs w:val="28"/>
        </w:rPr>
        <w:t xml:space="preserve">Institute </w:t>
      </w:r>
      <w:r w:rsidR="004C1BB4" w:rsidRPr="00970638">
        <w:rPr>
          <w:b/>
          <w:sz w:val="28"/>
          <w:szCs w:val="28"/>
        </w:rPr>
        <w:t>within the legal entity</w:t>
      </w:r>
      <w:r w:rsidRPr="00970638">
        <w:rPr>
          <w:b/>
          <w:sz w:val="28"/>
          <w:szCs w:val="28"/>
        </w:rPr>
        <w:t xml:space="preserve"> of Stichting</w:t>
      </w:r>
      <w:r w:rsidR="004C1BB4" w:rsidRPr="00970638">
        <w:rPr>
          <w:b/>
          <w:sz w:val="28"/>
          <w:szCs w:val="28"/>
        </w:rPr>
        <w:t>DLO</w:t>
      </w:r>
    </w:p>
    <w:p w:rsidR="0014680A" w:rsidRPr="00970638" w:rsidRDefault="0014680A" w:rsidP="0014680A">
      <w:pPr>
        <w:spacing w:after="0" w:line="240" w:lineRule="auto"/>
        <w:rPr>
          <w:b/>
          <w:sz w:val="28"/>
          <w:szCs w:val="28"/>
        </w:rPr>
      </w:pPr>
      <w:r w:rsidRPr="00970638">
        <w:rPr>
          <w:b/>
          <w:sz w:val="28"/>
          <w:szCs w:val="28"/>
        </w:rPr>
        <w:t>P.O. Box 47</w:t>
      </w:r>
    </w:p>
    <w:p w:rsidR="0014680A" w:rsidRPr="00970638" w:rsidRDefault="0014680A" w:rsidP="0014680A">
      <w:pPr>
        <w:spacing w:after="0" w:line="240" w:lineRule="auto"/>
        <w:rPr>
          <w:b/>
          <w:sz w:val="28"/>
          <w:szCs w:val="28"/>
        </w:rPr>
      </w:pPr>
      <w:r w:rsidRPr="00970638">
        <w:rPr>
          <w:b/>
          <w:sz w:val="28"/>
          <w:szCs w:val="28"/>
        </w:rPr>
        <w:t>6700 AA, Wageningen</w:t>
      </w:r>
    </w:p>
    <w:p w:rsidR="0014680A" w:rsidRPr="00970638" w:rsidRDefault="0014680A" w:rsidP="0014680A">
      <w:pPr>
        <w:spacing w:after="0" w:line="240" w:lineRule="auto"/>
        <w:rPr>
          <w:b/>
          <w:sz w:val="28"/>
          <w:szCs w:val="28"/>
        </w:rPr>
      </w:pPr>
      <w:r w:rsidRPr="00970638">
        <w:rPr>
          <w:b/>
          <w:sz w:val="28"/>
          <w:szCs w:val="28"/>
        </w:rPr>
        <w:t>The Netherlands</w:t>
      </w:r>
    </w:p>
    <w:p w:rsidR="0014680A" w:rsidRPr="00970638" w:rsidRDefault="0014680A" w:rsidP="0014680A">
      <w:pPr>
        <w:spacing w:after="0" w:line="240" w:lineRule="auto"/>
        <w:rPr>
          <w:b/>
          <w:sz w:val="28"/>
          <w:szCs w:val="28"/>
        </w:rPr>
      </w:pPr>
    </w:p>
    <w:p w:rsidR="0014680A" w:rsidRPr="00970638" w:rsidRDefault="0014680A" w:rsidP="0014680A">
      <w:pPr>
        <w:spacing w:after="0" w:line="240" w:lineRule="auto"/>
        <w:rPr>
          <w:b/>
          <w:sz w:val="28"/>
          <w:szCs w:val="28"/>
        </w:rPr>
      </w:pPr>
      <w:r w:rsidRPr="00970638">
        <w:rPr>
          <w:b/>
          <w:sz w:val="28"/>
          <w:szCs w:val="28"/>
        </w:rPr>
        <w:t>Building 100+101</w:t>
      </w:r>
    </w:p>
    <w:p w:rsidR="0014680A" w:rsidRPr="00970638" w:rsidRDefault="0014680A" w:rsidP="0014680A">
      <w:pPr>
        <w:spacing w:after="0" w:line="240" w:lineRule="auto"/>
        <w:rPr>
          <w:b/>
          <w:sz w:val="28"/>
          <w:szCs w:val="28"/>
        </w:rPr>
      </w:pPr>
      <w:r w:rsidRPr="00970638">
        <w:rPr>
          <w:b/>
          <w:sz w:val="28"/>
          <w:szCs w:val="28"/>
        </w:rPr>
        <w:t>Droevendaalsesteeg 3</w:t>
      </w:r>
    </w:p>
    <w:p w:rsidR="0014680A" w:rsidRPr="00970638" w:rsidRDefault="0014680A" w:rsidP="0014680A">
      <w:pPr>
        <w:spacing w:after="0" w:line="240" w:lineRule="auto"/>
        <w:rPr>
          <w:b/>
          <w:sz w:val="28"/>
          <w:szCs w:val="28"/>
        </w:rPr>
      </w:pPr>
      <w:r w:rsidRPr="00970638">
        <w:rPr>
          <w:b/>
          <w:sz w:val="28"/>
          <w:szCs w:val="28"/>
        </w:rPr>
        <w:t>6708 PB, Wageningen</w:t>
      </w:r>
    </w:p>
    <w:p w:rsidR="0014680A" w:rsidRPr="00970638" w:rsidRDefault="0014680A" w:rsidP="0014680A">
      <w:pPr>
        <w:spacing w:after="0" w:line="240" w:lineRule="auto"/>
        <w:rPr>
          <w:b/>
          <w:sz w:val="28"/>
          <w:szCs w:val="28"/>
        </w:rPr>
      </w:pPr>
      <w:r w:rsidRPr="00970638">
        <w:rPr>
          <w:b/>
          <w:sz w:val="28"/>
          <w:szCs w:val="28"/>
        </w:rPr>
        <w:t>The Netherlands</w:t>
      </w:r>
    </w:p>
    <w:p w:rsidR="0014680A" w:rsidRPr="00970638" w:rsidRDefault="0014680A" w:rsidP="0014680A">
      <w:pPr>
        <w:spacing w:after="0" w:line="240" w:lineRule="auto"/>
        <w:rPr>
          <w:b/>
          <w:sz w:val="28"/>
          <w:szCs w:val="28"/>
        </w:rPr>
      </w:pPr>
    </w:p>
    <w:p w:rsidR="0014680A" w:rsidRPr="00970638" w:rsidRDefault="0014680A" w:rsidP="0014680A">
      <w:pPr>
        <w:spacing w:after="0" w:line="240" w:lineRule="auto"/>
        <w:rPr>
          <w:b/>
          <w:sz w:val="28"/>
          <w:szCs w:val="28"/>
        </w:rPr>
      </w:pPr>
    </w:p>
    <w:p w:rsidR="00A50AE2" w:rsidRDefault="00A50AE2" w:rsidP="0014680A">
      <w:pPr>
        <w:spacing w:after="0" w:line="240" w:lineRule="auto"/>
        <w:rPr>
          <w:b/>
          <w:sz w:val="28"/>
          <w:szCs w:val="28"/>
          <w:highlight w:val="yellow"/>
        </w:rPr>
      </w:pPr>
    </w:p>
    <w:p w:rsidR="00A43600" w:rsidRDefault="00A43600" w:rsidP="0014680A">
      <w:pPr>
        <w:spacing w:after="0" w:line="240" w:lineRule="auto"/>
        <w:rPr>
          <w:b/>
          <w:sz w:val="28"/>
          <w:szCs w:val="28"/>
          <w:highlight w:val="yellow"/>
        </w:rPr>
      </w:pPr>
    </w:p>
    <w:p w:rsidR="00A43600" w:rsidRDefault="00A43600" w:rsidP="0014680A">
      <w:pPr>
        <w:spacing w:after="0" w:line="240" w:lineRule="auto"/>
        <w:rPr>
          <w:b/>
          <w:sz w:val="28"/>
          <w:szCs w:val="28"/>
          <w:highlight w:val="yellow"/>
        </w:rPr>
      </w:pPr>
    </w:p>
    <w:p w:rsidR="00A43600" w:rsidRDefault="00A43600" w:rsidP="0014680A">
      <w:pPr>
        <w:spacing w:after="0" w:line="240" w:lineRule="auto"/>
        <w:rPr>
          <w:b/>
          <w:sz w:val="28"/>
          <w:szCs w:val="28"/>
          <w:highlight w:val="yellow"/>
        </w:rPr>
      </w:pPr>
    </w:p>
    <w:p w:rsidR="00A43600" w:rsidRPr="00AF116B" w:rsidRDefault="00A43600" w:rsidP="0014680A">
      <w:pPr>
        <w:spacing w:after="0" w:line="240" w:lineRule="auto"/>
        <w:rPr>
          <w:b/>
          <w:sz w:val="28"/>
          <w:szCs w:val="28"/>
          <w:highlight w:val="yellow"/>
        </w:rPr>
      </w:pPr>
    </w:p>
    <w:p w:rsidR="0014680A" w:rsidRPr="0078140F" w:rsidRDefault="0014680A" w:rsidP="0014680A">
      <w:pPr>
        <w:spacing w:after="0" w:line="240" w:lineRule="auto"/>
        <w:rPr>
          <w:b/>
          <w:sz w:val="28"/>
          <w:szCs w:val="28"/>
          <w:lang w:val="en-US"/>
        </w:rPr>
      </w:pPr>
    </w:p>
    <w:p w:rsidR="0014680A" w:rsidRPr="00A50AE2" w:rsidRDefault="0014680A" w:rsidP="0014680A">
      <w:pPr>
        <w:spacing w:after="0" w:line="240" w:lineRule="auto"/>
        <w:rPr>
          <w:b/>
          <w:sz w:val="28"/>
          <w:szCs w:val="28"/>
        </w:rPr>
      </w:pPr>
    </w:p>
    <w:p w:rsidR="0014680A" w:rsidRPr="00A50AE2" w:rsidRDefault="0014680A" w:rsidP="0014680A">
      <w:pPr>
        <w:spacing w:after="0" w:line="240" w:lineRule="auto"/>
        <w:rPr>
          <w:b/>
          <w:sz w:val="28"/>
          <w:szCs w:val="28"/>
        </w:rPr>
      </w:pPr>
    </w:p>
    <w:p w:rsidR="0014680A" w:rsidRPr="00A50AE2" w:rsidRDefault="0014680A" w:rsidP="0014680A">
      <w:pPr>
        <w:spacing w:after="0" w:line="240" w:lineRule="auto"/>
        <w:rPr>
          <w:b/>
          <w:sz w:val="28"/>
          <w:szCs w:val="28"/>
        </w:rPr>
      </w:pPr>
    </w:p>
    <w:p w:rsidR="003A5018" w:rsidRPr="00A50AE2" w:rsidRDefault="003A5018" w:rsidP="0014680A">
      <w:pPr>
        <w:spacing w:after="0" w:line="240" w:lineRule="auto"/>
        <w:rPr>
          <w:b/>
          <w:sz w:val="28"/>
          <w:szCs w:val="28"/>
        </w:rPr>
      </w:pPr>
    </w:p>
    <w:p w:rsidR="003A5018" w:rsidRPr="00A50AE2" w:rsidRDefault="003A5018" w:rsidP="0014680A">
      <w:pPr>
        <w:spacing w:after="0" w:line="240" w:lineRule="auto"/>
        <w:rPr>
          <w:b/>
          <w:sz w:val="28"/>
          <w:szCs w:val="28"/>
        </w:rPr>
      </w:pPr>
    </w:p>
    <w:p w:rsidR="003A5018" w:rsidRPr="00A50AE2" w:rsidRDefault="003A5018" w:rsidP="0014680A">
      <w:pPr>
        <w:spacing w:after="0" w:line="240" w:lineRule="auto"/>
        <w:rPr>
          <w:b/>
          <w:sz w:val="28"/>
          <w:szCs w:val="28"/>
        </w:rPr>
      </w:pPr>
    </w:p>
    <w:p w:rsidR="00A43600" w:rsidRDefault="00A43600" w:rsidP="0014680A">
      <w:pPr>
        <w:spacing w:after="0" w:line="240" w:lineRule="auto"/>
        <w:rPr>
          <w:b/>
          <w:sz w:val="28"/>
          <w:szCs w:val="28"/>
        </w:rPr>
      </w:pPr>
    </w:p>
    <w:p w:rsidR="00A43600" w:rsidRDefault="00A43600" w:rsidP="0014680A">
      <w:pPr>
        <w:spacing w:after="0" w:line="240" w:lineRule="auto"/>
        <w:rPr>
          <w:b/>
          <w:sz w:val="28"/>
          <w:szCs w:val="28"/>
        </w:rPr>
      </w:pPr>
    </w:p>
    <w:p w:rsidR="00A43600" w:rsidRDefault="00A43600" w:rsidP="0014680A">
      <w:pPr>
        <w:spacing w:after="0" w:line="240" w:lineRule="auto"/>
        <w:rPr>
          <w:b/>
          <w:sz w:val="28"/>
          <w:szCs w:val="28"/>
        </w:rPr>
      </w:pPr>
    </w:p>
    <w:p w:rsidR="00A43600" w:rsidRDefault="00A43600" w:rsidP="0014680A">
      <w:pPr>
        <w:spacing w:after="0" w:line="240" w:lineRule="auto"/>
        <w:rPr>
          <w:b/>
          <w:sz w:val="28"/>
          <w:szCs w:val="28"/>
        </w:rPr>
      </w:pPr>
    </w:p>
    <w:p w:rsidR="0014680A" w:rsidRPr="00970638" w:rsidRDefault="0014680A" w:rsidP="0014680A">
      <w:pPr>
        <w:spacing w:after="0" w:line="240" w:lineRule="auto"/>
        <w:rPr>
          <w:b/>
          <w:sz w:val="28"/>
          <w:szCs w:val="28"/>
        </w:rPr>
      </w:pPr>
      <w:r w:rsidRPr="00970638">
        <w:rPr>
          <w:b/>
          <w:sz w:val="28"/>
          <w:szCs w:val="28"/>
        </w:rPr>
        <w:t>Contact person:</w:t>
      </w:r>
    </w:p>
    <w:p w:rsidR="0014680A" w:rsidRPr="00970638" w:rsidRDefault="0014680A" w:rsidP="0014680A">
      <w:pPr>
        <w:spacing w:after="0" w:line="240" w:lineRule="auto"/>
        <w:rPr>
          <w:b/>
          <w:sz w:val="28"/>
          <w:szCs w:val="28"/>
        </w:rPr>
      </w:pPr>
    </w:p>
    <w:p w:rsidR="0014680A" w:rsidRPr="00970638" w:rsidRDefault="0014680A" w:rsidP="0014680A">
      <w:pPr>
        <w:spacing w:after="0" w:line="240" w:lineRule="auto"/>
        <w:rPr>
          <w:b/>
          <w:sz w:val="28"/>
          <w:szCs w:val="28"/>
        </w:rPr>
      </w:pPr>
      <w:r w:rsidRPr="00970638">
        <w:rPr>
          <w:b/>
          <w:sz w:val="28"/>
          <w:szCs w:val="28"/>
        </w:rPr>
        <w:t>Dr. Leon C. Braat</w:t>
      </w:r>
    </w:p>
    <w:p w:rsidR="0014680A" w:rsidRPr="00970638" w:rsidRDefault="0014680A" w:rsidP="0014680A">
      <w:pPr>
        <w:spacing w:after="0" w:line="240" w:lineRule="auto"/>
        <w:rPr>
          <w:b/>
          <w:sz w:val="28"/>
          <w:szCs w:val="28"/>
        </w:rPr>
      </w:pPr>
    </w:p>
    <w:p w:rsidR="0014680A" w:rsidRPr="00970638" w:rsidRDefault="0014680A" w:rsidP="0014680A">
      <w:pPr>
        <w:spacing w:after="0" w:line="240" w:lineRule="auto"/>
        <w:rPr>
          <w:b/>
          <w:sz w:val="28"/>
          <w:szCs w:val="28"/>
        </w:rPr>
      </w:pPr>
      <w:r w:rsidRPr="00970638">
        <w:rPr>
          <w:b/>
          <w:sz w:val="28"/>
          <w:szCs w:val="28"/>
        </w:rPr>
        <w:t xml:space="preserve">Telephone: </w:t>
      </w:r>
      <w:r w:rsidRPr="00970638">
        <w:rPr>
          <w:b/>
          <w:sz w:val="28"/>
          <w:szCs w:val="28"/>
        </w:rPr>
        <w:tab/>
      </w:r>
      <w:r w:rsidRPr="00970638">
        <w:rPr>
          <w:b/>
          <w:sz w:val="28"/>
          <w:szCs w:val="28"/>
        </w:rPr>
        <w:tab/>
        <w:t>+31 317 486473</w:t>
      </w:r>
    </w:p>
    <w:p w:rsidR="0014680A" w:rsidRPr="00A80D6D" w:rsidRDefault="0014680A" w:rsidP="0014680A">
      <w:pPr>
        <w:spacing w:after="0" w:line="240" w:lineRule="auto"/>
        <w:rPr>
          <w:b/>
          <w:sz w:val="28"/>
          <w:szCs w:val="28"/>
        </w:rPr>
      </w:pPr>
      <w:r w:rsidRPr="00A80D6D">
        <w:rPr>
          <w:b/>
          <w:sz w:val="28"/>
          <w:szCs w:val="28"/>
        </w:rPr>
        <w:t>Mobile phone:</w:t>
      </w:r>
      <w:r w:rsidRPr="00A80D6D">
        <w:rPr>
          <w:b/>
          <w:sz w:val="28"/>
          <w:szCs w:val="28"/>
        </w:rPr>
        <w:tab/>
        <w:t>+31 6 18079112</w:t>
      </w:r>
    </w:p>
    <w:p w:rsidR="0014680A" w:rsidRPr="00A80D6D" w:rsidRDefault="0014680A" w:rsidP="0014680A">
      <w:pPr>
        <w:spacing w:after="0" w:line="240" w:lineRule="auto"/>
        <w:rPr>
          <w:b/>
          <w:sz w:val="28"/>
          <w:szCs w:val="28"/>
        </w:rPr>
      </w:pPr>
      <w:r w:rsidRPr="00A80D6D">
        <w:rPr>
          <w:b/>
          <w:sz w:val="28"/>
          <w:szCs w:val="28"/>
        </w:rPr>
        <w:t>Fax:</w:t>
      </w:r>
      <w:r w:rsidRPr="00A80D6D">
        <w:rPr>
          <w:b/>
          <w:sz w:val="28"/>
          <w:szCs w:val="28"/>
        </w:rPr>
        <w:tab/>
      </w:r>
      <w:r w:rsidRPr="00A80D6D">
        <w:rPr>
          <w:b/>
          <w:sz w:val="28"/>
          <w:szCs w:val="28"/>
        </w:rPr>
        <w:tab/>
      </w:r>
      <w:r w:rsidRPr="00A80D6D">
        <w:rPr>
          <w:b/>
          <w:sz w:val="28"/>
          <w:szCs w:val="28"/>
        </w:rPr>
        <w:tab/>
        <w:t>+31 317 419000</w:t>
      </w:r>
    </w:p>
    <w:p w:rsidR="000E7623" w:rsidRPr="00A80D6D" w:rsidRDefault="0014680A" w:rsidP="0014680A">
      <w:pPr>
        <w:spacing w:after="0" w:line="240" w:lineRule="auto"/>
        <w:rPr>
          <w:b/>
          <w:sz w:val="28"/>
          <w:szCs w:val="28"/>
        </w:rPr>
      </w:pPr>
      <w:r w:rsidRPr="00A80D6D">
        <w:rPr>
          <w:b/>
          <w:sz w:val="28"/>
          <w:szCs w:val="28"/>
        </w:rPr>
        <w:t>E-mail:</w:t>
      </w:r>
      <w:r w:rsidRPr="00A80D6D">
        <w:rPr>
          <w:b/>
          <w:sz w:val="28"/>
          <w:szCs w:val="28"/>
        </w:rPr>
        <w:tab/>
      </w:r>
      <w:r w:rsidRPr="00A80D6D">
        <w:rPr>
          <w:b/>
          <w:sz w:val="28"/>
          <w:szCs w:val="28"/>
        </w:rPr>
        <w:tab/>
        <w:t xml:space="preserve">leon.braat@wur.nl </w:t>
      </w:r>
      <w:r w:rsidR="000E7623" w:rsidRPr="00A80D6D">
        <w:rPr>
          <w:b/>
          <w:sz w:val="28"/>
          <w:szCs w:val="28"/>
        </w:rPr>
        <w:br w:type="page"/>
      </w:r>
    </w:p>
    <w:p w:rsidR="00112BDF" w:rsidRPr="00BA1A81" w:rsidRDefault="00112BDF" w:rsidP="00112BDF">
      <w:pPr>
        <w:pStyle w:val="Paragraphedeliste"/>
        <w:ind w:left="0"/>
        <w:rPr>
          <w:b/>
          <w:color w:val="4F81BD" w:themeColor="accent1"/>
          <w:sz w:val="24"/>
          <w:szCs w:val="24"/>
        </w:rPr>
      </w:pPr>
      <w:r w:rsidRPr="00BA1A81">
        <w:rPr>
          <w:b/>
          <w:color w:val="4F81BD" w:themeColor="accent1"/>
          <w:sz w:val="40"/>
          <w:szCs w:val="40"/>
        </w:rPr>
        <w:lastRenderedPageBreak/>
        <w:t>PREFACE</w:t>
      </w:r>
    </w:p>
    <w:p w:rsidR="00112BDF" w:rsidRPr="006859C7" w:rsidRDefault="00112BDF" w:rsidP="00112BDF">
      <w:pPr>
        <w:spacing w:line="240" w:lineRule="auto"/>
        <w:rPr>
          <w:rFonts w:cstheme="minorHAnsi"/>
          <w:color w:val="000000"/>
          <w:sz w:val="24"/>
          <w:szCs w:val="24"/>
        </w:rPr>
      </w:pPr>
      <w:r w:rsidRPr="006859C7">
        <w:rPr>
          <w:rFonts w:cstheme="minorHAnsi"/>
          <w:color w:val="000000"/>
          <w:sz w:val="24"/>
          <w:szCs w:val="24"/>
        </w:rPr>
        <w:t>This document presents the</w:t>
      </w:r>
      <w:r w:rsidR="008C2C49" w:rsidRPr="006859C7">
        <w:rPr>
          <w:rFonts w:cstheme="minorHAnsi"/>
          <w:color w:val="000000"/>
          <w:sz w:val="24"/>
          <w:szCs w:val="24"/>
        </w:rPr>
        <w:t xml:space="preserve"> full table of contents, the</w:t>
      </w:r>
      <w:r w:rsidRPr="006859C7">
        <w:rPr>
          <w:rFonts w:cstheme="minorHAnsi"/>
          <w:color w:val="000000"/>
          <w:sz w:val="24"/>
          <w:szCs w:val="24"/>
        </w:rPr>
        <w:t xml:space="preserve"> introduction, summary and conclusions of the Final Report for</w:t>
      </w:r>
      <w:r w:rsidR="006B7C29">
        <w:rPr>
          <w:rFonts w:cstheme="minorHAnsi"/>
          <w:color w:val="000000"/>
          <w:sz w:val="24"/>
          <w:szCs w:val="24"/>
        </w:rPr>
        <w:t xml:space="preserve">the </w:t>
      </w:r>
      <w:r w:rsidR="008C2C49" w:rsidRPr="006859C7">
        <w:rPr>
          <w:rFonts w:cstheme="minorHAnsi"/>
          <w:color w:val="000000"/>
          <w:sz w:val="24"/>
          <w:szCs w:val="24"/>
        </w:rPr>
        <w:t>first year if</w:t>
      </w:r>
      <w:r w:rsidRPr="006859C7">
        <w:rPr>
          <w:rFonts w:cstheme="minorHAnsi"/>
          <w:color w:val="000000"/>
          <w:sz w:val="24"/>
          <w:szCs w:val="24"/>
        </w:rPr>
        <w:t xml:space="preserve"> the DG environment contract entitled ‘Mapping of Ecosystems and their Services in the EU and its Member States’ </w:t>
      </w:r>
      <w:r w:rsidRPr="006859C7">
        <w:rPr>
          <w:sz w:val="24"/>
          <w:szCs w:val="24"/>
        </w:rPr>
        <w:t>(reference no. ENV.B.2/SER/2012/0016)</w:t>
      </w:r>
      <w:r w:rsidR="008C2C49" w:rsidRPr="006859C7">
        <w:rPr>
          <w:rFonts w:cstheme="minorHAnsi"/>
          <w:color w:val="000000"/>
          <w:sz w:val="24"/>
          <w:szCs w:val="24"/>
        </w:rPr>
        <w:t>.</w:t>
      </w:r>
    </w:p>
    <w:p w:rsidR="00112BDF" w:rsidRPr="006859C7" w:rsidRDefault="008C2C49" w:rsidP="00112BDF">
      <w:pPr>
        <w:spacing w:line="240" w:lineRule="auto"/>
        <w:rPr>
          <w:rFonts w:cstheme="minorHAnsi"/>
          <w:color w:val="000000"/>
          <w:sz w:val="24"/>
          <w:szCs w:val="24"/>
        </w:rPr>
      </w:pPr>
      <w:r w:rsidRPr="006859C7">
        <w:rPr>
          <w:rFonts w:cstheme="minorHAnsi"/>
          <w:color w:val="000000"/>
          <w:sz w:val="24"/>
          <w:szCs w:val="24"/>
        </w:rPr>
        <w:t xml:space="preserve">The Final Report has been approved by the Steering Group in its meeting of </w:t>
      </w:r>
      <w:r w:rsidR="006B7C29">
        <w:rPr>
          <w:rFonts w:cstheme="minorHAnsi"/>
          <w:color w:val="000000"/>
          <w:sz w:val="24"/>
          <w:szCs w:val="24"/>
        </w:rPr>
        <w:t>September 30</w:t>
      </w:r>
      <w:r w:rsidR="006B7C29" w:rsidRPr="006B7C29">
        <w:rPr>
          <w:rFonts w:cstheme="minorHAnsi"/>
          <w:color w:val="000000"/>
          <w:sz w:val="24"/>
          <w:szCs w:val="24"/>
          <w:vertAlign w:val="superscript"/>
        </w:rPr>
        <w:t>th</w:t>
      </w:r>
      <w:r w:rsidRPr="006859C7">
        <w:rPr>
          <w:rFonts w:cstheme="minorHAnsi"/>
          <w:color w:val="000000"/>
          <w:sz w:val="24"/>
          <w:szCs w:val="24"/>
        </w:rPr>
        <w:t>, 2013.</w:t>
      </w:r>
    </w:p>
    <w:p w:rsidR="008C2C49" w:rsidRPr="006859C7" w:rsidRDefault="008C2C49" w:rsidP="00112BDF">
      <w:pPr>
        <w:spacing w:line="240" w:lineRule="auto"/>
        <w:rPr>
          <w:rFonts w:cstheme="minorHAnsi"/>
          <w:color w:val="000000"/>
          <w:sz w:val="24"/>
          <w:szCs w:val="24"/>
        </w:rPr>
      </w:pPr>
      <w:r w:rsidRPr="006859C7">
        <w:rPr>
          <w:rFonts w:cstheme="minorHAnsi"/>
          <w:color w:val="000000"/>
          <w:sz w:val="24"/>
          <w:szCs w:val="24"/>
        </w:rPr>
        <w:t xml:space="preserve">The Final Report consists of several parts and annexes. For your guidance, the  Tables of Contents of all parts are presented </w:t>
      </w:r>
      <w:r w:rsidR="006B7C29">
        <w:rPr>
          <w:rFonts w:cstheme="minorHAnsi"/>
          <w:color w:val="000000"/>
          <w:sz w:val="24"/>
          <w:szCs w:val="24"/>
        </w:rPr>
        <w:t>at the end of</w:t>
      </w:r>
      <w:r w:rsidRPr="006859C7">
        <w:rPr>
          <w:rFonts w:cstheme="minorHAnsi"/>
          <w:color w:val="000000"/>
          <w:sz w:val="24"/>
          <w:szCs w:val="24"/>
        </w:rPr>
        <w:t xml:space="preserve"> this</w:t>
      </w:r>
      <w:r w:rsidR="006B7C29">
        <w:rPr>
          <w:rFonts w:cstheme="minorHAnsi"/>
          <w:color w:val="000000"/>
          <w:sz w:val="24"/>
          <w:szCs w:val="24"/>
        </w:rPr>
        <w:t xml:space="preserve"> first,</w:t>
      </w:r>
      <w:r w:rsidRPr="006859C7">
        <w:rPr>
          <w:rFonts w:cstheme="minorHAnsi"/>
          <w:color w:val="000000"/>
          <w:sz w:val="24"/>
          <w:szCs w:val="24"/>
        </w:rPr>
        <w:t xml:space="preserve"> introductory and overview</w:t>
      </w:r>
      <w:r w:rsidR="006B7C29">
        <w:rPr>
          <w:rFonts w:cstheme="minorHAnsi"/>
          <w:color w:val="000000"/>
          <w:sz w:val="24"/>
          <w:szCs w:val="24"/>
        </w:rPr>
        <w:t>,</w:t>
      </w:r>
      <w:r w:rsidRPr="006859C7">
        <w:rPr>
          <w:rFonts w:cstheme="minorHAnsi"/>
          <w:color w:val="000000"/>
          <w:sz w:val="24"/>
          <w:szCs w:val="24"/>
        </w:rPr>
        <w:t xml:space="preserve"> part.</w:t>
      </w:r>
    </w:p>
    <w:p w:rsidR="00112BDF" w:rsidRPr="006859C7" w:rsidRDefault="00112BDF" w:rsidP="00112BDF">
      <w:pPr>
        <w:autoSpaceDE w:val="0"/>
        <w:autoSpaceDN w:val="0"/>
        <w:adjustRightInd w:val="0"/>
        <w:spacing w:after="0" w:line="240" w:lineRule="auto"/>
        <w:jc w:val="both"/>
        <w:rPr>
          <w:rFonts w:cstheme="minorHAnsi"/>
          <w:sz w:val="24"/>
          <w:szCs w:val="24"/>
        </w:rPr>
      </w:pPr>
      <w:r w:rsidRPr="006859C7">
        <w:rPr>
          <w:rFonts w:cstheme="minorHAnsi"/>
          <w:sz w:val="24"/>
          <w:szCs w:val="24"/>
        </w:rPr>
        <w:t>In view of the setting of the Tasks 1-4</w:t>
      </w:r>
      <w:r w:rsidR="008C2C49" w:rsidRPr="006859C7">
        <w:rPr>
          <w:rFonts w:cstheme="minorHAnsi"/>
          <w:sz w:val="24"/>
          <w:szCs w:val="24"/>
        </w:rPr>
        <w:t xml:space="preserve"> of the contract</w:t>
      </w:r>
      <w:r w:rsidRPr="006859C7">
        <w:rPr>
          <w:rFonts w:cstheme="minorHAnsi"/>
          <w:sz w:val="24"/>
          <w:szCs w:val="24"/>
        </w:rPr>
        <w:t xml:space="preserve">, the contractor </w:t>
      </w:r>
      <w:r w:rsidR="006B7C29">
        <w:rPr>
          <w:rFonts w:cstheme="minorHAnsi"/>
          <w:sz w:val="24"/>
          <w:szCs w:val="24"/>
        </w:rPr>
        <w:t>has</w:t>
      </w:r>
      <w:r w:rsidR="008C2C49" w:rsidRPr="006859C7">
        <w:rPr>
          <w:rFonts w:cstheme="minorHAnsi"/>
          <w:sz w:val="24"/>
          <w:szCs w:val="24"/>
        </w:rPr>
        <w:t xml:space="preserve"> work</w:t>
      </w:r>
      <w:r w:rsidR="006B7C29">
        <w:rPr>
          <w:rFonts w:cstheme="minorHAnsi"/>
          <w:sz w:val="24"/>
          <w:szCs w:val="24"/>
        </w:rPr>
        <w:t>ed</w:t>
      </w:r>
      <w:r w:rsidRPr="006859C7">
        <w:rPr>
          <w:rFonts w:cstheme="minorHAnsi"/>
          <w:sz w:val="24"/>
          <w:szCs w:val="24"/>
        </w:rPr>
        <w:t xml:space="preserve"> closely with the Joint Research Centre and the EEA, and </w:t>
      </w:r>
      <w:r w:rsidR="006B7C29">
        <w:rPr>
          <w:rFonts w:cstheme="minorHAnsi"/>
          <w:sz w:val="24"/>
          <w:szCs w:val="24"/>
        </w:rPr>
        <w:t>has</w:t>
      </w:r>
      <w:r w:rsidRPr="006859C7">
        <w:rPr>
          <w:rFonts w:cstheme="minorHAnsi"/>
          <w:sz w:val="24"/>
          <w:szCs w:val="24"/>
        </w:rPr>
        <w:t>inform</w:t>
      </w:r>
      <w:r w:rsidR="006B7C29">
        <w:rPr>
          <w:rFonts w:cstheme="minorHAnsi"/>
          <w:sz w:val="24"/>
          <w:szCs w:val="24"/>
        </w:rPr>
        <w:t>ed</w:t>
      </w:r>
      <w:r w:rsidRPr="006859C7">
        <w:rPr>
          <w:rFonts w:cstheme="minorHAnsi"/>
          <w:sz w:val="24"/>
          <w:szCs w:val="24"/>
        </w:rPr>
        <w:t xml:space="preserve"> the Working Group MAES regularly, and </w:t>
      </w:r>
      <w:r w:rsidR="006B7C29">
        <w:rPr>
          <w:rFonts w:cstheme="minorHAnsi"/>
          <w:sz w:val="24"/>
          <w:szCs w:val="24"/>
        </w:rPr>
        <w:t>supported</w:t>
      </w:r>
      <w:r w:rsidRPr="006859C7">
        <w:rPr>
          <w:rFonts w:cstheme="minorHAnsi"/>
          <w:sz w:val="24"/>
          <w:szCs w:val="24"/>
        </w:rPr>
        <w:t xml:space="preserve"> discussion in the Working Group. </w:t>
      </w:r>
      <w:r w:rsidR="006B7C29">
        <w:rPr>
          <w:rFonts w:cstheme="minorHAnsi"/>
          <w:sz w:val="24"/>
          <w:szCs w:val="24"/>
        </w:rPr>
        <w:t>The project has also contributed to the MAES Thematic Pilots, which were introduced by DG ENV in early 2013.</w:t>
      </w:r>
    </w:p>
    <w:p w:rsidR="00112BDF" w:rsidRPr="006859C7" w:rsidRDefault="00112BDF" w:rsidP="00112BDF">
      <w:pPr>
        <w:autoSpaceDE w:val="0"/>
        <w:autoSpaceDN w:val="0"/>
        <w:adjustRightInd w:val="0"/>
        <w:spacing w:after="0" w:line="240" w:lineRule="auto"/>
        <w:ind w:left="360"/>
        <w:jc w:val="both"/>
        <w:rPr>
          <w:rFonts w:cstheme="minorHAnsi"/>
          <w:bCs/>
          <w:sz w:val="24"/>
          <w:szCs w:val="24"/>
          <w:highlight w:val="yellow"/>
        </w:rPr>
      </w:pPr>
    </w:p>
    <w:p w:rsidR="008C2C49" w:rsidRPr="006859C7" w:rsidRDefault="008C2C49" w:rsidP="008C2C49">
      <w:pPr>
        <w:autoSpaceDE w:val="0"/>
        <w:autoSpaceDN w:val="0"/>
        <w:adjustRightInd w:val="0"/>
        <w:spacing w:after="0" w:line="240" w:lineRule="auto"/>
        <w:jc w:val="both"/>
        <w:rPr>
          <w:rFonts w:cstheme="minorHAnsi"/>
          <w:bCs/>
          <w:sz w:val="24"/>
          <w:szCs w:val="24"/>
        </w:rPr>
      </w:pPr>
      <w:r w:rsidRPr="006859C7">
        <w:rPr>
          <w:rFonts w:cstheme="minorHAnsi"/>
          <w:bCs/>
          <w:sz w:val="24"/>
          <w:szCs w:val="24"/>
        </w:rPr>
        <w:t>The study has been supervised by a Steering Group which consisted of:</w:t>
      </w:r>
    </w:p>
    <w:p w:rsidR="008C2C49" w:rsidRPr="00937409" w:rsidRDefault="008C2C49" w:rsidP="008C2C49">
      <w:pPr>
        <w:autoSpaceDE w:val="0"/>
        <w:autoSpaceDN w:val="0"/>
        <w:adjustRightInd w:val="0"/>
        <w:spacing w:after="0" w:line="240" w:lineRule="auto"/>
        <w:jc w:val="both"/>
        <w:rPr>
          <w:rFonts w:cstheme="minorHAnsi"/>
          <w:bCs/>
          <w:sz w:val="24"/>
          <w:szCs w:val="24"/>
        </w:rPr>
      </w:pPr>
      <w:r w:rsidRPr="006859C7">
        <w:rPr>
          <w:rFonts w:cstheme="minorHAnsi"/>
          <w:bCs/>
          <w:sz w:val="24"/>
          <w:szCs w:val="24"/>
          <w:lang w:val="nl-NL"/>
        </w:rPr>
        <w:t>M. Fritz, P. Murphy, A. Teller (DG ENV, B2), S. Vandewoestij</w:t>
      </w:r>
      <w:r w:rsidR="00FD6E78">
        <w:rPr>
          <w:rFonts w:cstheme="minorHAnsi"/>
          <w:bCs/>
          <w:sz w:val="24"/>
          <w:szCs w:val="24"/>
          <w:lang w:val="nl-NL"/>
        </w:rPr>
        <w:t>ne</w:t>
      </w:r>
      <w:r w:rsidRPr="006859C7">
        <w:rPr>
          <w:rFonts w:cstheme="minorHAnsi"/>
          <w:bCs/>
          <w:sz w:val="24"/>
          <w:szCs w:val="24"/>
          <w:lang w:val="nl-NL"/>
        </w:rPr>
        <w:t xml:space="preserve"> (DG RTD) Ph. </w:t>
      </w:r>
      <w:r w:rsidRPr="006859C7">
        <w:rPr>
          <w:rFonts w:cstheme="minorHAnsi"/>
          <w:bCs/>
          <w:sz w:val="24"/>
          <w:szCs w:val="24"/>
        </w:rPr>
        <w:t>Montfort (DG REGIO), J. Maes (JRC), M. Erhard (EEA) and A. Mizgajski (</w:t>
      </w:r>
      <w:r w:rsidR="00937409" w:rsidRPr="00937409">
        <w:rPr>
          <w:sz w:val="24"/>
          <w:szCs w:val="24"/>
        </w:rPr>
        <w:t>Adam Mickiewicz University in Poznań</w:t>
      </w:r>
      <w:r w:rsidR="00937409">
        <w:rPr>
          <w:rFonts w:cstheme="minorHAnsi"/>
          <w:bCs/>
          <w:sz w:val="24"/>
          <w:szCs w:val="24"/>
        </w:rPr>
        <w:t>, Poland). On behalf of the MESEU project team I would like to express our gratitude</w:t>
      </w:r>
      <w:r w:rsidRPr="006859C7">
        <w:rPr>
          <w:rFonts w:cstheme="minorHAnsi"/>
          <w:bCs/>
          <w:sz w:val="24"/>
          <w:szCs w:val="24"/>
        </w:rPr>
        <w:t xml:space="preserve"> for the contributions to the project that were made by the members of the Steering Group, throughout the project.</w:t>
      </w:r>
    </w:p>
    <w:p w:rsidR="008C2C49" w:rsidRPr="006859C7" w:rsidRDefault="008C2C49" w:rsidP="00112BDF">
      <w:pPr>
        <w:autoSpaceDE w:val="0"/>
        <w:autoSpaceDN w:val="0"/>
        <w:adjustRightInd w:val="0"/>
        <w:spacing w:after="0" w:line="240" w:lineRule="auto"/>
        <w:ind w:left="360"/>
        <w:jc w:val="both"/>
        <w:rPr>
          <w:rFonts w:cstheme="minorHAnsi"/>
          <w:sz w:val="24"/>
          <w:szCs w:val="24"/>
          <w:highlight w:val="yellow"/>
        </w:rPr>
      </w:pPr>
    </w:p>
    <w:p w:rsidR="008C2C49" w:rsidRPr="006859C7" w:rsidRDefault="0038783B" w:rsidP="0038783B">
      <w:pPr>
        <w:autoSpaceDE w:val="0"/>
        <w:autoSpaceDN w:val="0"/>
        <w:adjustRightInd w:val="0"/>
        <w:spacing w:after="0" w:line="240" w:lineRule="auto"/>
        <w:jc w:val="both"/>
        <w:rPr>
          <w:rFonts w:cstheme="minorHAnsi"/>
          <w:sz w:val="24"/>
          <w:szCs w:val="24"/>
        </w:rPr>
      </w:pPr>
      <w:r w:rsidRPr="006859C7">
        <w:rPr>
          <w:rFonts w:cstheme="minorHAnsi"/>
          <w:sz w:val="24"/>
          <w:szCs w:val="24"/>
        </w:rPr>
        <w:t>Several members of the Working Group MAES have knowingly and unknowingly influenced and contributed to the project via the discussions in Working Group meetings.</w:t>
      </w:r>
    </w:p>
    <w:p w:rsidR="0038783B" w:rsidRPr="006859C7" w:rsidRDefault="0038783B" w:rsidP="0038783B">
      <w:pPr>
        <w:autoSpaceDE w:val="0"/>
        <w:autoSpaceDN w:val="0"/>
        <w:adjustRightInd w:val="0"/>
        <w:spacing w:after="0" w:line="240" w:lineRule="auto"/>
        <w:jc w:val="both"/>
        <w:rPr>
          <w:rFonts w:cstheme="minorHAnsi"/>
          <w:sz w:val="24"/>
          <w:szCs w:val="24"/>
        </w:rPr>
      </w:pPr>
    </w:p>
    <w:p w:rsidR="00112BDF" w:rsidRPr="006859C7" w:rsidRDefault="0038783B" w:rsidP="0038783B">
      <w:pPr>
        <w:autoSpaceDE w:val="0"/>
        <w:autoSpaceDN w:val="0"/>
        <w:adjustRightInd w:val="0"/>
        <w:spacing w:after="0" w:line="240" w:lineRule="auto"/>
        <w:jc w:val="both"/>
        <w:rPr>
          <w:rFonts w:cstheme="minorHAnsi"/>
          <w:sz w:val="24"/>
          <w:szCs w:val="24"/>
        </w:rPr>
      </w:pPr>
      <w:r w:rsidRPr="006859C7">
        <w:rPr>
          <w:rFonts w:cstheme="minorHAnsi"/>
          <w:sz w:val="24"/>
          <w:szCs w:val="24"/>
        </w:rPr>
        <w:t>The Final Report will be available on CIRCA, all parts and annexes. Conform the contract the contractor shall make all relevant data and maps available to the EEA, to</w:t>
      </w:r>
      <w:r w:rsidR="00112BDF" w:rsidRPr="006859C7">
        <w:rPr>
          <w:rFonts w:cstheme="minorHAnsi"/>
          <w:sz w:val="24"/>
          <w:szCs w:val="24"/>
        </w:rPr>
        <w:t xml:space="preserve"> the EU Ecosystem Assessment Platform from the Biodiversity Information System for Europe (BISE), to inform a wider community of expertise on the progress of the study tasks. </w:t>
      </w:r>
    </w:p>
    <w:p w:rsidR="00CB73A3" w:rsidRPr="006859C7" w:rsidRDefault="00CB73A3" w:rsidP="0038783B">
      <w:pPr>
        <w:autoSpaceDE w:val="0"/>
        <w:autoSpaceDN w:val="0"/>
        <w:adjustRightInd w:val="0"/>
        <w:spacing w:after="0" w:line="240" w:lineRule="auto"/>
        <w:jc w:val="both"/>
        <w:rPr>
          <w:rFonts w:cstheme="minorHAnsi"/>
          <w:sz w:val="24"/>
          <w:szCs w:val="24"/>
        </w:rPr>
      </w:pPr>
    </w:p>
    <w:p w:rsidR="00CB73A3" w:rsidRPr="006859C7" w:rsidRDefault="00CB73A3" w:rsidP="0038783B">
      <w:pPr>
        <w:autoSpaceDE w:val="0"/>
        <w:autoSpaceDN w:val="0"/>
        <w:adjustRightInd w:val="0"/>
        <w:spacing w:after="0" w:line="240" w:lineRule="auto"/>
        <w:jc w:val="both"/>
        <w:rPr>
          <w:rFonts w:cstheme="minorHAnsi"/>
          <w:sz w:val="24"/>
          <w:szCs w:val="24"/>
        </w:rPr>
      </w:pPr>
      <w:r w:rsidRPr="006859C7">
        <w:rPr>
          <w:rFonts w:cstheme="minorHAnsi"/>
          <w:sz w:val="24"/>
          <w:szCs w:val="24"/>
        </w:rPr>
        <w:t>Leon Braat</w:t>
      </w:r>
    </w:p>
    <w:p w:rsidR="00937409" w:rsidRDefault="00937409" w:rsidP="0038783B">
      <w:pPr>
        <w:autoSpaceDE w:val="0"/>
        <w:autoSpaceDN w:val="0"/>
        <w:adjustRightInd w:val="0"/>
        <w:spacing w:after="0" w:line="240" w:lineRule="auto"/>
        <w:jc w:val="both"/>
        <w:rPr>
          <w:rFonts w:cstheme="minorHAnsi"/>
          <w:sz w:val="24"/>
          <w:szCs w:val="24"/>
        </w:rPr>
      </w:pPr>
      <w:r>
        <w:rPr>
          <w:rFonts w:cstheme="minorHAnsi"/>
          <w:sz w:val="24"/>
          <w:szCs w:val="24"/>
        </w:rPr>
        <w:t>Alterra, Wageningen UR</w:t>
      </w:r>
    </w:p>
    <w:p w:rsidR="00CB73A3" w:rsidRPr="006859C7" w:rsidRDefault="00CB73A3" w:rsidP="0038783B">
      <w:pPr>
        <w:autoSpaceDE w:val="0"/>
        <w:autoSpaceDN w:val="0"/>
        <w:adjustRightInd w:val="0"/>
        <w:spacing w:after="0" w:line="240" w:lineRule="auto"/>
        <w:jc w:val="both"/>
        <w:rPr>
          <w:sz w:val="24"/>
          <w:szCs w:val="24"/>
        </w:rPr>
      </w:pPr>
      <w:r w:rsidRPr="006859C7">
        <w:rPr>
          <w:rFonts w:cstheme="minorHAnsi"/>
          <w:sz w:val="24"/>
          <w:szCs w:val="24"/>
        </w:rPr>
        <w:t>Project</w:t>
      </w:r>
      <w:r w:rsidR="00937409">
        <w:rPr>
          <w:rFonts w:cstheme="minorHAnsi"/>
          <w:sz w:val="24"/>
          <w:szCs w:val="24"/>
        </w:rPr>
        <w:t>-</w:t>
      </w:r>
      <w:r w:rsidRPr="006859C7">
        <w:rPr>
          <w:rFonts w:cstheme="minorHAnsi"/>
          <w:sz w:val="24"/>
          <w:szCs w:val="24"/>
        </w:rPr>
        <w:t>leader</w:t>
      </w:r>
    </w:p>
    <w:p w:rsidR="00112BDF" w:rsidRPr="006859C7" w:rsidRDefault="00112BDF" w:rsidP="00112BDF">
      <w:pPr>
        <w:rPr>
          <w:sz w:val="24"/>
          <w:szCs w:val="24"/>
        </w:rPr>
      </w:pPr>
      <w:r w:rsidRPr="006859C7">
        <w:rPr>
          <w:sz w:val="24"/>
          <w:szCs w:val="24"/>
        </w:rPr>
        <w:br w:type="page"/>
      </w:r>
    </w:p>
    <w:p w:rsidR="00AF116B" w:rsidRPr="001677F6" w:rsidRDefault="00AF116B" w:rsidP="00AF116B">
      <w:pPr>
        <w:rPr>
          <w:b/>
          <w:sz w:val="40"/>
          <w:szCs w:val="40"/>
        </w:rPr>
      </w:pPr>
      <w:r w:rsidRPr="001677F6">
        <w:rPr>
          <w:b/>
          <w:sz w:val="40"/>
          <w:szCs w:val="40"/>
        </w:rPr>
        <w:lastRenderedPageBreak/>
        <w:t xml:space="preserve">Part 1: Introduction, summary &amp; conclusions </w:t>
      </w:r>
    </w:p>
    <w:p w:rsidR="00A43600" w:rsidRPr="003A41E6" w:rsidRDefault="00A43600" w:rsidP="00A43600">
      <w:pPr>
        <w:spacing w:after="0" w:line="240" w:lineRule="auto"/>
        <w:rPr>
          <w:b/>
          <w:sz w:val="24"/>
          <w:szCs w:val="24"/>
        </w:rPr>
      </w:pPr>
      <w:r w:rsidRPr="003A41E6">
        <w:rPr>
          <w:b/>
          <w:sz w:val="24"/>
          <w:szCs w:val="24"/>
        </w:rPr>
        <w:t>Authors:</w:t>
      </w:r>
    </w:p>
    <w:p w:rsidR="00A43600" w:rsidRPr="00487E20" w:rsidRDefault="00A43600" w:rsidP="00A43600">
      <w:pPr>
        <w:spacing w:after="0" w:line="240" w:lineRule="auto"/>
        <w:rPr>
          <w:b/>
          <w:sz w:val="24"/>
          <w:szCs w:val="24"/>
        </w:rPr>
      </w:pPr>
      <w:r w:rsidRPr="00487E20">
        <w:rPr>
          <w:b/>
          <w:sz w:val="24"/>
          <w:szCs w:val="24"/>
        </w:rPr>
        <w:t xml:space="preserve">L.C. </w:t>
      </w:r>
      <w:r w:rsidR="00487E20" w:rsidRPr="00487E20">
        <w:rPr>
          <w:b/>
          <w:sz w:val="24"/>
          <w:szCs w:val="24"/>
        </w:rPr>
        <w:t>Braat (Alterra), F. Boeraeve (U</w:t>
      </w:r>
      <w:r w:rsidR="00487E20">
        <w:rPr>
          <w:b/>
          <w:sz w:val="24"/>
          <w:szCs w:val="24"/>
        </w:rPr>
        <w:t>-</w:t>
      </w:r>
      <w:r w:rsidR="00487E20" w:rsidRPr="00487E20">
        <w:rPr>
          <w:b/>
          <w:sz w:val="24"/>
          <w:szCs w:val="24"/>
        </w:rPr>
        <w:t>Utrecht/Alterra), I. Bouwma (Alterra), T. van Daele (INBO), N. Dendoncker (FUND P), A. Grêt-Regamy, C. Klok (IMARES</w:t>
      </w:r>
      <w:r w:rsidR="00487E20">
        <w:rPr>
          <w:b/>
          <w:sz w:val="24"/>
          <w:szCs w:val="24"/>
        </w:rPr>
        <w:t>/Alterra</w:t>
      </w:r>
      <w:r w:rsidR="00487E20" w:rsidRPr="00487E20">
        <w:rPr>
          <w:b/>
          <w:sz w:val="24"/>
          <w:szCs w:val="24"/>
        </w:rPr>
        <w:t>), L. Miguel-Ayala (Alterra), M. Perez-Soba</w:t>
      </w:r>
      <w:r w:rsidR="00487E20">
        <w:rPr>
          <w:b/>
          <w:sz w:val="24"/>
          <w:szCs w:val="24"/>
        </w:rPr>
        <w:t xml:space="preserve"> (Alterra)</w:t>
      </w:r>
      <w:r w:rsidR="00487E20" w:rsidRPr="00487E20">
        <w:rPr>
          <w:b/>
          <w:sz w:val="24"/>
          <w:szCs w:val="24"/>
        </w:rPr>
        <w:t>,  J. Peterseil</w:t>
      </w:r>
      <w:r w:rsidR="00487E20">
        <w:rPr>
          <w:b/>
          <w:sz w:val="24"/>
          <w:szCs w:val="24"/>
        </w:rPr>
        <w:t xml:space="preserve"> (EAA)</w:t>
      </w:r>
      <w:r w:rsidR="00487E20" w:rsidRPr="00487E20">
        <w:rPr>
          <w:b/>
          <w:sz w:val="24"/>
          <w:szCs w:val="24"/>
        </w:rPr>
        <w:t xml:space="preserve">, </w:t>
      </w:r>
      <w:r w:rsidRPr="00487E20">
        <w:rPr>
          <w:b/>
          <w:sz w:val="24"/>
          <w:szCs w:val="24"/>
        </w:rPr>
        <w:t>F. Santos-Martin (UAM</w:t>
      </w:r>
      <w:r w:rsidR="00487E20" w:rsidRPr="00487E20">
        <w:rPr>
          <w:b/>
          <w:sz w:val="24"/>
          <w:szCs w:val="24"/>
        </w:rPr>
        <w:t>), P. Scholefield (CEH),A. Torre-Marin (ECNC)</w:t>
      </w:r>
      <w:r w:rsidR="00487E20">
        <w:rPr>
          <w:b/>
          <w:sz w:val="24"/>
          <w:szCs w:val="24"/>
        </w:rPr>
        <w:t>,</w:t>
      </w:r>
      <w:r w:rsidRPr="00487E20">
        <w:rPr>
          <w:b/>
          <w:sz w:val="24"/>
          <w:szCs w:val="24"/>
        </w:rPr>
        <w:t>B. Weibel (ETH-Zurich),</w:t>
      </w:r>
      <w:r w:rsidR="00487E20">
        <w:rPr>
          <w:b/>
          <w:sz w:val="24"/>
          <w:szCs w:val="24"/>
        </w:rPr>
        <w:t xml:space="preserve"> M. Weiss (EAA)</w:t>
      </w:r>
    </w:p>
    <w:p w:rsidR="00A43600" w:rsidRPr="00487E20" w:rsidRDefault="00A43600" w:rsidP="00676F5E">
      <w:pPr>
        <w:rPr>
          <w:b/>
          <w:sz w:val="40"/>
          <w:szCs w:val="40"/>
        </w:rPr>
      </w:pPr>
    </w:p>
    <w:p w:rsidR="00676F5E" w:rsidRDefault="00676F5E" w:rsidP="00676F5E">
      <w:pPr>
        <w:rPr>
          <w:b/>
          <w:sz w:val="36"/>
          <w:szCs w:val="36"/>
        </w:rPr>
      </w:pPr>
      <w:r w:rsidRPr="003A41E6">
        <w:rPr>
          <w:b/>
          <w:sz w:val="36"/>
          <w:szCs w:val="36"/>
        </w:rPr>
        <w:t xml:space="preserve">TABLE OF CONTENTS </w:t>
      </w:r>
    </w:p>
    <w:p w:rsidR="006859C7" w:rsidRDefault="006859C7" w:rsidP="006859C7">
      <w:pPr>
        <w:tabs>
          <w:tab w:val="left" w:pos="7230"/>
        </w:tabs>
        <w:rPr>
          <w:b/>
          <w:sz w:val="24"/>
          <w:szCs w:val="24"/>
        </w:rPr>
      </w:pPr>
      <w:r w:rsidRPr="006859C7">
        <w:rPr>
          <w:b/>
          <w:sz w:val="24"/>
          <w:szCs w:val="24"/>
        </w:rPr>
        <w:t>PREFACE</w:t>
      </w:r>
      <w:r>
        <w:rPr>
          <w:b/>
          <w:sz w:val="24"/>
          <w:szCs w:val="24"/>
        </w:rPr>
        <w:tab/>
        <w:t>3</w:t>
      </w:r>
    </w:p>
    <w:p w:rsidR="00DB3BA9" w:rsidRPr="006859C7" w:rsidRDefault="00DB3BA9" w:rsidP="006859C7">
      <w:pPr>
        <w:tabs>
          <w:tab w:val="left" w:pos="7230"/>
        </w:tabs>
        <w:rPr>
          <w:b/>
          <w:sz w:val="24"/>
          <w:szCs w:val="24"/>
        </w:rPr>
      </w:pPr>
      <w:r>
        <w:rPr>
          <w:b/>
          <w:sz w:val="24"/>
          <w:szCs w:val="24"/>
        </w:rPr>
        <w:t>TABLE OF CONTENTS</w:t>
      </w:r>
      <w:r>
        <w:rPr>
          <w:b/>
          <w:sz w:val="24"/>
          <w:szCs w:val="24"/>
        </w:rPr>
        <w:tab/>
        <w:t>4</w:t>
      </w:r>
    </w:p>
    <w:p w:rsidR="00676F5E" w:rsidRPr="00A43600" w:rsidRDefault="00676F5E" w:rsidP="00A43600">
      <w:pPr>
        <w:pStyle w:val="Paragraphedeliste"/>
        <w:numPr>
          <w:ilvl w:val="0"/>
          <w:numId w:val="13"/>
        </w:numPr>
        <w:spacing w:after="0" w:line="240" w:lineRule="auto"/>
        <w:rPr>
          <w:b/>
          <w:sz w:val="24"/>
          <w:szCs w:val="24"/>
        </w:rPr>
      </w:pPr>
      <w:r w:rsidRPr="00A43600">
        <w:rPr>
          <w:b/>
          <w:sz w:val="24"/>
          <w:szCs w:val="24"/>
        </w:rPr>
        <w:t xml:space="preserve">INTRODUCTION </w:t>
      </w:r>
      <w:r w:rsidRPr="00A43600">
        <w:rPr>
          <w:b/>
          <w:sz w:val="24"/>
          <w:szCs w:val="24"/>
        </w:rPr>
        <w:tab/>
      </w:r>
      <w:r w:rsidRPr="00A43600">
        <w:rPr>
          <w:b/>
          <w:sz w:val="24"/>
          <w:szCs w:val="24"/>
        </w:rPr>
        <w:tab/>
      </w:r>
      <w:r w:rsidRPr="00A43600">
        <w:rPr>
          <w:b/>
          <w:sz w:val="24"/>
          <w:szCs w:val="24"/>
        </w:rPr>
        <w:tab/>
      </w:r>
      <w:r w:rsidRPr="00A43600">
        <w:rPr>
          <w:b/>
          <w:sz w:val="24"/>
          <w:szCs w:val="24"/>
        </w:rPr>
        <w:tab/>
      </w:r>
      <w:r w:rsidRPr="00A43600">
        <w:rPr>
          <w:b/>
          <w:sz w:val="24"/>
          <w:szCs w:val="24"/>
        </w:rPr>
        <w:tab/>
      </w:r>
      <w:r w:rsidRPr="00A43600">
        <w:rPr>
          <w:b/>
          <w:sz w:val="24"/>
          <w:szCs w:val="24"/>
        </w:rPr>
        <w:tab/>
      </w:r>
      <w:r w:rsidRPr="00A43600">
        <w:rPr>
          <w:b/>
          <w:sz w:val="24"/>
          <w:szCs w:val="24"/>
        </w:rPr>
        <w:tab/>
      </w:r>
      <w:r w:rsidR="00DB3BA9">
        <w:rPr>
          <w:b/>
          <w:sz w:val="24"/>
          <w:szCs w:val="24"/>
        </w:rPr>
        <w:t>5</w:t>
      </w:r>
    </w:p>
    <w:p w:rsidR="00676F5E" w:rsidRPr="00A43600" w:rsidRDefault="00676F5E" w:rsidP="00A43600">
      <w:pPr>
        <w:pStyle w:val="Titre2"/>
        <w:spacing w:before="0" w:line="240" w:lineRule="auto"/>
        <w:rPr>
          <w:rFonts w:asciiTheme="minorHAnsi" w:hAnsiTheme="minorHAnsi"/>
          <w:color w:val="auto"/>
          <w:sz w:val="24"/>
          <w:szCs w:val="24"/>
        </w:rPr>
      </w:pPr>
      <w:r w:rsidRPr="00A43600">
        <w:rPr>
          <w:rFonts w:asciiTheme="minorHAnsi" w:hAnsiTheme="minorHAnsi"/>
          <w:color w:val="auto"/>
          <w:sz w:val="24"/>
          <w:szCs w:val="24"/>
        </w:rPr>
        <w:t xml:space="preserve">1.1 </w:t>
      </w:r>
      <w:r w:rsidRPr="00A43600">
        <w:rPr>
          <w:rFonts w:asciiTheme="minorHAnsi" w:hAnsiTheme="minorHAnsi"/>
          <w:color w:val="auto"/>
          <w:sz w:val="24"/>
          <w:szCs w:val="24"/>
        </w:rPr>
        <w:tab/>
        <w:t>The context of the study</w:t>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00DB3BA9">
        <w:rPr>
          <w:rFonts w:asciiTheme="minorHAnsi" w:hAnsiTheme="minorHAnsi"/>
          <w:color w:val="auto"/>
          <w:sz w:val="24"/>
          <w:szCs w:val="24"/>
        </w:rPr>
        <w:t>5</w:t>
      </w:r>
    </w:p>
    <w:p w:rsidR="00676F5E" w:rsidRPr="00A43600" w:rsidRDefault="00676F5E" w:rsidP="00A43600">
      <w:pPr>
        <w:pStyle w:val="Titre2"/>
        <w:numPr>
          <w:ilvl w:val="1"/>
          <w:numId w:val="11"/>
        </w:numPr>
        <w:spacing w:before="0" w:line="240" w:lineRule="auto"/>
        <w:rPr>
          <w:rFonts w:asciiTheme="minorHAnsi" w:hAnsiTheme="minorHAnsi"/>
          <w:color w:val="auto"/>
          <w:sz w:val="24"/>
          <w:szCs w:val="24"/>
        </w:rPr>
      </w:pPr>
      <w:r w:rsidRPr="00A43600">
        <w:rPr>
          <w:rFonts w:asciiTheme="minorHAnsi" w:hAnsiTheme="minorHAnsi"/>
          <w:color w:val="auto"/>
          <w:sz w:val="24"/>
          <w:szCs w:val="24"/>
        </w:rPr>
        <w:t>Introduction to the consortium</w:t>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00DB3BA9">
        <w:rPr>
          <w:rFonts w:asciiTheme="minorHAnsi" w:hAnsiTheme="minorHAnsi"/>
          <w:color w:val="auto"/>
          <w:sz w:val="24"/>
          <w:szCs w:val="24"/>
        </w:rPr>
        <w:t>6</w:t>
      </w:r>
    </w:p>
    <w:p w:rsidR="00676F5E" w:rsidRPr="00A43600" w:rsidRDefault="00676F5E" w:rsidP="00A43600">
      <w:pPr>
        <w:spacing w:after="0" w:line="240" w:lineRule="auto"/>
        <w:rPr>
          <w:sz w:val="24"/>
          <w:szCs w:val="24"/>
        </w:rPr>
      </w:pPr>
    </w:p>
    <w:p w:rsidR="00676F5E" w:rsidRPr="00A43600" w:rsidRDefault="00676F5E" w:rsidP="00A43600">
      <w:pPr>
        <w:pStyle w:val="Paragraphedeliste"/>
        <w:numPr>
          <w:ilvl w:val="0"/>
          <w:numId w:val="13"/>
        </w:numPr>
        <w:spacing w:after="0" w:line="240" w:lineRule="auto"/>
        <w:rPr>
          <w:b/>
          <w:sz w:val="24"/>
          <w:szCs w:val="24"/>
        </w:rPr>
      </w:pPr>
      <w:r w:rsidRPr="00A43600">
        <w:rPr>
          <w:b/>
          <w:sz w:val="24"/>
          <w:szCs w:val="24"/>
        </w:rPr>
        <w:t>THE OBJECTIVES AND TASKS</w:t>
      </w:r>
      <w:r w:rsidRPr="00A43600">
        <w:rPr>
          <w:b/>
          <w:sz w:val="24"/>
          <w:szCs w:val="24"/>
        </w:rPr>
        <w:tab/>
      </w:r>
      <w:r w:rsidRPr="00A43600">
        <w:rPr>
          <w:b/>
          <w:sz w:val="24"/>
          <w:szCs w:val="24"/>
        </w:rPr>
        <w:tab/>
      </w:r>
      <w:r w:rsidRPr="00A43600">
        <w:rPr>
          <w:b/>
          <w:sz w:val="24"/>
          <w:szCs w:val="24"/>
        </w:rPr>
        <w:tab/>
      </w:r>
      <w:r w:rsidRPr="00A43600">
        <w:rPr>
          <w:b/>
          <w:sz w:val="24"/>
          <w:szCs w:val="24"/>
        </w:rPr>
        <w:tab/>
      </w:r>
      <w:r w:rsidRPr="00A43600">
        <w:rPr>
          <w:b/>
          <w:sz w:val="24"/>
          <w:szCs w:val="24"/>
        </w:rPr>
        <w:tab/>
      </w:r>
      <w:r w:rsidRPr="00A43600">
        <w:rPr>
          <w:b/>
          <w:sz w:val="24"/>
          <w:szCs w:val="24"/>
        </w:rPr>
        <w:tab/>
        <w:t xml:space="preserve">  7</w:t>
      </w:r>
    </w:p>
    <w:p w:rsidR="00676F5E" w:rsidRPr="00A43600" w:rsidRDefault="00676F5E" w:rsidP="00A43600">
      <w:pPr>
        <w:pStyle w:val="Titre2"/>
        <w:spacing w:before="0" w:line="240" w:lineRule="auto"/>
        <w:rPr>
          <w:rFonts w:asciiTheme="minorHAnsi" w:hAnsiTheme="minorHAnsi"/>
          <w:color w:val="auto"/>
          <w:sz w:val="24"/>
          <w:szCs w:val="24"/>
        </w:rPr>
      </w:pPr>
      <w:r w:rsidRPr="00A43600">
        <w:rPr>
          <w:rFonts w:asciiTheme="minorHAnsi" w:hAnsiTheme="minorHAnsi"/>
          <w:color w:val="auto"/>
          <w:sz w:val="24"/>
          <w:szCs w:val="24"/>
        </w:rPr>
        <w:t>2.1</w:t>
      </w:r>
      <w:r w:rsidRPr="00A43600">
        <w:rPr>
          <w:rFonts w:asciiTheme="minorHAnsi" w:hAnsiTheme="minorHAnsi"/>
          <w:color w:val="auto"/>
          <w:sz w:val="24"/>
          <w:szCs w:val="24"/>
        </w:rPr>
        <w:tab/>
        <w:t>The Objective</w:t>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t xml:space="preserve">  7</w:t>
      </w:r>
    </w:p>
    <w:p w:rsidR="00676F5E" w:rsidRDefault="00676F5E" w:rsidP="00A43600">
      <w:pPr>
        <w:pStyle w:val="Titre2"/>
        <w:numPr>
          <w:ilvl w:val="1"/>
          <w:numId w:val="12"/>
        </w:numPr>
        <w:spacing w:before="0" w:line="240" w:lineRule="auto"/>
        <w:rPr>
          <w:rFonts w:asciiTheme="minorHAnsi" w:hAnsiTheme="minorHAnsi"/>
          <w:color w:val="auto"/>
          <w:sz w:val="24"/>
          <w:szCs w:val="24"/>
        </w:rPr>
      </w:pPr>
      <w:r w:rsidRPr="00A43600">
        <w:rPr>
          <w:rFonts w:asciiTheme="minorHAnsi" w:hAnsiTheme="minorHAnsi"/>
          <w:color w:val="auto"/>
          <w:sz w:val="24"/>
          <w:szCs w:val="24"/>
        </w:rPr>
        <w:t>Overall approach to the study</w:t>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00DB3BA9">
        <w:rPr>
          <w:rFonts w:asciiTheme="minorHAnsi" w:hAnsiTheme="minorHAnsi"/>
          <w:color w:val="auto"/>
          <w:sz w:val="24"/>
          <w:szCs w:val="24"/>
        </w:rPr>
        <w:t>7</w:t>
      </w:r>
    </w:p>
    <w:p w:rsidR="00A43600" w:rsidRPr="00A43600" w:rsidRDefault="00A43600" w:rsidP="00A43600">
      <w:pPr>
        <w:spacing w:after="0"/>
      </w:pPr>
    </w:p>
    <w:p w:rsidR="00676F5E" w:rsidRPr="00A43600" w:rsidRDefault="00E04AB7" w:rsidP="00A43600">
      <w:pPr>
        <w:pStyle w:val="Titre1"/>
        <w:numPr>
          <w:ilvl w:val="0"/>
          <w:numId w:val="13"/>
        </w:numPr>
        <w:spacing w:before="0" w:line="240" w:lineRule="auto"/>
        <w:rPr>
          <w:rFonts w:asciiTheme="minorHAnsi" w:hAnsiTheme="minorHAnsi"/>
          <w:color w:val="auto"/>
          <w:sz w:val="24"/>
          <w:szCs w:val="24"/>
        </w:rPr>
      </w:pPr>
      <w:r>
        <w:rPr>
          <w:rFonts w:asciiTheme="minorHAnsi" w:hAnsiTheme="minorHAnsi"/>
          <w:color w:val="auto"/>
          <w:sz w:val="24"/>
          <w:szCs w:val="24"/>
        </w:rPr>
        <w:t>SUMMARY AND CONCLUSIONS</w:t>
      </w:r>
      <w:r w:rsidR="00676F5E" w:rsidRPr="00A43600">
        <w:rPr>
          <w:rFonts w:asciiTheme="minorHAnsi" w:hAnsiTheme="minorHAnsi"/>
          <w:color w:val="auto"/>
          <w:sz w:val="24"/>
          <w:szCs w:val="24"/>
        </w:rPr>
        <w:tab/>
      </w:r>
      <w:r w:rsidR="00676F5E" w:rsidRPr="00A43600">
        <w:rPr>
          <w:rFonts w:asciiTheme="minorHAnsi" w:hAnsiTheme="minorHAnsi"/>
          <w:color w:val="auto"/>
          <w:sz w:val="24"/>
          <w:szCs w:val="24"/>
        </w:rPr>
        <w:tab/>
      </w:r>
      <w:r w:rsidR="00676F5E" w:rsidRPr="00A43600">
        <w:rPr>
          <w:rFonts w:asciiTheme="minorHAnsi" w:hAnsiTheme="minorHAnsi"/>
          <w:color w:val="auto"/>
          <w:sz w:val="24"/>
          <w:szCs w:val="24"/>
        </w:rPr>
        <w:tab/>
      </w:r>
      <w:r w:rsidR="00676F5E" w:rsidRPr="00A43600">
        <w:rPr>
          <w:rFonts w:asciiTheme="minorHAnsi" w:hAnsiTheme="minorHAnsi"/>
          <w:color w:val="auto"/>
          <w:sz w:val="24"/>
          <w:szCs w:val="24"/>
        </w:rPr>
        <w:tab/>
      </w:r>
      <w:r w:rsidR="00676F5E" w:rsidRPr="00A43600">
        <w:rPr>
          <w:rFonts w:asciiTheme="minorHAnsi" w:hAnsiTheme="minorHAnsi"/>
          <w:color w:val="auto"/>
          <w:sz w:val="24"/>
          <w:szCs w:val="24"/>
        </w:rPr>
        <w:tab/>
        <w:t>10</w:t>
      </w:r>
    </w:p>
    <w:p w:rsidR="00676F5E" w:rsidRPr="00A43600" w:rsidRDefault="00676F5E" w:rsidP="00A43600">
      <w:pPr>
        <w:pStyle w:val="Titre2"/>
        <w:spacing w:before="0" w:line="240" w:lineRule="auto"/>
        <w:rPr>
          <w:rFonts w:asciiTheme="minorHAnsi" w:hAnsiTheme="minorHAnsi"/>
          <w:color w:val="auto"/>
          <w:sz w:val="24"/>
          <w:szCs w:val="24"/>
        </w:rPr>
      </w:pPr>
      <w:r w:rsidRPr="00A43600">
        <w:rPr>
          <w:rFonts w:asciiTheme="minorHAnsi" w:hAnsiTheme="minorHAnsi"/>
          <w:color w:val="auto"/>
          <w:sz w:val="24"/>
          <w:szCs w:val="24"/>
        </w:rPr>
        <w:t xml:space="preserve">3.1 </w:t>
      </w:r>
      <w:r w:rsidRPr="00A43600">
        <w:rPr>
          <w:rFonts w:asciiTheme="minorHAnsi" w:hAnsiTheme="minorHAnsi"/>
          <w:color w:val="auto"/>
          <w:sz w:val="24"/>
          <w:szCs w:val="24"/>
        </w:rPr>
        <w:tab/>
      </w:r>
      <w:r w:rsidR="00E04AB7">
        <w:rPr>
          <w:rFonts w:asciiTheme="minorHAnsi" w:hAnsiTheme="minorHAnsi"/>
          <w:color w:val="auto"/>
          <w:sz w:val="24"/>
          <w:szCs w:val="24"/>
        </w:rPr>
        <w:t>Summary Task 1</w:t>
      </w:r>
      <w:r w:rsidR="00E04AB7">
        <w:rPr>
          <w:rFonts w:asciiTheme="minorHAnsi" w:hAnsiTheme="minorHAnsi"/>
          <w:color w:val="auto"/>
          <w:sz w:val="24"/>
          <w:szCs w:val="24"/>
        </w:rPr>
        <w:tab/>
      </w:r>
      <w:r w:rsidR="00E04AB7">
        <w:rPr>
          <w:rFonts w:asciiTheme="minorHAnsi" w:hAnsiTheme="minorHAnsi"/>
          <w:color w:val="auto"/>
          <w:sz w:val="24"/>
          <w:szCs w:val="24"/>
        </w:rPr>
        <w:tab/>
      </w:r>
      <w:r w:rsidR="00E04AB7">
        <w:rPr>
          <w:rFonts w:asciiTheme="minorHAnsi" w:hAnsiTheme="minorHAnsi"/>
          <w:color w:val="auto"/>
          <w:sz w:val="24"/>
          <w:szCs w:val="24"/>
        </w:rPr>
        <w:tab/>
      </w:r>
      <w:r w:rsidR="00E04AB7">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t>10</w:t>
      </w:r>
    </w:p>
    <w:p w:rsidR="00676F5E" w:rsidRPr="00A43600" w:rsidRDefault="00676F5E" w:rsidP="00A43600">
      <w:pPr>
        <w:pStyle w:val="Titre2"/>
        <w:spacing w:before="0" w:line="240" w:lineRule="auto"/>
        <w:rPr>
          <w:rFonts w:asciiTheme="minorHAnsi" w:hAnsiTheme="minorHAnsi"/>
          <w:color w:val="auto"/>
          <w:sz w:val="24"/>
          <w:szCs w:val="24"/>
        </w:rPr>
      </w:pPr>
      <w:r w:rsidRPr="00A43600">
        <w:rPr>
          <w:rFonts w:asciiTheme="minorHAnsi" w:hAnsiTheme="minorHAnsi"/>
          <w:color w:val="auto"/>
          <w:sz w:val="24"/>
          <w:szCs w:val="24"/>
        </w:rPr>
        <w:t xml:space="preserve">3.2 </w:t>
      </w:r>
      <w:r w:rsidRPr="00A43600">
        <w:rPr>
          <w:rFonts w:asciiTheme="minorHAnsi" w:hAnsiTheme="minorHAnsi"/>
          <w:color w:val="auto"/>
          <w:sz w:val="24"/>
          <w:szCs w:val="24"/>
        </w:rPr>
        <w:tab/>
      </w:r>
      <w:r w:rsidR="00E04AB7">
        <w:rPr>
          <w:rFonts w:asciiTheme="minorHAnsi" w:hAnsiTheme="minorHAnsi"/>
          <w:color w:val="auto"/>
          <w:sz w:val="24"/>
          <w:szCs w:val="24"/>
        </w:rPr>
        <w:t>Summary Task 2</w:t>
      </w:r>
      <w:r w:rsidR="00E04AB7">
        <w:rPr>
          <w:rFonts w:asciiTheme="minorHAnsi" w:hAnsiTheme="minorHAnsi"/>
          <w:color w:val="auto"/>
          <w:sz w:val="24"/>
          <w:szCs w:val="24"/>
        </w:rPr>
        <w:tab/>
      </w:r>
      <w:r w:rsidR="00E04AB7">
        <w:rPr>
          <w:rFonts w:asciiTheme="minorHAnsi" w:hAnsiTheme="minorHAnsi"/>
          <w:color w:val="auto"/>
          <w:sz w:val="24"/>
          <w:szCs w:val="24"/>
        </w:rPr>
        <w:tab/>
      </w:r>
      <w:r w:rsidR="00E04AB7">
        <w:rPr>
          <w:rFonts w:asciiTheme="minorHAnsi" w:hAnsiTheme="minorHAnsi"/>
          <w:color w:val="auto"/>
          <w:sz w:val="24"/>
          <w:szCs w:val="24"/>
        </w:rPr>
        <w:tab/>
      </w:r>
      <w:r w:rsidR="00E04AB7">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t>1</w:t>
      </w:r>
      <w:r w:rsidR="00DB3BA9">
        <w:rPr>
          <w:rFonts w:asciiTheme="minorHAnsi" w:hAnsiTheme="minorHAnsi"/>
          <w:color w:val="auto"/>
          <w:sz w:val="24"/>
          <w:szCs w:val="24"/>
        </w:rPr>
        <w:t>8</w:t>
      </w:r>
    </w:p>
    <w:p w:rsidR="00676F5E" w:rsidRPr="00A43600" w:rsidRDefault="00676F5E" w:rsidP="00A43600">
      <w:pPr>
        <w:pStyle w:val="Titre2"/>
        <w:spacing w:before="0" w:line="240" w:lineRule="auto"/>
        <w:rPr>
          <w:rFonts w:asciiTheme="minorHAnsi" w:hAnsiTheme="minorHAnsi"/>
          <w:color w:val="auto"/>
          <w:sz w:val="24"/>
          <w:szCs w:val="24"/>
        </w:rPr>
      </w:pPr>
      <w:r w:rsidRPr="00A43600">
        <w:rPr>
          <w:rFonts w:asciiTheme="minorHAnsi" w:hAnsiTheme="minorHAnsi"/>
          <w:color w:val="auto"/>
          <w:sz w:val="24"/>
          <w:szCs w:val="24"/>
        </w:rPr>
        <w:t xml:space="preserve">3.3 </w:t>
      </w:r>
      <w:r w:rsidRPr="00A43600">
        <w:rPr>
          <w:rFonts w:asciiTheme="minorHAnsi" w:hAnsiTheme="minorHAnsi"/>
          <w:color w:val="auto"/>
          <w:sz w:val="24"/>
          <w:szCs w:val="24"/>
        </w:rPr>
        <w:tab/>
      </w:r>
      <w:r w:rsidR="00E04AB7">
        <w:rPr>
          <w:rFonts w:asciiTheme="minorHAnsi" w:hAnsiTheme="minorHAnsi"/>
          <w:color w:val="auto"/>
          <w:sz w:val="24"/>
          <w:szCs w:val="24"/>
        </w:rPr>
        <w:t>Summary Task 3</w:t>
      </w:r>
      <w:r w:rsidR="00E04AB7">
        <w:rPr>
          <w:rFonts w:asciiTheme="minorHAnsi" w:hAnsiTheme="minorHAnsi"/>
          <w:color w:val="auto"/>
          <w:sz w:val="24"/>
          <w:szCs w:val="24"/>
        </w:rPr>
        <w:tab/>
      </w:r>
      <w:r w:rsidR="00E04AB7">
        <w:rPr>
          <w:rFonts w:asciiTheme="minorHAnsi" w:hAnsiTheme="minorHAnsi"/>
          <w:color w:val="auto"/>
          <w:sz w:val="24"/>
          <w:szCs w:val="24"/>
        </w:rPr>
        <w:tab/>
      </w:r>
      <w:r w:rsidR="00E04AB7">
        <w:rPr>
          <w:rFonts w:asciiTheme="minorHAnsi" w:hAnsiTheme="minorHAnsi"/>
          <w:color w:val="auto"/>
          <w:sz w:val="24"/>
          <w:szCs w:val="24"/>
        </w:rPr>
        <w:tab/>
      </w:r>
      <w:r w:rsidR="00E04AB7">
        <w:rPr>
          <w:rFonts w:asciiTheme="minorHAnsi" w:hAnsiTheme="minorHAnsi"/>
          <w:color w:val="auto"/>
          <w:sz w:val="24"/>
          <w:szCs w:val="24"/>
        </w:rPr>
        <w:tab/>
      </w:r>
      <w:r w:rsidR="00E04AB7">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00DB3BA9">
        <w:rPr>
          <w:rFonts w:asciiTheme="minorHAnsi" w:hAnsiTheme="minorHAnsi"/>
          <w:color w:val="auto"/>
          <w:sz w:val="24"/>
          <w:szCs w:val="24"/>
        </w:rPr>
        <w:t>21</w:t>
      </w:r>
    </w:p>
    <w:p w:rsidR="00676F5E" w:rsidRPr="00A43600" w:rsidRDefault="00676F5E" w:rsidP="00A43600">
      <w:pPr>
        <w:pStyle w:val="Titre2"/>
        <w:spacing w:before="0" w:line="240" w:lineRule="auto"/>
        <w:rPr>
          <w:rFonts w:asciiTheme="minorHAnsi" w:hAnsiTheme="minorHAnsi"/>
          <w:color w:val="auto"/>
          <w:sz w:val="24"/>
          <w:szCs w:val="24"/>
        </w:rPr>
      </w:pPr>
      <w:r w:rsidRPr="00A43600">
        <w:rPr>
          <w:rFonts w:asciiTheme="minorHAnsi" w:hAnsiTheme="minorHAnsi"/>
          <w:color w:val="auto"/>
          <w:sz w:val="24"/>
          <w:szCs w:val="24"/>
        </w:rPr>
        <w:t>3.4</w:t>
      </w:r>
      <w:r w:rsidRPr="00A43600">
        <w:rPr>
          <w:rFonts w:asciiTheme="minorHAnsi" w:hAnsiTheme="minorHAnsi"/>
          <w:color w:val="auto"/>
          <w:sz w:val="24"/>
          <w:szCs w:val="24"/>
        </w:rPr>
        <w:tab/>
      </w:r>
      <w:r w:rsidR="00E04AB7">
        <w:rPr>
          <w:rFonts w:asciiTheme="minorHAnsi" w:hAnsiTheme="minorHAnsi"/>
          <w:color w:val="auto"/>
          <w:sz w:val="24"/>
          <w:szCs w:val="24"/>
        </w:rPr>
        <w:t>Summary Task 4</w:t>
      </w:r>
      <w:r w:rsidR="00E04AB7">
        <w:rPr>
          <w:rFonts w:asciiTheme="minorHAnsi" w:hAnsiTheme="minorHAnsi"/>
          <w:color w:val="auto"/>
          <w:sz w:val="24"/>
          <w:szCs w:val="24"/>
        </w:rPr>
        <w:tab/>
      </w:r>
      <w:r w:rsidR="00E04AB7">
        <w:rPr>
          <w:rFonts w:asciiTheme="minorHAnsi" w:hAnsiTheme="minorHAnsi"/>
          <w:color w:val="auto"/>
          <w:sz w:val="24"/>
          <w:szCs w:val="24"/>
        </w:rPr>
        <w:tab/>
      </w:r>
      <w:r w:rsidR="00E04AB7">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Pr="00A43600">
        <w:rPr>
          <w:rFonts w:asciiTheme="minorHAnsi" w:hAnsiTheme="minorHAnsi"/>
          <w:color w:val="auto"/>
          <w:sz w:val="24"/>
          <w:szCs w:val="24"/>
        </w:rPr>
        <w:tab/>
      </w:r>
      <w:r w:rsidR="00AB0746">
        <w:rPr>
          <w:rFonts w:asciiTheme="minorHAnsi" w:hAnsiTheme="minorHAnsi"/>
          <w:color w:val="auto"/>
          <w:sz w:val="24"/>
          <w:szCs w:val="24"/>
        </w:rPr>
        <w:t>28</w:t>
      </w:r>
    </w:p>
    <w:p w:rsidR="00676F5E" w:rsidRDefault="00676F5E" w:rsidP="00A43600">
      <w:pPr>
        <w:spacing w:after="0" w:line="240" w:lineRule="auto"/>
        <w:ind w:left="851" w:hanging="851"/>
        <w:contextualSpacing/>
        <w:jc w:val="both"/>
        <w:rPr>
          <w:rFonts w:cstheme="minorHAnsi"/>
          <w:b/>
          <w:sz w:val="24"/>
          <w:szCs w:val="24"/>
        </w:rPr>
      </w:pPr>
    </w:p>
    <w:p w:rsidR="00CB73A3" w:rsidRDefault="00E04AB7" w:rsidP="00DB3BA9">
      <w:pPr>
        <w:pStyle w:val="Paragraphedeliste"/>
        <w:numPr>
          <w:ilvl w:val="0"/>
          <w:numId w:val="13"/>
        </w:numPr>
        <w:tabs>
          <w:tab w:val="left" w:pos="7230"/>
        </w:tabs>
        <w:spacing w:after="0" w:line="240" w:lineRule="auto"/>
        <w:jc w:val="both"/>
        <w:rPr>
          <w:rFonts w:cstheme="minorHAnsi"/>
          <w:b/>
          <w:sz w:val="24"/>
          <w:szCs w:val="24"/>
        </w:rPr>
      </w:pPr>
      <w:r w:rsidRPr="00E04AB7">
        <w:rPr>
          <w:rFonts w:cstheme="minorHAnsi"/>
          <w:b/>
          <w:sz w:val="24"/>
          <w:szCs w:val="24"/>
        </w:rPr>
        <w:t>CONCLUDING REMARKS</w:t>
      </w:r>
      <w:r w:rsidR="00DB3BA9">
        <w:rPr>
          <w:rFonts w:cstheme="minorHAnsi"/>
          <w:b/>
          <w:sz w:val="24"/>
          <w:szCs w:val="24"/>
        </w:rPr>
        <w:tab/>
        <w:t>3</w:t>
      </w:r>
      <w:r w:rsidR="00AB0746">
        <w:rPr>
          <w:rFonts w:cstheme="minorHAnsi"/>
          <w:b/>
          <w:sz w:val="24"/>
          <w:szCs w:val="24"/>
        </w:rPr>
        <w:t>0</w:t>
      </w:r>
    </w:p>
    <w:p w:rsidR="00DB3BA9" w:rsidRDefault="00DB3BA9" w:rsidP="00DB3BA9">
      <w:pPr>
        <w:tabs>
          <w:tab w:val="left" w:pos="7230"/>
        </w:tabs>
        <w:spacing w:after="0" w:line="240" w:lineRule="auto"/>
        <w:jc w:val="both"/>
        <w:rPr>
          <w:rFonts w:cstheme="minorHAnsi"/>
          <w:b/>
          <w:sz w:val="24"/>
          <w:szCs w:val="24"/>
        </w:rPr>
      </w:pPr>
    </w:p>
    <w:p w:rsidR="00D460E3" w:rsidRDefault="00D460E3" w:rsidP="00CB73A3">
      <w:pPr>
        <w:spacing w:after="0" w:line="240" w:lineRule="auto"/>
        <w:jc w:val="both"/>
        <w:rPr>
          <w:rFonts w:cstheme="minorHAnsi"/>
          <w:b/>
          <w:sz w:val="24"/>
          <w:szCs w:val="24"/>
        </w:rPr>
      </w:pPr>
    </w:p>
    <w:p w:rsidR="00CB73A3" w:rsidRPr="00CB73A3" w:rsidRDefault="00D460E3" w:rsidP="00FD6E78">
      <w:pPr>
        <w:tabs>
          <w:tab w:val="left" w:pos="7230"/>
        </w:tabs>
        <w:spacing w:after="0" w:line="240" w:lineRule="auto"/>
        <w:jc w:val="both"/>
        <w:rPr>
          <w:rFonts w:cstheme="minorHAnsi"/>
          <w:b/>
          <w:sz w:val="24"/>
          <w:szCs w:val="24"/>
        </w:rPr>
      </w:pPr>
      <w:r>
        <w:rPr>
          <w:rFonts w:cstheme="minorHAnsi"/>
          <w:b/>
          <w:sz w:val="24"/>
          <w:szCs w:val="24"/>
        </w:rPr>
        <w:t>TABLE OF CONTENTS PART 2</w:t>
      </w:r>
      <w:r w:rsidR="00FD6E78">
        <w:rPr>
          <w:rFonts w:cstheme="minorHAnsi"/>
          <w:b/>
          <w:sz w:val="24"/>
          <w:szCs w:val="24"/>
        </w:rPr>
        <w:tab/>
        <w:t>3</w:t>
      </w:r>
      <w:r w:rsidR="00AB0746">
        <w:rPr>
          <w:rFonts w:cstheme="minorHAnsi"/>
          <w:b/>
          <w:sz w:val="24"/>
          <w:szCs w:val="24"/>
        </w:rPr>
        <w:t>2</w:t>
      </w:r>
    </w:p>
    <w:p w:rsidR="00D460E3" w:rsidRPr="00CB73A3" w:rsidRDefault="00D460E3" w:rsidP="00FD6E78">
      <w:pPr>
        <w:tabs>
          <w:tab w:val="left" w:pos="7230"/>
        </w:tabs>
        <w:spacing w:after="0" w:line="240" w:lineRule="auto"/>
        <w:jc w:val="both"/>
        <w:rPr>
          <w:rFonts w:cstheme="minorHAnsi"/>
          <w:b/>
          <w:sz w:val="24"/>
          <w:szCs w:val="24"/>
        </w:rPr>
      </w:pPr>
      <w:r>
        <w:rPr>
          <w:rFonts w:cstheme="minorHAnsi"/>
          <w:b/>
          <w:sz w:val="24"/>
          <w:szCs w:val="24"/>
        </w:rPr>
        <w:t>TABLE OF CONTENTS PART 3</w:t>
      </w:r>
      <w:r>
        <w:rPr>
          <w:rFonts w:cstheme="minorHAnsi"/>
          <w:b/>
          <w:sz w:val="24"/>
          <w:szCs w:val="24"/>
        </w:rPr>
        <w:tab/>
      </w:r>
      <w:r w:rsidR="00FD6E78">
        <w:rPr>
          <w:rFonts w:cstheme="minorHAnsi"/>
          <w:b/>
          <w:sz w:val="24"/>
          <w:szCs w:val="24"/>
        </w:rPr>
        <w:t>3</w:t>
      </w:r>
      <w:r w:rsidR="00AB0746">
        <w:rPr>
          <w:rFonts w:cstheme="minorHAnsi"/>
          <w:b/>
          <w:sz w:val="24"/>
          <w:szCs w:val="24"/>
        </w:rPr>
        <w:t>4</w:t>
      </w:r>
    </w:p>
    <w:p w:rsidR="00D460E3" w:rsidRPr="00CB73A3" w:rsidRDefault="00D460E3" w:rsidP="00FD6E78">
      <w:pPr>
        <w:tabs>
          <w:tab w:val="left" w:pos="7230"/>
        </w:tabs>
        <w:spacing w:after="0" w:line="240" w:lineRule="auto"/>
        <w:jc w:val="both"/>
        <w:rPr>
          <w:rFonts w:cstheme="minorHAnsi"/>
          <w:b/>
          <w:sz w:val="24"/>
          <w:szCs w:val="24"/>
        </w:rPr>
      </w:pPr>
      <w:r>
        <w:rPr>
          <w:rFonts w:cstheme="minorHAnsi"/>
          <w:b/>
          <w:sz w:val="24"/>
          <w:szCs w:val="24"/>
        </w:rPr>
        <w:t>TABLE OF CONTENTS PART 4</w:t>
      </w:r>
      <w:r>
        <w:rPr>
          <w:rFonts w:cstheme="minorHAnsi"/>
          <w:b/>
          <w:sz w:val="24"/>
          <w:szCs w:val="24"/>
        </w:rPr>
        <w:tab/>
      </w:r>
      <w:r w:rsidR="00AB0746">
        <w:rPr>
          <w:rFonts w:cstheme="minorHAnsi"/>
          <w:b/>
          <w:sz w:val="24"/>
          <w:szCs w:val="24"/>
        </w:rPr>
        <w:t>35</w:t>
      </w:r>
    </w:p>
    <w:p w:rsidR="00D460E3" w:rsidRPr="00CB73A3" w:rsidRDefault="00D460E3" w:rsidP="00FD6E78">
      <w:pPr>
        <w:tabs>
          <w:tab w:val="left" w:pos="7230"/>
        </w:tabs>
        <w:spacing w:after="0" w:line="240" w:lineRule="auto"/>
        <w:jc w:val="both"/>
        <w:rPr>
          <w:rFonts w:cstheme="minorHAnsi"/>
          <w:b/>
          <w:sz w:val="24"/>
          <w:szCs w:val="24"/>
        </w:rPr>
      </w:pPr>
      <w:r>
        <w:rPr>
          <w:rFonts w:cstheme="minorHAnsi"/>
          <w:b/>
          <w:sz w:val="24"/>
          <w:szCs w:val="24"/>
        </w:rPr>
        <w:t>TABLE OF CONTENTS PART 5</w:t>
      </w:r>
      <w:r>
        <w:rPr>
          <w:rFonts w:cstheme="minorHAnsi"/>
          <w:b/>
          <w:sz w:val="24"/>
          <w:szCs w:val="24"/>
        </w:rPr>
        <w:tab/>
      </w:r>
      <w:r w:rsidR="00AB0746">
        <w:rPr>
          <w:rFonts w:cstheme="minorHAnsi"/>
          <w:b/>
          <w:sz w:val="24"/>
          <w:szCs w:val="24"/>
        </w:rPr>
        <w:t>36</w:t>
      </w:r>
    </w:p>
    <w:p w:rsidR="00D460E3" w:rsidRPr="00CB73A3" w:rsidRDefault="00D460E3" w:rsidP="00FD6E78">
      <w:pPr>
        <w:tabs>
          <w:tab w:val="left" w:pos="7230"/>
        </w:tabs>
        <w:spacing w:after="0" w:line="240" w:lineRule="auto"/>
        <w:jc w:val="both"/>
        <w:rPr>
          <w:rFonts w:cstheme="minorHAnsi"/>
          <w:b/>
          <w:sz w:val="24"/>
          <w:szCs w:val="24"/>
        </w:rPr>
      </w:pPr>
      <w:r>
        <w:rPr>
          <w:rFonts w:cstheme="minorHAnsi"/>
          <w:b/>
          <w:sz w:val="24"/>
          <w:szCs w:val="24"/>
        </w:rPr>
        <w:t>ANNEXES</w:t>
      </w:r>
      <w:r w:rsidR="00FD6E78">
        <w:rPr>
          <w:rFonts w:cstheme="minorHAnsi"/>
          <w:b/>
          <w:sz w:val="24"/>
          <w:szCs w:val="24"/>
        </w:rPr>
        <w:tab/>
      </w:r>
      <w:r w:rsidR="00AB0746">
        <w:rPr>
          <w:rFonts w:cstheme="minorHAnsi"/>
          <w:b/>
          <w:sz w:val="24"/>
          <w:szCs w:val="24"/>
        </w:rPr>
        <w:t>37</w:t>
      </w:r>
    </w:p>
    <w:p w:rsidR="00D460E3" w:rsidRDefault="00D460E3">
      <w:pPr>
        <w:rPr>
          <w:b/>
          <w:sz w:val="40"/>
          <w:szCs w:val="40"/>
        </w:rPr>
      </w:pPr>
    </w:p>
    <w:p w:rsidR="00676F5E" w:rsidRDefault="00676F5E">
      <w:pPr>
        <w:rPr>
          <w:b/>
          <w:sz w:val="40"/>
          <w:szCs w:val="40"/>
        </w:rPr>
      </w:pPr>
      <w:r>
        <w:rPr>
          <w:b/>
          <w:sz w:val="40"/>
          <w:szCs w:val="40"/>
        </w:rPr>
        <w:br w:type="page"/>
      </w:r>
    </w:p>
    <w:p w:rsidR="00432928" w:rsidRPr="006859C7" w:rsidRDefault="004A5085" w:rsidP="006859C7">
      <w:pPr>
        <w:rPr>
          <w:b/>
          <w:color w:val="4F81BD" w:themeColor="accent1"/>
          <w:sz w:val="28"/>
          <w:szCs w:val="28"/>
        </w:rPr>
      </w:pPr>
      <w:r w:rsidRPr="006859C7">
        <w:rPr>
          <w:b/>
          <w:color w:val="0070C0"/>
          <w:sz w:val="40"/>
          <w:szCs w:val="40"/>
        </w:rPr>
        <w:lastRenderedPageBreak/>
        <w:t>1</w:t>
      </w:r>
      <w:r w:rsidRPr="006859C7">
        <w:rPr>
          <w:b/>
          <w:color w:val="0070C0"/>
          <w:sz w:val="40"/>
          <w:szCs w:val="40"/>
        </w:rPr>
        <w:tab/>
      </w:r>
      <w:r w:rsidR="00432928" w:rsidRPr="006859C7">
        <w:rPr>
          <w:b/>
          <w:color w:val="0070C0"/>
          <w:sz w:val="40"/>
          <w:szCs w:val="40"/>
        </w:rPr>
        <w:t xml:space="preserve">INTRODUCTION </w:t>
      </w:r>
    </w:p>
    <w:p w:rsidR="008D0955" w:rsidRPr="00970638" w:rsidRDefault="0038663D" w:rsidP="008D0955">
      <w:pPr>
        <w:pStyle w:val="Titre2"/>
        <w:rPr>
          <w:rFonts w:asciiTheme="minorHAnsi" w:hAnsiTheme="minorHAnsi"/>
        </w:rPr>
      </w:pPr>
      <w:r w:rsidRPr="00970638">
        <w:rPr>
          <w:rFonts w:asciiTheme="minorHAnsi" w:hAnsiTheme="minorHAnsi"/>
        </w:rPr>
        <w:t xml:space="preserve">1.1 </w:t>
      </w:r>
      <w:r w:rsidRPr="00970638">
        <w:rPr>
          <w:rFonts w:asciiTheme="minorHAnsi" w:hAnsiTheme="minorHAnsi"/>
        </w:rPr>
        <w:tab/>
      </w:r>
      <w:r w:rsidR="008D0955" w:rsidRPr="00970638">
        <w:rPr>
          <w:rFonts w:asciiTheme="minorHAnsi" w:hAnsiTheme="minorHAnsi"/>
        </w:rPr>
        <w:t>The context of the study</w:t>
      </w:r>
    </w:p>
    <w:p w:rsidR="00BF35D6" w:rsidRPr="006C080B" w:rsidRDefault="00E43AE4" w:rsidP="00E16ECE">
      <w:pPr>
        <w:autoSpaceDE w:val="0"/>
        <w:autoSpaceDN w:val="0"/>
        <w:adjustRightInd w:val="0"/>
        <w:spacing w:after="0" w:line="240" w:lineRule="auto"/>
        <w:jc w:val="both"/>
        <w:rPr>
          <w:rFonts w:cstheme="minorHAnsi"/>
          <w:color w:val="000000"/>
        </w:rPr>
      </w:pPr>
      <w:r w:rsidRPr="006C080B">
        <w:rPr>
          <w:rFonts w:cstheme="minorHAnsi"/>
          <w:color w:val="000000"/>
        </w:rPr>
        <w:t>The EU Biodiversity Strategy to 2020 "Our life insurance, our natural capital" includes explicitly the ambition “</w:t>
      </w:r>
      <w:r w:rsidRPr="006C080B">
        <w:rPr>
          <w:rFonts w:cstheme="minorHAnsi"/>
          <w:i/>
          <w:color w:val="000000"/>
        </w:rPr>
        <w:t>to strengthen the knowledge base to underpin policy with up to- date scientific data and information, including on mapping and assessing the state of ecosystems and their services in Europe</w:t>
      </w:r>
      <w:r w:rsidRPr="006C080B">
        <w:rPr>
          <w:rFonts w:cstheme="minorHAnsi"/>
          <w:color w:val="000000"/>
        </w:rPr>
        <w:t xml:space="preserve">”. </w:t>
      </w:r>
    </w:p>
    <w:p w:rsidR="00BF35D6" w:rsidRPr="006C080B" w:rsidRDefault="00BF35D6" w:rsidP="00E16ECE">
      <w:pPr>
        <w:autoSpaceDE w:val="0"/>
        <w:autoSpaceDN w:val="0"/>
        <w:adjustRightInd w:val="0"/>
        <w:spacing w:after="0" w:line="240" w:lineRule="auto"/>
        <w:jc w:val="both"/>
        <w:rPr>
          <w:rFonts w:cstheme="minorHAnsi"/>
          <w:color w:val="000000"/>
        </w:rPr>
      </w:pPr>
    </w:p>
    <w:p w:rsidR="00BF35D6" w:rsidRPr="006C080B" w:rsidRDefault="00E43AE4" w:rsidP="00E16ECE">
      <w:pPr>
        <w:autoSpaceDE w:val="0"/>
        <w:autoSpaceDN w:val="0"/>
        <w:adjustRightInd w:val="0"/>
        <w:spacing w:after="0" w:line="240" w:lineRule="auto"/>
        <w:jc w:val="both"/>
        <w:rPr>
          <w:rFonts w:cstheme="minorHAnsi"/>
          <w:color w:val="000000"/>
        </w:rPr>
      </w:pPr>
      <w:r w:rsidRPr="006C080B">
        <w:rPr>
          <w:rFonts w:cstheme="minorHAnsi"/>
          <w:color w:val="000000"/>
        </w:rPr>
        <w:t>Under Target 2</w:t>
      </w:r>
      <w:r w:rsidR="00A036A1" w:rsidRPr="006C080B">
        <w:rPr>
          <w:rFonts w:cstheme="minorHAnsi"/>
          <w:color w:val="000000"/>
        </w:rPr>
        <w:t>,</w:t>
      </w:r>
      <w:r w:rsidRPr="006C080B">
        <w:rPr>
          <w:rFonts w:cstheme="minorHAnsi"/>
          <w:color w:val="000000"/>
        </w:rPr>
        <w:t xml:space="preserve"> Action 5 states that, "</w:t>
      </w:r>
      <w:r w:rsidRPr="006C080B">
        <w:rPr>
          <w:rFonts w:cstheme="minorHAnsi"/>
          <w:i/>
          <w:iCs/>
          <w:color w:val="000000"/>
        </w:rPr>
        <w:t>Member States, with the assistance of the Commission, will map and assess the state of ecosystems and their services in their national territory by 2014[…].</w:t>
      </w:r>
      <w:r w:rsidRPr="006C080B">
        <w:rPr>
          <w:rFonts w:cstheme="minorHAnsi"/>
          <w:color w:val="000000"/>
        </w:rPr>
        <w:t xml:space="preserve">" This </w:t>
      </w:r>
      <w:r w:rsidR="009965D0" w:rsidRPr="006C080B">
        <w:rPr>
          <w:rFonts w:cstheme="minorHAnsi"/>
          <w:color w:val="000000"/>
        </w:rPr>
        <w:t>was confirmed</w:t>
      </w:r>
      <w:r w:rsidRPr="006C080B">
        <w:rPr>
          <w:rFonts w:cstheme="minorHAnsi"/>
          <w:color w:val="000000"/>
        </w:rPr>
        <w:t xml:space="preserve"> by the Council in the 19th December 2011 conclusions which urged the Commission and Member States </w:t>
      </w:r>
      <w:r w:rsidR="009965D0" w:rsidRPr="006C080B">
        <w:rPr>
          <w:rFonts w:cstheme="minorHAnsi"/>
          <w:color w:val="000000"/>
        </w:rPr>
        <w:t>“</w:t>
      </w:r>
      <w:r w:rsidRPr="006C080B">
        <w:rPr>
          <w:rFonts w:cstheme="minorHAnsi"/>
          <w:i/>
          <w:color w:val="000000"/>
        </w:rPr>
        <w:t>to determine the modalities for and scope of these tasks building upon the work carried out by the Member States in view of the short timeframe for initiating this work</w:t>
      </w:r>
      <w:r w:rsidR="009965D0" w:rsidRPr="006C080B">
        <w:rPr>
          <w:rFonts w:cstheme="minorHAnsi"/>
          <w:color w:val="000000"/>
        </w:rPr>
        <w:t>”</w:t>
      </w:r>
      <w:r w:rsidRPr="006C080B">
        <w:rPr>
          <w:rFonts w:cstheme="minorHAnsi"/>
          <w:color w:val="000000"/>
        </w:rPr>
        <w:t xml:space="preserve">. </w:t>
      </w:r>
    </w:p>
    <w:p w:rsidR="00077A5D" w:rsidRPr="006C080B" w:rsidRDefault="00077A5D" w:rsidP="0038663D">
      <w:pPr>
        <w:pStyle w:val="Titre3"/>
        <w:rPr>
          <w:rFonts w:asciiTheme="minorHAnsi" w:hAnsiTheme="minorHAnsi"/>
          <w:sz w:val="22"/>
          <w:szCs w:val="22"/>
        </w:rPr>
      </w:pPr>
      <w:r w:rsidRPr="006C080B">
        <w:rPr>
          <w:rFonts w:asciiTheme="minorHAnsi" w:hAnsiTheme="minorHAnsi"/>
          <w:sz w:val="22"/>
          <w:szCs w:val="22"/>
        </w:rPr>
        <w:t>Why mapping and assessment of ecosystems and their services?</w:t>
      </w:r>
    </w:p>
    <w:p w:rsidR="002574C1" w:rsidRPr="006C080B" w:rsidRDefault="002574C1" w:rsidP="00E16ECE">
      <w:pPr>
        <w:spacing w:after="120" w:line="240" w:lineRule="auto"/>
        <w:jc w:val="both"/>
      </w:pPr>
      <w:r w:rsidRPr="006C080B">
        <w:t xml:space="preserve">This question is addressed in </w:t>
      </w:r>
      <w:r w:rsidR="00DC3B22" w:rsidRPr="006C080B">
        <w:t>the Analytical framework for ecosystem assessments under Action 5 of the EU 2020 Biodiversity Strategy</w:t>
      </w:r>
      <w:r w:rsidR="00DC3B22" w:rsidRPr="006C080B">
        <w:rPr>
          <w:rStyle w:val="Appelnotedebasdep"/>
        </w:rPr>
        <w:footnoteReference w:id="2"/>
      </w:r>
      <w:r w:rsidR="00BF35D6" w:rsidRPr="006C080B">
        <w:t xml:space="preserve"> of</w:t>
      </w:r>
      <w:r w:rsidRPr="006C080B">
        <w:t xml:space="preserve"> the </w:t>
      </w:r>
      <w:r w:rsidR="00BF35D6" w:rsidRPr="006C080B">
        <w:t xml:space="preserve">CIF </w:t>
      </w:r>
      <w:r w:rsidRPr="006C080B">
        <w:t xml:space="preserve">Working Group </w:t>
      </w:r>
      <w:r w:rsidR="00BF35D6" w:rsidRPr="006C080B">
        <w:t xml:space="preserve">MAES, called </w:t>
      </w:r>
      <w:r w:rsidRPr="006C080B">
        <w:t>M</w:t>
      </w:r>
      <w:r w:rsidR="00BF1A46" w:rsidRPr="006C080B">
        <w:t>apping and Assessment of Ecosystems and their Services:</w:t>
      </w:r>
    </w:p>
    <w:p w:rsidR="00BF35D6" w:rsidRPr="006C080B" w:rsidRDefault="00077A5D" w:rsidP="00E16ECE">
      <w:pPr>
        <w:spacing w:after="120" w:line="240" w:lineRule="auto"/>
        <w:jc w:val="both"/>
      </w:pPr>
      <w:r w:rsidRPr="006C080B">
        <w:t xml:space="preserve">By building the knowledge base for ecosystems and their services in Europe, it is clear that Action 5 of the EU Biodiversity Strategy to 2020 underpins all the actions under Target 2. </w:t>
      </w:r>
    </w:p>
    <w:p w:rsidR="00BF35D6" w:rsidRPr="006C080B" w:rsidRDefault="00077A5D" w:rsidP="00BF14CD">
      <w:pPr>
        <w:pStyle w:val="Paragraphedeliste"/>
        <w:numPr>
          <w:ilvl w:val="0"/>
          <w:numId w:val="5"/>
        </w:numPr>
        <w:spacing w:after="120" w:line="240" w:lineRule="auto"/>
        <w:jc w:val="both"/>
      </w:pPr>
      <w:r w:rsidRPr="006C080B">
        <w:t xml:space="preserve">This </w:t>
      </w:r>
      <w:r w:rsidR="00AC57B3" w:rsidRPr="006C080B">
        <w:rPr>
          <w:i/>
        </w:rPr>
        <w:t>knowledge base</w:t>
      </w:r>
      <w:r w:rsidRPr="006C080B">
        <w:t xml:space="preserve"> is </w:t>
      </w:r>
      <w:r w:rsidR="002574C1" w:rsidRPr="006C080B">
        <w:t>necessary to decide</w:t>
      </w:r>
      <w:r w:rsidRPr="006C080B">
        <w:t xml:space="preserve"> on what ecosystems to restore </w:t>
      </w:r>
      <w:r w:rsidR="002574C1" w:rsidRPr="006C080B">
        <w:t>with</w:t>
      </w:r>
      <w:r w:rsidRPr="006C080B">
        <w:t xml:space="preserve"> priority and </w:t>
      </w:r>
      <w:r w:rsidR="008969D6" w:rsidRPr="006C080B">
        <w:t>where,</w:t>
      </w:r>
      <w:r w:rsidR="002574C1" w:rsidRPr="006C080B">
        <w:t>including</w:t>
      </w:r>
      <w:r w:rsidRPr="006C080B">
        <w:t xml:space="preserve"> decision-making on Green I</w:t>
      </w:r>
      <w:r w:rsidR="002574C1" w:rsidRPr="006C080B">
        <w:t>nfrastructure (Action 6). It</w:t>
      </w:r>
      <w:r w:rsidRPr="006C080B">
        <w:t xml:space="preserve"> is dependent on the availability of spatially explicit information on ecosystems and the flow of their services as benefits to the society. </w:t>
      </w:r>
    </w:p>
    <w:p w:rsidR="00BF35D6" w:rsidRPr="006C080B" w:rsidRDefault="00077A5D" w:rsidP="00BF14CD">
      <w:pPr>
        <w:pStyle w:val="Paragraphedeliste"/>
        <w:numPr>
          <w:ilvl w:val="0"/>
          <w:numId w:val="5"/>
        </w:numPr>
        <w:spacing w:after="120" w:line="240" w:lineRule="auto"/>
        <w:jc w:val="both"/>
      </w:pPr>
      <w:r w:rsidRPr="006C080B">
        <w:t>Furthermore, spatial information on the delivery of and the demand for ecosystem services will provide baseline data to measure net future gains or losses (Action 7) and will support the development of financial instruments to fund investments in nature (Action 7).</w:t>
      </w:r>
    </w:p>
    <w:p w:rsidR="00BF35D6" w:rsidRPr="006C080B" w:rsidRDefault="002574C1" w:rsidP="00BF14CD">
      <w:pPr>
        <w:pStyle w:val="Paragraphedeliste"/>
        <w:numPr>
          <w:ilvl w:val="0"/>
          <w:numId w:val="5"/>
        </w:numPr>
        <w:spacing w:after="120" w:line="240" w:lineRule="auto"/>
        <w:jc w:val="both"/>
      </w:pPr>
      <w:r w:rsidRPr="006C080B">
        <w:t xml:space="preserve">The </w:t>
      </w:r>
      <w:r w:rsidR="00AC57B3" w:rsidRPr="006C080B">
        <w:t>Analytical Framework</w:t>
      </w:r>
      <w:r w:rsidR="003A5018" w:rsidRPr="006C080B">
        <w:t xml:space="preserve">(Box 2, p.13) </w:t>
      </w:r>
      <w:r w:rsidRPr="006C080B">
        <w:t xml:space="preserve">states that </w:t>
      </w:r>
      <w:r w:rsidR="00077A5D" w:rsidRPr="006C080B">
        <w:rPr>
          <w:i/>
        </w:rPr>
        <w:t>spatially explicit ecosystem assessments</w:t>
      </w:r>
      <w:r w:rsidR="00077A5D" w:rsidRPr="006C080B">
        <w:t xml:space="preserve"> are useful for prioritization and</w:t>
      </w:r>
      <w:r w:rsidRPr="006C080B">
        <w:t xml:space="preserve"> problem identification. </w:t>
      </w:r>
    </w:p>
    <w:p w:rsidR="00BF35D6" w:rsidRPr="006C080B" w:rsidRDefault="002574C1" w:rsidP="00BF14CD">
      <w:pPr>
        <w:pStyle w:val="Paragraphedeliste"/>
        <w:numPr>
          <w:ilvl w:val="0"/>
          <w:numId w:val="5"/>
        </w:numPr>
        <w:spacing w:after="120" w:line="240" w:lineRule="auto"/>
        <w:jc w:val="both"/>
      </w:pPr>
      <w:r w:rsidRPr="006C080B">
        <w:t>M</w:t>
      </w:r>
      <w:r w:rsidR="00077A5D" w:rsidRPr="006C080B">
        <w:t>aps can</w:t>
      </w:r>
      <w:r w:rsidRPr="006C080B">
        <w:t xml:space="preserve"> also</w:t>
      </w:r>
      <w:r w:rsidR="00077A5D" w:rsidRPr="006C080B">
        <w:t xml:space="preserve"> be used as a communication tool to the public. </w:t>
      </w:r>
    </w:p>
    <w:p w:rsidR="00077A5D" w:rsidRPr="006C080B" w:rsidRDefault="00077A5D" w:rsidP="00BF14CD">
      <w:pPr>
        <w:pStyle w:val="Paragraphedeliste"/>
        <w:numPr>
          <w:ilvl w:val="0"/>
          <w:numId w:val="5"/>
        </w:numPr>
        <w:spacing w:after="120" w:line="240" w:lineRule="auto"/>
        <w:jc w:val="both"/>
      </w:pPr>
      <w:r w:rsidRPr="006C080B">
        <w:t>Maps can and already do contribute to the planning and management of biodiversity protection areas and implicitly of their ecosystem s</w:t>
      </w:r>
      <w:r w:rsidR="002574C1" w:rsidRPr="006C080B">
        <w:t xml:space="preserve">ervices. </w:t>
      </w:r>
    </w:p>
    <w:p w:rsidR="00BF35D6" w:rsidRPr="006C080B" w:rsidRDefault="00BF35D6" w:rsidP="0038663D">
      <w:pPr>
        <w:pStyle w:val="Titre3"/>
        <w:rPr>
          <w:rFonts w:asciiTheme="minorHAnsi" w:hAnsiTheme="minorHAnsi"/>
          <w:sz w:val="22"/>
          <w:szCs w:val="22"/>
        </w:rPr>
      </w:pPr>
      <w:r w:rsidRPr="006C080B">
        <w:rPr>
          <w:rFonts w:asciiTheme="minorHAnsi" w:hAnsiTheme="minorHAnsi"/>
          <w:sz w:val="22"/>
          <w:szCs w:val="22"/>
        </w:rPr>
        <w:t>TEEB and mapping</w:t>
      </w:r>
    </w:p>
    <w:p w:rsidR="005E11A0" w:rsidRPr="006C080B" w:rsidRDefault="009965D0" w:rsidP="00E16ECE">
      <w:pPr>
        <w:autoSpaceDE w:val="0"/>
        <w:autoSpaceDN w:val="0"/>
        <w:adjustRightInd w:val="0"/>
        <w:spacing w:after="0" w:line="240" w:lineRule="auto"/>
        <w:jc w:val="both"/>
        <w:rPr>
          <w:rFonts w:cstheme="minorHAnsi"/>
          <w:color w:val="000000"/>
        </w:rPr>
      </w:pPr>
      <w:r w:rsidRPr="006C080B">
        <w:rPr>
          <w:rFonts w:cstheme="minorHAnsi"/>
          <w:color w:val="000000"/>
        </w:rPr>
        <w:t>There is a close link to the follow-up activities of the TEEB project results, which were published in a series of reports (and books) since 2009, and the ecosystem (services) mapping and assessment ambitions. The latter have been described in the TEEB Synthesis report (2010) as the first step in a th</w:t>
      </w:r>
      <w:r w:rsidR="00E16ECE" w:rsidRPr="006C080B">
        <w:rPr>
          <w:rFonts w:cstheme="minorHAnsi"/>
          <w:color w:val="000000"/>
        </w:rPr>
        <w:t>ree step TEEB procedure</w:t>
      </w:r>
      <w:r w:rsidRPr="006C080B">
        <w:rPr>
          <w:rFonts w:cstheme="minorHAnsi"/>
          <w:color w:val="000000"/>
        </w:rPr>
        <w:t xml:space="preserve">. </w:t>
      </w:r>
    </w:p>
    <w:p w:rsidR="00AC57B3" w:rsidRPr="006C080B" w:rsidRDefault="00AC57B3" w:rsidP="00E16ECE">
      <w:pPr>
        <w:autoSpaceDE w:val="0"/>
        <w:autoSpaceDN w:val="0"/>
        <w:adjustRightInd w:val="0"/>
        <w:spacing w:after="0" w:line="240" w:lineRule="auto"/>
        <w:jc w:val="both"/>
        <w:rPr>
          <w:rFonts w:cstheme="minorHAnsi"/>
          <w:color w:val="000000"/>
        </w:rPr>
      </w:pPr>
    </w:p>
    <w:p w:rsidR="009965D0" w:rsidRPr="006C080B" w:rsidRDefault="00335B67" w:rsidP="00E16ECE">
      <w:pPr>
        <w:autoSpaceDE w:val="0"/>
        <w:autoSpaceDN w:val="0"/>
        <w:adjustRightInd w:val="0"/>
        <w:spacing w:after="0" w:line="240" w:lineRule="auto"/>
        <w:jc w:val="both"/>
        <w:rPr>
          <w:rFonts w:cstheme="minorHAnsi"/>
          <w:color w:val="000000"/>
        </w:rPr>
      </w:pPr>
      <w:r w:rsidRPr="006C080B">
        <w:rPr>
          <w:rFonts w:cstheme="minorHAnsi"/>
          <w:color w:val="000000"/>
        </w:rPr>
        <w:t>In a number of EU countries (and elsewhere in the world) TEEB country</w:t>
      </w:r>
      <w:r w:rsidR="0092033A" w:rsidRPr="006C080B">
        <w:rPr>
          <w:rFonts w:cstheme="minorHAnsi"/>
          <w:color w:val="000000"/>
        </w:rPr>
        <w:t>-studies</w:t>
      </w:r>
      <w:r w:rsidRPr="006C080B">
        <w:rPr>
          <w:rFonts w:cstheme="minorHAnsi"/>
          <w:color w:val="000000"/>
        </w:rPr>
        <w:t xml:space="preserve"> and regional assessment</w:t>
      </w:r>
      <w:r w:rsidR="0092033A" w:rsidRPr="006C080B">
        <w:rPr>
          <w:rFonts w:cstheme="minorHAnsi"/>
          <w:color w:val="000000"/>
        </w:rPr>
        <w:t>s</w:t>
      </w:r>
      <w:r w:rsidRPr="006C080B">
        <w:rPr>
          <w:rFonts w:cstheme="minorHAnsi"/>
          <w:color w:val="000000"/>
        </w:rPr>
        <w:t xml:space="preserve"> have been started since the CoP 10 meeting in Nagoya, October 2010, where the TEEB results were presented. Some countries in Europe, notably </w:t>
      </w:r>
      <w:r w:rsidR="0092033A" w:rsidRPr="006C080B">
        <w:rPr>
          <w:rFonts w:cstheme="minorHAnsi"/>
          <w:color w:val="000000"/>
        </w:rPr>
        <w:t>Sweden,</w:t>
      </w:r>
      <w:r w:rsidR="00825631" w:rsidRPr="006C080B">
        <w:rPr>
          <w:rFonts w:cstheme="minorHAnsi"/>
          <w:color w:val="000000"/>
        </w:rPr>
        <w:t xml:space="preserve"> the</w:t>
      </w:r>
      <w:r w:rsidRPr="006C080B">
        <w:rPr>
          <w:rFonts w:cstheme="minorHAnsi"/>
          <w:color w:val="000000"/>
        </w:rPr>
        <w:t>UK, Portugal, Spain and the Netherlands had already started to develop National Ecosystem Assessmen</w:t>
      </w:r>
      <w:r w:rsidR="00E16ECE" w:rsidRPr="006C080B">
        <w:rPr>
          <w:rFonts w:cstheme="minorHAnsi"/>
          <w:color w:val="000000"/>
        </w:rPr>
        <w:t>ts.</w:t>
      </w:r>
      <w:r w:rsidRPr="006C080B">
        <w:rPr>
          <w:rFonts w:cstheme="minorHAnsi"/>
          <w:color w:val="000000"/>
        </w:rPr>
        <w:t xml:space="preserve"> In many of these assessments and TEEB studies some form of mapping of ecosystem services was developed, and different classifications an</w:t>
      </w:r>
      <w:r w:rsidR="00E16ECE" w:rsidRPr="006C080B">
        <w:rPr>
          <w:rFonts w:cstheme="minorHAnsi"/>
          <w:color w:val="000000"/>
        </w:rPr>
        <w:t xml:space="preserve">d conceptual models were used. </w:t>
      </w:r>
      <w:r w:rsidRPr="006C080B">
        <w:rPr>
          <w:rFonts w:cstheme="minorHAnsi"/>
          <w:color w:val="000000"/>
        </w:rPr>
        <w:t xml:space="preserve">In the PRESS project, a number of the </w:t>
      </w:r>
      <w:r w:rsidRPr="006C080B">
        <w:rPr>
          <w:rFonts w:cstheme="minorHAnsi"/>
          <w:color w:val="000000"/>
        </w:rPr>
        <w:lastRenderedPageBreak/>
        <w:t>institutes which did national assessments and/or TEEB studies worked together and methodologies were exchanged, reviewed and tested.</w:t>
      </w:r>
    </w:p>
    <w:p w:rsidR="00335B67" w:rsidRPr="006C080B" w:rsidRDefault="00335B67" w:rsidP="00E16ECE">
      <w:pPr>
        <w:autoSpaceDE w:val="0"/>
        <w:autoSpaceDN w:val="0"/>
        <w:adjustRightInd w:val="0"/>
        <w:spacing w:after="0" w:line="240" w:lineRule="auto"/>
        <w:jc w:val="both"/>
        <w:rPr>
          <w:rFonts w:cstheme="minorHAnsi"/>
          <w:color w:val="000000"/>
        </w:rPr>
      </w:pPr>
    </w:p>
    <w:p w:rsidR="00AC57B3" w:rsidRPr="006C080B" w:rsidRDefault="00335B67" w:rsidP="00E16ECE">
      <w:pPr>
        <w:pStyle w:val="Default"/>
        <w:jc w:val="both"/>
        <w:rPr>
          <w:rFonts w:asciiTheme="minorHAnsi" w:hAnsiTheme="minorHAnsi" w:cstheme="minorHAnsi"/>
          <w:sz w:val="22"/>
          <w:szCs w:val="22"/>
        </w:rPr>
      </w:pPr>
      <w:r w:rsidRPr="006C080B">
        <w:rPr>
          <w:rFonts w:asciiTheme="minorHAnsi" w:hAnsiTheme="minorHAnsi" w:cstheme="minorHAnsi"/>
          <w:sz w:val="22"/>
          <w:szCs w:val="22"/>
        </w:rPr>
        <w:t>In October 2011, the Federal Agency for Nature Conservation (BfN) of Germany, Alterra and the Helmholtz Centre for Environmental Research (UFZ), Germany , organised an expert workshop on the island of Vilm, on the TEEB processes in European countries (Hedden-Dunkhorst et al., 2012), attended by scientists and policy makers from a wide range of Eur</w:t>
      </w:r>
      <w:r w:rsidR="00DF4D96" w:rsidRPr="006C080B">
        <w:rPr>
          <w:rFonts w:asciiTheme="minorHAnsi" w:hAnsiTheme="minorHAnsi" w:cstheme="minorHAnsi"/>
          <w:sz w:val="22"/>
          <w:szCs w:val="22"/>
        </w:rPr>
        <w:t xml:space="preserve">opean countries, EU as well non-EU, and by the European Commission, the EEA and JRC. </w:t>
      </w:r>
      <w:r w:rsidR="00DD1E01">
        <w:rPr>
          <w:rFonts w:asciiTheme="minorHAnsi" w:hAnsiTheme="minorHAnsi" w:cstheme="minorHAnsi"/>
          <w:sz w:val="22"/>
          <w:szCs w:val="22"/>
        </w:rPr>
        <w:t xml:space="preserve">From </w:t>
      </w:r>
      <w:r w:rsidR="00AC57B3" w:rsidRPr="00DD1E01">
        <w:rPr>
          <w:rFonts w:asciiTheme="minorHAnsi" w:hAnsiTheme="minorHAnsi" w:cstheme="minorHAnsi"/>
          <w:sz w:val="22"/>
          <w:szCs w:val="22"/>
        </w:rPr>
        <w:t xml:space="preserve">May 21-24, 2013, a follow-up workshop </w:t>
      </w:r>
      <w:r w:rsidR="00DD1E01" w:rsidRPr="00DD1E01">
        <w:rPr>
          <w:rFonts w:asciiTheme="minorHAnsi" w:hAnsiTheme="minorHAnsi" w:cstheme="minorHAnsi"/>
          <w:sz w:val="22"/>
          <w:szCs w:val="22"/>
        </w:rPr>
        <w:t>has been</w:t>
      </w:r>
      <w:r w:rsidR="00C17724" w:rsidRPr="00DD1E01">
        <w:rPr>
          <w:rFonts w:asciiTheme="minorHAnsi" w:hAnsiTheme="minorHAnsi" w:cstheme="minorHAnsi"/>
          <w:sz w:val="22"/>
          <w:szCs w:val="22"/>
        </w:rPr>
        <w:t xml:space="preserve"> conducted in Vilm, again, where representatives from countries, and again EU and non-EU, will report on progress and discuss further steps and challenges. The contractor, Alterra, will report</w:t>
      </w:r>
      <w:r w:rsidR="003A5018" w:rsidRPr="00DD1E01">
        <w:rPr>
          <w:rFonts w:asciiTheme="minorHAnsi" w:hAnsiTheme="minorHAnsi" w:cstheme="minorHAnsi"/>
          <w:sz w:val="22"/>
          <w:szCs w:val="22"/>
        </w:rPr>
        <w:t xml:space="preserve"> on this event</w:t>
      </w:r>
      <w:r w:rsidR="00C17724" w:rsidRPr="00DD1E01">
        <w:rPr>
          <w:rFonts w:asciiTheme="minorHAnsi" w:hAnsiTheme="minorHAnsi" w:cstheme="minorHAnsi"/>
          <w:sz w:val="22"/>
          <w:szCs w:val="22"/>
        </w:rPr>
        <w:t xml:space="preserve"> to the Steering Group in the meeting of June 3</w:t>
      </w:r>
      <w:r w:rsidR="00C17724" w:rsidRPr="00DD1E01">
        <w:rPr>
          <w:rFonts w:asciiTheme="minorHAnsi" w:hAnsiTheme="minorHAnsi" w:cstheme="minorHAnsi"/>
          <w:sz w:val="22"/>
          <w:szCs w:val="22"/>
          <w:vertAlign w:val="superscript"/>
        </w:rPr>
        <w:t>rd</w:t>
      </w:r>
      <w:r w:rsidR="00C17724" w:rsidRPr="00DD1E01">
        <w:rPr>
          <w:rFonts w:asciiTheme="minorHAnsi" w:hAnsiTheme="minorHAnsi" w:cstheme="minorHAnsi"/>
          <w:sz w:val="22"/>
          <w:szCs w:val="22"/>
        </w:rPr>
        <w:t>, 2013, in Brussels.</w:t>
      </w:r>
    </w:p>
    <w:p w:rsidR="00AC57B3" w:rsidRPr="006C080B" w:rsidRDefault="00AC57B3" w:rsidP="00E16ECE">
      <w:pPr>
        <w:pStyle w:val="Default"/>
        <w:jc w:val="both"/>
        <w:rPr>
          <w:rFonts w:asciiTheme="minorHAnsi" w:hAnsiTheme="minorHAnsi" w:cstheme="minorHAnsi"/>
          <w:sz w:val="22"/>
          <w:szCs w:val="22"/>
        </w:rPr>
      </w:pPr>
    </w:p>
    <w:p w:rsidR="00335B67" w:rsidRPr="006C080B" w:rsidRDefault="005E11A0" w:rsidP="00E16ECE">
      <w:pPr>
        <w:pStyle w:val="Default"/>
        <w:jc w:val="both"/>
        <w:rPr>
          <w:rFonts w:asciiTheme="minorHAnsi" w:hAnsiTheme="minorHAnsi" w:cstheme="minorHAnsi"/>
          <w:sz w:val="22"/>
          <w:szCs w:val="22"/>
        </w:rPr>
      </w:pPr>
      <w:r w:rsidRPr="006C080B">
        <w:rPr>
          <w:rFonts w:asciiTheme="minorHAnsi" w:hAnsiTheme="minorHAnsi" w:cstheme="minorHAnsi"/>
          <w:sz w:val="22"/>
          <w:szCs w:val="22"/>
        </w:rPr>
        <w:t>I</w:t>
      </w:r>
      <w:r w:rsidR="00BF1A46" w:rsidRPr="006C080B">
        <w:rPr>
          <w:rFonts w:asciiTheme="minorHAnsi" w:hAnsiTheme="minorHAnsi" w:cstheme="minorHAnsi"/>
          <w:sz w:val="22"/>
          <w:szCs w:val="22"/>
        </w:rPr>
        <w:t xml:space="preserve">n April 2012, </w:t>
      </w:r>
      <w:r w:rsidR="00FC6EAD" w:rsidRPr="006C080B">
        <w:rPr>
          <w:rFonts w:asciiTheme="minorHAnsi" w:hAnsiTheme="minorHAnsi" w:cstheme="minorHAnsi"/>
          <w:sz w:val="22"/>
          <w:szCs w:val="22"/>
        </w:rPr>
        <w:t>the Joint Research Centre</w:t>
      </w:r>
      <w:r w:rsidR="008969D6" w:rsidRPr="006C080B">
        <w:rPr>
          <w:rFonts w:asciiTheme="minorHAnsi" w:hAnsiTheme="minorHAnsi" w:cstheme="minorHAnsi"/>
          <w:sz w:val="22"/>
          <w:szCs w:val="22"/>
        </w:rPr>
        <w:t xml:space="preserve"> organised an expert workshop “</w:t>
      </w:r>
      <w:r w:rsidR="00FC6EAD" w:rsidRPr="006C080B">
        <w:rPr>
          <w:rFonts w:asciiTheme="minorHAnsi" w:hAnsiTheme="minorHAnsi" w:cstheme="minorHAnsi"/>
          <w:bCs/>
          <w:sz w:val="22"/>
          <w:szCs w:val="22"/>
        </w:rPr>
        <w:t xml:space="preserve">Assessment of ecosystem services of EU enlargement countries” </w:t>
      </w:r>
      <w:r w:rsidR="00FC6EAD" w:rsidRPr="006C080B">
        <w:rPr>
          <w:rFonts w:asciiTheme="minorHAnsi" w:hAnsiTheme="minorHAnsi" w:cstheme="minorHAnsi"/>
          <w:sz w:val="22"/>
          <w:szCs w:val="22"/>
        </w:rPr>
        <w:t xml:space="preserve">in </w:t>
      </w:r>
      <w:r w:rsidR="00FC6EAD" w:rsidRPr="006C080B">
        <w:rPr>
          <w:rFonts w:asciiTheme="minorHAnsi" w:hAnsiTheme="minorHAnsi" w:cstheme="minorHAnsi"/>
          <w:bCs/>
          <w:sz w:val="22"/>
          <w:szCs w:val="22"/>
        </w:rPr>
        <w:t>Ispra, Italy, where the presentations</w:t>
      </w:r>
      <w:r w:rsidR="00BF1A46" w:rsidRPr="006C080B">
        <w:rPr>
          <w:rFonts w:asciiTheme="minorHAnsi" w:hAnsiTheme="minorHAnsi" w:cstheme="minorHAnsi"/>
          <w:bCs/>
          <w:sz w:val="22"/>
          <w:szCs w:val="22"/>
        </w:rPr>
        <w:t xml:space="preserve"> again</w:t>
      </w:r>
      <w:r w:rsidR="00FC6EAD" w:rsidRPr="006C080B">
        <w:rPr>
          <w:rFonts w:asciiTheme="minorHAnsi" w:hAnsiTheme="minorHAnsi" w:cstheme="minorHAnsi"/>
          <w:bCs/>
          <w:sz w:val="22"/>
          <w:szCs w:val="22"/>
        </w:rPr>
        <w:t xml:space="preserve"> indicated </w:t>
      </w:r>
      <w:r w:rsidR="0092033A" w:rsidRPr="006C080B">
        <w:rPr>
          <w:rFonts w:asciiTheme="minorHAnsi" w:hAnsiTheme="minorHAnsi" w:cstheme="minorHAnsi"/>
          <w:bCs/>
          <w:sz w:val="22"/>
          <w:szCs w:val="22"/>
        </w:rPr>
        <w:t>numerous initiatives are on</w:t>
      </w:r>
      <w:r w:rsidR="00C17724" w:rsidRPr="006C080B">
        <w:rPr>
          <w:rFonts w:asciiTheme="minorHAnsi" w:hAnsiTheme="minorHAnsi" w:cstheme="minorHAnsi"/>
          <w:bCs/>
          <w:sz w:val="22"/>
          <w:szCs w:val="22"/>
        </w:rPr>
        <w:t>-</w:t>
      </w:r>
      <w:r w:rsidR="0092033A" w:rsidRPr="006C080B">
        <w:rPr>
          <w:rFonts w:asciiTheme="minorHAnsi" w:hAnsiTheme="minorHAnsi" w:cstheme="minorHAnsi"/>
          <w:bCs/>
          <w:sz w:val="22"/>
          <w:szCs w:val="22"/>
        </w:rPr>
        <w:t xml:space="preserve">going with </w:t>
      </w:r>
      <w:r w:rsidR="00FC6EAD" w:rsidRPr="006C080B">
        <w:rPr>
          <w:rFonts w:asciiTheme="minorHAnsi" w:hAnsiTheme="minorHAnsi" w:cstheme="minorHAnsi"/>
          <w:bCs/>
          <w:sz w:val="22"/>
          <w:szCs w:val="22"/>
        </w:rPr>
        <w:t>a great variety of approaches and different degrees of sophistication in mapping ecosystem services.</w:t>
      </w:r>
    </w:p>
    <w:p w:rsidR="005E11A0" w:rsidRPr="00970638" w:rsidRDefault="005E11A0" w:rsidP="00E16ECE">
      <w:pPr>
        <w:pStyle w:val="Default"/>
        <w:jc w:val="both"/>
        <w:rPr>
          <w:rFonts w:asciiTheme="minorHAnsi" w:hAnsiTheme="minorHAnsi" w:cstheme="minorHAnsi"/>
          <w:bCs/>
        </w:rPr>
      </w:pPr>
    </w:p>
    <w:p w:rsidR="00472971" w:rsidRPr="00970638" w:rsidRDefault="0038663D" w:rsidP="0038663D">
      <w:pPr>
        <w:pStyle w:val="Titre2"/>
        <w:rPr>
          <w:rFonts w:asciiTheme="minorHAnsi" w:hAnsiTheme="minorHAnsi"/>
        </w:rPr>
      </w:pPr>
      <w:r w:rsidRPr="00970638">
        <w:rPr>
          <w:rFonts w:asciiTheme="minorHAnsi" w:hAnsiTheme="minorHAnsi"/>
        </w:rPr>
        <w:t>1.2</w:t>
      </w:r>
      <w:r w:rsidRPr="00970638">
        <w:rPr>
          <w:rFonts w:asciiTheme="minorHAnsi" w:hAnsiTheme="minorHAnsi"/>
        </w:rPr>
        <w:tab/>
      </w:r>
      <w:r w:rsidR="00FA15EC" w:rsidRPr="00970638">
        <w:rPr>
          <w:rFonts w:asciiTheme="minorHAnsi" w:hAnsiTheme="minorHAnsi"/>
        </w:rPr>
        <w:t>I</w:t>
      </w:r>
      <w:r w:rsidR="00472971" w:rsidRPr="00970638">
        <w:rPr>
          <w:rFonts w:asciiTheme="minorHAnsi" w:hAnsiTheme="minorHAnsi"/>
        </w:rPr>
        <w:t>ntroduction to the consortium</w:t>
      </w:r>
    </w:p>
    <w:p w:rsidR="00D75761" w:rsidRPr="006C080B" w:rsidRDefault="005E11A0" w:rsidP="00AC0B29">
      <w:pPr>
        <w:autoSpaceDE w:val="0"/>
        <w:autoSpaceDN w:val="0"/>
        <w:adjustRightInd w:val="0"/>
        <w:spacing w:after="0" w:line="240" w:lineRule="auto"/>
        <w:jc w:val="both"/>
        <w:rPr>
          <w:rFonts w:cstheme="minorHAnsi"/>
        </w:rPr>
      </w:pPr>
      <w:r w:rsidRPr="006C080B">
        <w:rPr>
          <w:rFonts w:cstheme="minorHAnsi"/>
        </w:rPr>
        <w:t xml:space="preserve">Alterra, as contractor, has formed </w:t>
      </w:r>
      <w:r w:rsidR="00D75761" w:rsidRPr="006C080B">
        <w:rPr>
          <w:rFonts w:cstheme="minorHAnsi"/>
        </w:rPr>
        <w:t xml:space="preserve">a consortium of experienced institutions across Europe. The consortium will be supported by an expert group of senior advisors on the various dimensions of the tasks. </w:t>
      </w:r>
    </w:p>
    <w:p w:rsidR="00472971" w:rsidRPr="00970638" w:rsidRDefault="00472971" w:rsidP="0038663D">
      <w:pPr>
        <w:pStyle w:val="Titre3"/>
        <w:rPr>
          <w:rFonts w:asciiTheme="minorHAnsi" w:hAnsiTheme="minorHAnsi"/>
          <w:lang w:val="nl-NL"/>
        </w:rPr>
      </w:pPr>
      <w:r w:rsidRPr="00970638">
        <w:rPr>
          <w:rFonts w:asciiTheme="minorHAnsi" w:hAnsiTheme="minorHAnsi"/>
          <w:lang w:val="nl-NL"/>
        </w:rPr>
        <w:t>The con</w:t>
      </w:r>
      <w:r w:rsidR="008B5CAA" w:rsidRPr="00970638">
        <w:rPr>
          <w:rFonts w:asciiTheme="minorHAnsi" w:hAnsiTheme="minorHAnsi"/>
          <w:lang w:val="nl-NL"/>
        </w:rPr>
        <w:t>sortium</w:t>
      </w:r>
    </w:p>
    <w:p w:rsidR="006C7BFC" w:rsidRPr="00232FB6" w:rsidRDefault="00805C0D" w:rsidP="00BF14CD">
      <w:pPr>
        <w:pStyle w:val="Paragraphedeliste"/>
        <w:numPr>
          <w:ilvl w:val="0"/>
          <w:numId w:val="6"/>
        </w:numPr>
        <w:spacing w:after="0" w:line="240" w:lineRule="auto"/>
        <w:rPr>
          <w:rFonts w:cstheme="minorHAnsi"/>
          <w:lang w:val="nl-NL"/>
        </w:rPr>
      </w:pPr>
      <w:r w:rsidRPr="00232FB6">
        <w:rPr>
          <w:rFonts w:cstheme="minorHAnsi"/>
          <w:lang w:val="nl-NL"/>
        </w:rPr>
        <w:t>Dr. Leon C. Braat</w:t>
      </w:r>
      <w:r w:rsidR="008B5CAA" w:rsidRPr="00232FB6">
        <w:rPr>
          <w:rFonts w:cstheme="minorHAnsi"/>
          <w:lang w:val="nl-NL"/>
        </w:rPr>
        <w:t>,</w:t>
      </w:r>
      <w:r w:rsidRPr="00232FB6">
        <w:rPr>
          <w:rFonts w:cstheme="minorHAnsi"/>
          <w:lang w:val="nl-NL"/>
        </w:rPr>
        <w:t xml:space="preserve"> Dr. Marta Pérez-Soba</w:t>
      </w:r>
      <w:r w:rsidR="008B5CAA" w:rsidRPr="00232FB6">
        <w:rPr>
          <w:rFonts w:cstheme="minorHAnsi"/>
          <w:lang w:val="nl-NL"/>
        </w:rPr>
        <w:t>,</w:t>
      </w:r>
      <w:r w:rsidR="007E7C40" w:rsidRPr="00232FB6">
        <w:rPr>
          <w:rFonts w:cstheme="minorHAnsi"/>
          <w:bCs/>
          <w:lang w:val="nl-NL"/>
        </w:rPr>
        <w:t>Irene Bouwma</w:t>
      </w:r>
      <w:r w:rsidR="008B5CAA" w:rsidRPr="00232FB6">
        <w:rPr>
          <w:rFonts w:cstheme="minorHAnsi"/>
          <w:bCs/>
          <w:lang w:val="nl-NL"/>
        </w:rPr>
        <w:t>M.Sc.</w:t>
      </w:r>
      <w:r w:rsidR="008B5CAA" w:rsidRPr="00232FB6">
        <w:rPr>
          <w:rFonts w:cstheme="minorHAnsi"/>
          <w:lang w:val="nl-NL"/>
        </w:rPr>
        <w:t>,</w:t>
      </w:r>
      <w:r w:rsidR="006C7BFC" w:rsidRPr="00232FB6">
        <w:rPr>
          <w:rFonts w:cstheme="minorHAnsi"/>
          <w:lang w:val="nl-NL"/>
        </w:rPr>
        <w:t>Dr. Chris Klok</w:t>
      </w:r>
      <w:r w:rsidR="008B5CAA" w:rsidRPr="00232FB6">
        <w:rPr>
          <w:rFonts w:cstheme="minorHAnsi"/>
          <w:lang w:val="nl-NL"/>
        </w:rPr>
        <w:t>(InstituteAlterra of Stichting Landbouwkundig Onderzoek (Alterra) )</w:t>
      </w:r>
      <w:r w:rsidR="00232FB6" w:rsidRPr="00232FB6">
        <w:rPr>
          <w:rFonts w:cstheme="minorHAnsi"/>
          <w:lang w:val="nl-NL"/>
        </w:rPr>
        <w:t xml:space="preserve">; F. Boerhave (Student) and L. </w:t>
      </w:r>
      <w:r w:rsidR="00232FB6">
        <w:rPr>
          <w:rFonts w:cstheme="minorHAnsi"/>
          <w:lang w:val="nl-NL"/>
        </w:rPr>
        <w:t>Miguel-Ayalajoined the team during the project.</w:t>
      </w:r>
    </w:p>
    <w:p w:rsidR="00746E3F" w:rsidRPr="006C080B" w:rsidRDefault="00746E3F" w:rsidP="00BF14CD">
      <w:pPr>
        <w:pStyle w:val="Paragraphedeliste"/>
        <w:numPr>
          <w:ilvl w:val="0"/>
          <w:numId w:val="6"/>
        </w:numPr>
        <w:spacing w:after="0" w:line="240" w:lineRule="auto"/>
        <w:jc w:val="both"/>
        <w:rPr>
          <w:rFonts w:cstheme="minorHAnsi"/>
        </w:rPr>
      </w:pPr>
      <w:r w:rsidRPr="00835B77">
        <w:rPr>
          <w:rFonts w:cstheme="minorHAnsi"/>
        </w:rPr>
        <w:t>Paul Scho</w:t>
      </w:r>
      <w:r w:rsidR="006D0E4A" w:rsidRPr="00835B77">
        <w:rPr>
          <w:rFonts w:cstheme="minorHAnsi"/>
        </w:rPr>
        <w:t>le</w:t>
      </w:r>
      <w:r w:rsidRPr="00835B77">
        <w:rPr>
          <w:rFonts w:cstheme="minorHAnsi"/>
        </w:rPr>
        <w:t xml:space="preserve">field </w:t>
      </w:r>
      <w:r w:rsidR="008B5CAA" w:rsidRPr="00835B77">
        <w:rPr>
          <w:rFonts w:cstheme="minorHAnsi"/>
        </w:rPr>
        <w:t xml:space="preserve">(Centre for Ecology and Hydrology (CEH; Natural Environment Research Council, Centre </w:t>
      </w:r>
      <w:r w:rsidR="008B5CAA" w:rsidRPr="006C080B">
        <w:rPr>
          <w:rFonts w:cstheme="minorHAnsi"/>
        </w:rPr>
        <w:t>for Ecology and Hydrology, United Kingdom (NERC))</w:t>
      </w:r>
    </w:p>
    <w:p w:rsidR="00CF195B" w:rsidRPr="006C080B" w:rsidRDefault="008B5CAA" w:rsidP="00BF14CD">
      <w:pPr>
        <w:pStyle w:val="Paragraphedeliste"/>
        <w:numPr>
          <w:ilvl w:val="0"/>
          <w:numId w:val="6"/>
        </w:numPr>
        <w:spacing w:after="0" w:line="240" w:lineRule="auto"/>
        <w:jc w:val="both"/>
        <w:rPr>
          <w:rFonts w:cstheme="minorHAnsi"/>
        </w:rPr>
      </w:pPr>
      <w:r w:rsidRPr="006C080B">
        <w:rPr>
          <w:rFonts w:cstheme="minorHAnsi"/>
        </w:rPr>
        <w:t xml:space="preserve">Ben Delbaere, </w:t>
      </w:r>
      <w:r w:rsidR="00CF195B" w:rsidRPr="006C080B">
        <w:rPr>
          <w:rFonts w:cstheme="minorHAnsi"/>
        </w:rPr>
        <w:t>Amor Torre-Marín</w:t>
      </w:r>
      <w:r w:rsidRPr="006C080B">
        <w:rPr>
          <w:rFonts w:cstheme="minorHAnsi"/>
        </w:rPr>
        <w:t>(European Centre for Nature Conservation (ECNC))</w:t>
      </w:r>
    </w:p>
    <w:p w:rsidR="0004086A" w:rsidRPr="006C080B" w:rsidRDefault="0004086A" w:rsidP="00BF14CD">
      <w:pPr>
        <w:pStyle w:val="Paragraphedeliste"/>
        <w:numPr>
          <w:ilvl w:val="0"/>
          <w:numId w:val="6"/>
        </w:numPr>
        <w:spacing w:after="0" w:line="240" w:lineRule="auto"/>
        <w:jc w:val="both"/>
        <w:rPr>
          <w:rFonts w:eastAsia="Times New Roman" w:cstheme="minorHAnsi"/>
          <w:color w:val="000000"/>
        </w:rPr>
      </w:pPr>
      <w:r w:rsidRPr="006C080B">
        <w:rPr>
          <w:bCs/>
        </w:rPr>
        <w:t>Gebhard B</w:t>
      </w:r>
      <w:r w:rsidR="00232FB6">
        <w:rPr>
          <w:bCs/>
        </w:rPr>
        <w:t>anko</w:t>
      </w:r>
      <w:r w:rsidR="00232FB6">
        <w:t xml:space="preserve">, J. Peterseill, M. Weiss </w:t>
      </w:r>
      <w:r w:rsidR="008B5CAA" w:rsidRPr="006C080B">
        <w:t>(</w:t>
      </w:r>
      <w:r w:rsidR="008B5CAA" w:rsidRPr="006C080B">
        <w:rPr>
          <w:rFonts w:cstheme="minorHAnsi"/>
        </w:rPr>
        <w:t xml:space="preserve">Environment Agency Austria (EAA) </w:t>
      </w:r>
    </w:p>
    <w:p w:rsidR="00CA3739" w:rsidRPr="006C080B" w:rsidRDefault="00CA3739" w:rsidP="00BF14CD">
      <w:pPr>
        <w:pStyle w:val="Paragraphedeliste"/>
        <w:numPr>
          <w:ilvl w:val="0"/>
          <w:numId w:val="6"/>
        </w:numPr>
        <w:spacing w:after="0" w:line="240" w:lineRule="auto"/>
        <w:jc w:val="both"/>
        <w:rPr>
          <w:rFonts w:cstheme="minorHAnsi"/>
        </w:rPr>
      </w:pPr>
      <w:r w:rsidRPr="006C080B">
        <w:rPr>
          <w:rFonts w:cstheme="minorHAnsi"/>
        </w:rPr>
        <w:t>Prof. dr. Adrienne Grêt-Regamey (ETH Zürich PLUS – Chair of Planning of Landscape and Urban Systems )</w:t>
      </w:r>
      <w:r w:rsidR="00232FB6">
        <w:rPr>
          <w:rFonts w:cstheme="minorHAnsi"/>
        </w:rPr>
        <w:t>, M. Weibel joined the team during the project.</w:t>
      </w:r>
    </w:p>
    <w:p w:rsidR="00232FB6" w:rsidRPr="00232FB6" w:rsidRDefault="00561D1F" w:rsidP="00232FB6">
      <w:pPr>
        <w:pStyle w:val="Paragraphedeliste"/>
        <w:numPr>
          <w:ilvl w:val="0"/>
          <w:numId w:val="6"/>
        </w:numPr>
        <w:spacing w:after="0" w:line="240" w:lineRule="auto"/>
        <w:jc w:val="both"/>
        <w:rPr>
          <w:rFonts w:cstheme="minorHAnsi"/>
        </w:rPr>
      </w:pPr>
      <w:r w:rsidRPr="00232FB6">
        <w:rPr>
          <w:rFonts w:cstheme="minorHAnsi"/>
        </w:rPr>
        <w:t>Toon Van Daele</w:t>
      </w:r>
      <w:r w:rsidR="008B5CAA" w:rsidRPr="00232FB6">
        <w:rPr>
          <w:rFonts w:cstheme="minorHAnsi"/>
        </w:rPr>
        <w:t xml:space="preserve"> (InstituutvoorBos en NatuurOnderzoek (INBO; The Flemish Region (VlaamsGewest),  Institute for Nature and Forest Research, Belgium)</w:t>
      </w:r>
      <w:r w:rsidR="00232FB6" w:rsidRPr="00232FB6">
        <w:rPr>
          <w:rFonts w:cstheme="minorHAnsi"/>
        </w:rPr>
        <w:t>; Nicolas Dendoncker (University Namur) joined the team of INBO</w:t>
      </w:r>
    </w:p>
    <w:p w:rsidR="008B5CAA" w:rsidRPr="006C080B" w:rsidRDefault="00343689" w:rsidP="00BF14CD">
      <w:pPr>
        <w:pStyle w:val="Paragraphedeliste"/>
        <w:numPr>
          <w:ilvl w:val="0"/>
          <w:numId w:val="6"/>
        </w:numPr>
        <w:spacing w:after="0" w:line="240" w:lineRule="auto"/>
        <w:rPr>
          <w:rFonts w:cstheme="minorHAnsi"/>
          <w:lang w:val="es-ES" w:eastAsia="de-DE"/>
        </w:rPr>
      </w:pPr>
      <w:r w:rsidRPr="006C080B">
        <w:rPr>
          <w:rFonts w:cstheme="minorHAnsi"/>
        </w:rPr>
        <w:t>Dr. Fernando Santos Martín</w:t>
      </w:r>
      <w:r w:rsidR="008B5CAA" w:rsidRPr="006C080B">
        <w:rPr>
          <w:rFonts w:cstheme="minorHAnsi"/>
          <w:lang w:val="es-ES" w:eastAsia="de-DE"/>
        </w:rPr>
        <w:t xml:space="preserve"> (Universidad Autonoma de Madrid (UAM - AutonomousUniversity of Madrid, Spain)</w:t>
      </w:r>
    </w:p>
    <w:p w:rsidR="00AB38DD" w:rsidRPr="00970638" w:rsidRDefault="00472971" w:rsidP="006C080B">
      <w:pPr>
        <w:pStyle w:val="Titre3"/>
        <w:ind w:left="0" w:firstLine="0"/>
        <w:rPr>
          <w:rFonts w:asciiTheme="minorHAnsi" w:hAnsiTheme="minorHAnsi" w:cstheme="minorBidi"/>
        </w:rPr>
      </w:pPr>
      <w:r w:rsidRPr="00970638">
        <w:rPr>
          <w:rFonts w:asciiTheme="minorHAnsi" w:hAnsiTheme="minorHAnsi"/>
        </w:rPr>
        <w:t>The Expert Group of Advisors</w:t>
      </w:r>
    </w:p>
    <w:p w:rsidR="004A602A" w:rsidRPr="00AE501D" w:rsidRDefault="00CC7EB3" w:rsidP="00BF14CD">
      <w:pPr>
        <w:pStyle w:val="Paragraphedeliste"/>
        <w:numPr>
          <w:ilvl w:val="0"/>
          <w:numId w:val="16"/>
        </w:numPr>
        <w:spacing w:after="0" w:line="240" w:lineRule="auto"/>
        <w:jc w:val="both"/>
        <w:rPr>
          <w:rFonts w:cstheme="minorHAnsi"/>
          <w:lang w:val="nl-NL"/>
        </w:rPr>
      </w:pPr>
      <w:r w:rsidRPr="00AE501D">
        <w:rPr>
          <w:rFonts w:cstheme="minorHAnsi"/>
          <w:lang w:val="nl-NL"/>
        </w:rPr>
        <w:t>Dr. J. van Dijk (NINA)</w:t>
      </w:r>
    </w:p>
    <w:p w:rsidR="008B5CAA" w:rsidRPr="00AE501D" w:rsidRDefault="005C2E0E" w:rsidP="00BF14CD">
      <w:pPr>
        <w:pStyle w:val="Paragraphedeliste"/>
        <w:numPr>
          <w:ilvl w:val="0"/>
          <w:numId w:val="16"/>
        </w:numPr>
        <w:spacing w:after="0" w:line="240" w:lineRule="auto"/>
        <w:jc w:val="both"/>
        <w:rPr>
          <w:rFonts w:cstheme="minorHAnsi"/>
          <w:lang w:val="de-DE"/>
        </w:rPr>
      </w:pPr>
      <w:r w:rsidRPr="00AE501D">
        <w:rPr>
          <w:rFonts w:cstheme="minorHAnsi"/>
          <w:lang w:val="de-DE"/>
        </w:rPr>
        <w:t>Dr. S. Lavorel (CNRS)</w:t>
      </w:r>
    </w:p>
    <w:p w:rsidR="00765CC4" w:rsidRPr="00BA2BA0" w:rsidRDefault="004D3496" w:rsidP="00BF14CD">
      <w:pPr>
        <w:pStyle w:val="Paragraphedeliste"/>
        <w:numPr>
          <w:ilvl w:val="0"/>
          <w:numId w:val="16"/>
        </w:numPr>
        <w:spacing w:after="0" w:line="240" w:lineRule="auto"/>
        <w:jc w:val="both"/>
        <w:rPr>
          <w:rFonts w:cstheme="minorHAnsi"/>
          <w:bCs/>
          <w:lang w:val="de-DE"/>
        </w:rPr>
      </w:pPr>
      <w:r w:rsidRPr="00AE501D">
        <w:rPr>
          <w:rFonts w:cstheme="minorHAnsi"/>
          <w:lang w:val="de-DE"/>
        </w:rPr>
        <w:t>Dr. R. Simoncini (Univ. of Florence</w:t>
      </w:r>
      <w:r w:rsidR="008B5CAA" w:rsidRPr="00AE501D">
        <w:rPr>
          <w:rFonts w:cstheme="minorHAnsi"/>
          <w:lang w:val="de-DE"/>
        </w:rPr>
        <w:t>)</w:t>
      </w:r>
    </w:p>
    <w:p w:rsidR="00BA2BA0" w:rsidRPr="00AE501D" w:rsidRDefault="00BA2BA0" w:rsidP="00BF14CD">
      <w:pPr>
        <w:pStyle w:val="Paragraphedeliste"/>
        <w:numPr>
          <w:ilvl w:val="0"/>
          <w:numId w:val="16"/>
        </w:numPr>
        <w:spacing w:after="0" w:line="240" w:lineRule="auto"/>
        <w:jc w:val="both"/>
        <w:rPr>
          <w:rFonts w:cstheme="minorHAnsi"/>
          <w:bCs/>
          <w:lang w:val="de-DE"/>
        </w:rPr>
      </w:pPr>
      <w:r>
        <w:rPr>
          <w:rFonts w:cstheme="minorHAnsi"/>
          <w:lang w:val="sv-SE"/>
        </w:rPr>
        <w:t>Dr. L. Kopperoinen (SYKE)</w:t>
      </w:r>
    </w:p>
    <w:p w:rsidR="00BA2BA0" w:rsidRDefault="00BA2BA0" w:rsidP="00BA2BA0">
      <w:pPr>
        <w:spacing w:after="0" w:line="240" w:lineRule="auto"/>
        <w:ind w:left="360"/>
        <w:jc w:val="both"/>
        <w:rPr>
          <w:rFonts w:cstheme="minorHAnsi"/>
        </w:rPr>
      </w:pPr>
    </w:p>
    <w:p w:rsidR="00BA2BA0" w:rsidRPr="00232FB6" w:rsidRDefault="00BA2BA0" w:rsidP="00232FB6">
      <w:pPr>
        <w:pStyle w:val="Paragraphedeliste"/>
        <w:numPr>
          <w:ilvl w:val="0"/>
          <w:numId w:val="16"/>
        </w:numPr>
        <w:spacing w:after="0" w:line="240" w:lineRule="auto"/>
        <w:jc w:val="both"/>
        <w:rPr>
          <w:rFonts w:cstheme="minorHAnsi"/>
          <w:bCs/>
          <w:lang w:val="de-DE"/>
        </w:rPr>
      </w:pPr>
      <w:r w:rsidRPr="00BA2BA0">
        <w:rPr>
          <w:rFonts w:cstheme="minorHAnsi"/>
        </w:rPr>
        <w:t xml:space="preserve">Dr. R. Alkemade (PBL/ Netherlands Environmental Assessment Agency), Dr. P. Harrison (University of Oxford), </w:t>
      </w:r>
      <w:r w:rsidRPr="00BA2BA0">
        <w:rPr>
          <w:rFonts w:cstheme="minorHAnsi"/>
          <w:lang w:val="de-DE"/>
        </w:rPr>
        <w:t xml:space="preserve">Dr. J. Hauck (UFZ), Dr. O. Ratamäki (SYKE), </w:t>
      </w:r>
      <w:r w:rsidRPr="00BA2BA0">
        <w:rPr>
          <w:rFonts w:cstheme="minorHAnsi"/>
          <w:lang w:val="sv-SE"/>
        </w:rPr>
        <w:t xml:space="preserve">Dr. M. Termansen (Univ. Aarhus /DMU/NERI) were invited but could not contribute for different reasons. </w:t>
      </w:r>
      <w:r w:rsidR="00232FB6">
        <w:rPr>
          <w:rFonts w:cstheme="minorHAnsi"/>
          <w:lang w:val="sv-SE"/>
        </w:rPr>
        <w:t>Dr. L. Kopperoinen (SYKE) gaciously substituted</w:t>
      </w:r>
      <w:r w:rsidRPr="00232FB6">
        <w:rPr>
          <w:rFonts w:cstheme="minorHAnsi"/>
          <w:lang w:val="sv-SE"/>
        </w:rPr>
        <w:t xml:space="preserve"> for </w:t>
      </w:r>
      <w:r w:rsidRPr="00232FB6">
        <w:rPr>
          <w:rFonts w:cstheme="minorHAnsi"/>
          <w:lang w:val="de-DE"/>
        </w:rPr>
        <w:t>Dr. O. Ratamäki (SYKE).</w:t>
      </w:r>
    </w:p>
    <w:p w:rsidR="00432928" w:rsidRPr="00232FB6" w:rsidRDefault="00BA2BA0" w:rsidP="00232FB6">
      <w:pPr>
        <w:tabs>
          <w:tab w:val="left" w:pos="851"/>
        </w:tabs>
        <w:rPr>
          <w:b/>
          <w:color w:val="4F81BD" w:themeColor="accent1"/>
          <w:sz w:val="40"/>
          <w:szCs w:val="40"/>
        </w:rPr>
      </w:pPr>
      <w:r w:rsidRPr="00232FB6">
        <w:rPr>
          <w:b/>
          <w:color w:val="4F81BD" w:themeColor="accent1"/>
          <w:sz w:val="40"/>
          <w:szCs w:val="40"/>
          <w:lang w:val="sv-SE"/>
        </w:rPr>
        <w:br w:type="page"/>
      </w:r>
      <w:r w:rsidR="00232FB6">
        <w:rPr>
          <w:b/>
          <w:color w:val="4F81BD" w:themeColor="accent1"/>
          <w:sz w:val="40"/>
          <w:szCs w:val="40"/>
          <w:lang w:val="sv-SE"/>
        </w:rPr>
        <w:lastRenderedPageBreak/>
        <w:t>2.</w:t>
      </w:r>
      <w:r w:rsidR="00232FB6">
        <w:rPr>
          <w:b/>
          <w:color w:val="4F81BD" w:themeColor="accent1"/>
          <w:sz w:val="40"/>
          <w:szCs w:val="40"/>
          <w:lang w:val="sv-SE"/>
        </w:rPr>
        <w:tab/>
      </w:r>
      <w:r w:rsidR="00432928" w:rsidRPr="00232FB6">
        <w:rPr>
          <w:b/>
          <w:color w:val="4F81BD" w:themeColor="accent1"/>
          <w:sz w:val="40"/>
          <w:szCs w:val="40"/>
        </w:rPr>
        <w:t>THE OBJECTIVES AND TASKS</w:t>
      </w:r>
    </w:p>
    <w:p w:rsidR="004917A0" w:rsidRPr="00970638" w:rsidRDefault="004917A0" w:rsidP="004917A0">
      <w:pPr>
        <w:pStyle w:val="Paragraphedeliste"/>
        <w:rPr>
          <w:b/>
          <w:sz w:val="28"/>
          <w:szCs w:val="28"/>
        </w:rPr>
      </w:pPr>
    </w:p>
    <w:p w:rsidR="004917A0" w:rsidRPr="00970638" w:rsidRDefault="004917A0" w:rsidP="0038663D">
      <w:pPr>
        <w:pStyle w:val="Titre2"/>
        <w:rPr>
          <w:rFonts w:asciiTheme="minorHAnsi" w:hAnsiTheme="minorHAnsi"/>
        </w:rPr>
      </w:pPr>
      <w:r w:rsidRPr="00970638">
        <w:rPr>
          <w:rFonts w:asciiTheme="minorHAnsi" w:hAnsiTheme="minorHAnsi"/>
        </w:rPr>
        <w:t>2.1</w:t>
      </w:r>
      <w:r w:rsidRPr="00970638">
        <w:rPr>
          <w:rFonts w:asciiTheme="minorHAnsi" w:hAnsiTheme="minorHAnsi"/>
        </w:rPr>
        <w:tab/>
        <w:t>The Objective</w:t>
      </w:r>
    </w:p>
    <w:p w:rsidR="00E96AEE" w:rsidRPr="00856BF8" w:rsidRDefault="004917A0" w:rsidP="00856BF8">
      <w:pPr>
        <w:pStyle w:val="Titre3"/>
        <w:rPr>
          <w:rFonts w:asciiTheme="minorHAnsi" w:hAnsiTheme="minorHAnsi"/>
        </w:rPr>
      </w:pPr>
      <w:r w:rsidRPr="00970638">
        <w:rPr>
          <w:rFonts w:asciiTheme="minorHAnsi" w:hAnsiTheme="minorHAnsi"/>
        </w:rPr>
        <w:t xml:space="preserve">The aim of this contract </w:t>
      </w:r>
    </w:p>
    <w:p w:rsidR="004917A0" w:rsidRPr="00585BE7" w:rsidRDefault="00E96AEE" w:rsidP="00AA6489">
      <w:pPr>
        <w:autoSpaceDE w:val="0"/>
        <w:autoSpaceDN w:val="0"/>
        <w:adjustRightInd w:val="0"/>
        <w:spacing w:after="0" w:line="240" w:lineRule="auto"/>
        <w:jc w:val="both"/>
        <w:rPr>
          <w:rFonts w:cstheme="minorHAnsi"/>
          <w:color w:val="000000"/>
        </w:rPr>
      </w:pPr>
      <w:r w:rsidRPr="00585BE7">
        <w:rPr>
          <w:rFonts w:cstheme="minorHAnsi"/>
          <w:color w:val="000000"/>
        </w:rPr>
        <w:t xml:space="preserve">The aim of this contract </w:t>
      </w:r>
      <w:r w:rsidR="004917A0" w:rsidRPr="00585BE7">
        <w:rPr>
          <w:rFonts w:cstheme="minorHAnsi"/>
          <w:color w:val="000000"/>
        </w:rPr>
        <w:t>is (</w:t>
      </w:r>
      <w:r w:rsidR="00E60CDF" w:rsidRPr="00585BE7">
        <w:rPr>
          <w:rFonts w:cstheme="minorHAnsi"/>
          <w:i/>
          <w:color w:val="000000"/>
        </w:rPr>
        <w:t>f</w:t>
      </w:r>
      <w:r w:rsidR="004917A0" w:rsidRPr="00585BE7">
        <w:rPr>
          <w:rFonts w:cstheme="minorHAnsi"/>
          <w:i/>
          <w:color w:val="000000"/>
        </w:rPr>
        <w:t xml:space="preserve">rom </w:t>
      </w:r>
      <w:r w:rsidR="004917A0" w:rsidRPr="00585BE7">
        <w:rPr>
          <w:rFonts w:cstheme="minorHAnsi"/>
          <w:b/>
          <w:bCs/>
          <w:i/>
        </w:rPr>
        <w:t>Invitation to Tender ENV.B.2/SER/2012/0016</w:t>
      </w:r>
      <w:r w:rsidR="004917A0" w:rsidRPr="00585BE7">
        <w:rPr>
          <w:rFonts w:cstheme="minorHAnsi"/>
          <w:bCs/>
        </w:rPr>
        <w:t>)</w:t>
      </w:r>
    </w:p>
    <w:p w:rsidR="004917A0" w:rsidRPr="00585BE7" w:rsidRDefault="004917A0" w:rsidP="00BF14CD">
      <w:pPr>
        <w:pStyle w:val="Paragraphedeliste"/>
        <w:numPr>
          <w:ilvl w:val="0"/>
          <w:numId w:val="1"/>
        </w:numPr>
        <w:autoSpaceDE w:val="0"/>
        <w:autoSpaceDN w:val="0"/>
        <w:adjustRightInd w:val="0"/>
        <w:spacing w:after="0" w:line="240" w:lineRule="auto"/>
        <w:jc w:val="both"/>
        <w:rPr>
          <w:rFonts w:cstheme="minorHAnsi"/>
          <w:i/>
          <w:color w:val="000000"/>
        </w:rPr>
      </w:pPr>
      <w:r w:rsidRPr="00585BE7">
        <w:rPr>
          <w:rFonts w:cstheme="minorHAnsi"/>
          <w:i/>
          <w:color w:val="000000"/>
        </w:rPr>
        <w:t xml:space="preserve">to provide assistance on behalf of and in cooperation with the Commission to the Member States in the context of Action 5 of the EU 2020 Biodiversity Strategy, </w:t>
      </w:r>
    </w:p>
    <w:p w:rsidR="004917A0" w:rsidRPr="00585BE7" w:rsidRDefault="004917A0" w:rsidP="00BF14CD">
      <w:pPr>
        <w:pStyle w:val="Paragraphedeliste"/>
        <w:numPr>
          <w:ilvl w:val="0"/>
          <w:numId w:val="1"/>
        </w:numPr>
        <w:autoSpaceDE w:val="0"/>
        <w:autoSpaceDN w:val="0"/>
        <w:adjustRightInd w:val="0"/>
        <w:spacing w:after="0" w:line="240" w:lineRule="auto"/>
        <w:jc w:val="both"/>
        <w:rPr>
          <w:rFonts w:cstheme="minorHAnsi"/>
          <w:i/>
          <w:color w:val="000000"/>
        </w:rPr>
      </w:pPr>
      <w:r w:rsidRPr="00585BE7">
        <w:rPr>
          <w:rFonts w:cstheme="minorHAnsi"/>
          <w:i/>
          <w:color w:val="000000"/>
        </w:rPr>
        <w:t xml:space="preserve">on the mapping and assessment of the state of ecosystems and their services in their national territory, </w:t>
      </w:r>
    </w:p>
    <w:p w:rsidR="004917A0" w:rsidRPr="00585BE7" w:rsidRDefault="004917A0" w:rsidP="00BF14CD">
      <w:pPr>
        <w:pStyle w:val="Paragraphedeliste"/>
        <w:numPr>
          <w:ilvl w:val="0"/>
          <w:numId w:val="1"/>
        </w:numPr>
        <w:autoSpaceDE w:val="0"/>
        <w:autoSpaceDN w:val="0"/>
        <w:adjustRightInd w:val="0"/>
        <w:spacing w:after="0" w:line="240" w:lineRule="auto"/>
        <w:jc w:val="both"/>
        <w:rPr>
          <w:rFonts w:cstheme="minorHAnsi"/>
          <w:color w:val="000000"/>
        </w:rPr>
      </w:pPr>
      <w:r w:rsidRPr="00585BE7">
        <w:rPr>
          <w:rFonts w:cstheme="minorHAnsi"/>
          <w:i/>
          <w:color w:val="000000"/>
        </w:rPr>
        <w:t>making best use of studies and work already undertaken at EU and MS levels</w:t>
      </w:r>
      <w:r w:rsidRPr="00585BE7">
        <w:rPr>
          <w:rFonts w:cstheme="minorHAnsi"/>
          <w:color w:val="000000"/>
        </w:rPr>
        <w:t>.</w:t>
      </w:r>
    </w:p>
    <w:p w:rsidR="004917A0" w:rsidRPr="00585BE7" w:rsidRDefault="004917A0" w:rsidP="00AA6489">
      <w:pPr>
        <w:autoSpaceDE w:val="0"/>
        <w:autoSpaceDN w:val="0"/>
        <w:adjustRightInd w:val="0"/>
        <w:spacing w:after="0" w:line="240" w:lineRule="auto"/>
        <w:jc w:val="both"/>
        <w:rPr>
          <w:rFonts w:cstheme="minorHAnsi"/>
          <w:color w:val="000000"/>
          <w:highlight w:val="cyan"/>
          <w:u w:val="single"/>
        </w:rPr>
      </w:pPr>
    </w:p>
    <w:p w:rsidR="00F52770" w:rsidRPr="00585BE7" w:rsidRDefault="004917A0" w:rsidP="00F52770">
      <w:pPr>
        <w:spacing w:after="0" w:line="240" w:lineRule="auto"/>
        <w:rPr>
          <w:b/>
        </w:rPr>
      </w:pPr>
      <w:r w:rsidRPr="00585BE7">
        <w:rPr>
          <w:rFonts w:cstheme="minorHAnsi"/>
          <w:color w:val="000000"/>
        </w:rPr>
        <w:t>The assistance is firstly to be provided via the Commission</w:t>
      </w:r>
      <w:r w:rsidR="008F36EE" w:rsidRPr="00585BE7">
        <w:rPr>
          <w:rFonts w:cstheme="minorHAnsi"/>
          <w:color w:val="000000"/>
        </w:rPr>
        <w:t xml:space="preserve"> and the Steering Group of the Project</w:t>
      </w:r>
      <w:r w:rsidRPr="00585BE7">
        <w:rPr>
          <w:rFonts w:cstheme="minorHAnsi"/>
          <w:color w:val="000000"/>
        </w:rPr>
        <w:t>, and where so desired via the EU Working Group MAES, in which the Member State</w:t>
      </w:r>
      <w:r w:rsidR="00F52770" w:rsidRPr="00585BE7">
        <w:rPr>
          <w:rFonts w:cstheme="minorHAnsi"/>
          <w:color w:val="000000"/>
        </w:rPr>
        <w:t>s are represented. The Steering Group noted (December 1</w:t>
      </w:r>
      <w:r w:rsidR="00E60CDF" w:rsidRPr="00585BE7">
        <w:rPr>
          <w:rFonts w:cstheme="minorHAnsi"/>
          <w:color w:val="000000"/>
        </w:rPr>
        <w:t>8</w:t>
      </w:r>
      <w:r w:rsidR="00F52770" w:rsidRPr="00585BE7">
        <w:rPr>
          <w:rFonts w:cstheme="minorHAnsi"/>
          <w:color w:val="000000"/>
        </w:rPr>
        <w:t>, 2013) that</w:t>
      </w:r>
      <w:r w:rsidR="00F52770" w:rsidRPr="00585BE7">
        <w:t xml:space="preserve"> the Working Group MAES should give regular feedback to this project and is one of the main users of the results, and that the Contractor, in agreement with the Steering Group, needs to carefully orchestrate both streams of information: (1) how this contract takes up the ideas and activities of the working group – including Member States- and those of the various Commission services, and (2) how it contributes to their work</w:t>
      </w:r>
      <w:r w:rsidR="00F52770" w:rsidRPr="00585BE7">
        <w:rPr>
          <w:b/>
        </w:rPr>
        <w:t xml:space="preserve">. </w:t>
      </w:r>
    </w:p>
    <w:p w:rsidR="004917A0" w:rsidRPr="00585BE7" w:rsidRDefault="004917A0" w:rsidP="00F52770">
      <w:pPr>
        <w:autoSpaceDE w:val="0"/>
        <w:autoSpaceDN w:val="0"/>
        <w:adjustRightInd w:val="0"/>
        <w:spacing w:after="0" w:line="240" w:lineRule="auto"/>
        <w:jc w:val="both"/>
        <w:rPr>
          <w:rFonts w:cstheme="minorHAnsi"/>
          <w:color w:val="000000"/>
        </w:rPr>
      </w:pPr>
    </w:p>
    <w:p w:rsidR="00BA4370" w:rsidRPr="00585BE7" w:rsidRDefault="004917A0" w:rsidP="00F52770">
      <w:pPr>
        <w:autoSpaceDE w:val="0"/>
        <w:autoSpaceDN w:val="0"/>
        <w:adjustRightInd w:val="0"/>
        <w:spacing w:after="0" w:line="240" w:lineRule="auto"/>
        <w:jc w:val="both"/>
        <w:rPr>
          <w:rFonts w:cstheme="minorHAnsi"/>
        </w:rPr>
      </w:pPr>
      <w:r w:rsidRPr="00585BE7">
        <w:rPr>
          <w:rFonts w:cstheme="minorHAnsi"/>
          <w:color w:val="000000"/>
        </w:rPr>
        <w:t>The study itself does not aim to develop new maps and ass</w:t>
      </w:r>
      <w:r w:rsidR="00F52770" w:rsidRPr="00585BE7">
        <w:rPr>
          <w:rFonts w:cstheme="minorHAnsi"/>
          <w:color w:val="000000"/>
        </w:rPr>
        <w:t>essments of EU or Member States, but t</w:t>
      </w:r>
      <w:r w:rsidR="00CE2140" w:rsidRPr="00585BE7">
        <w:rPr>
          <w:rFonts w:cstheme="minorHAnsi"/>
        </w:rPr>
        <w:t>he exchange of experience on methodologies for mapping ecosystems and their services at various scales</w:t>
      </w:r>
      <w:r w:rsidR="003D4731" w:rsidRPr="00585BE7">
        <w:rPr>
          <w:rFonts w:cstheme="minorHAnsi"/>
        </w:rPr>
        <w:t xml:space="preserve"> across Europe</w:t>
      </w:r>
      <w:r w:rsidR="00CE2140" w:rsidRPr="00585BE7">
        <w:rPr>
          <w:rFonts w:cstheme="minorHAnsi"/>
        </w:rPr>
        <w:t>, and on links with the assessment work at EU and at MS levels</w:t>
      </w:r>
      <w:r w:rsidR="004A602A" w:rsidRPr="00585BE7">
        <w:rPr>
          <w:rFonts w:cstheme="minorHAnsi"/>
        </w:rPr>
        <w:t xml:space="preserve"> is </w:t>
      </w:r>
      <w:r w:rsidR="00E60CDF" w:rsidRPr="00585BE7">
        <w:rPr>
          <w:rFonts w:cstheme="minorHAnsi"/>
        </w:rPr>
        <w:t xml:space="preserve">clearly </w:t>
      </w:r>
      <w:r w:rsidR="004A602A" w:rsidRPr="00585BE7">
        <w:rPr>
          <w:rFonts w:cstheme="minorHAnsi"/>
        </w:rPr>
        <w:t>important</w:t>
      </w:r>
      <w:r w:rsidR="00CE2140" w:rsidRPr="00585BE7">
        <w:rPr>
          <w:rFonts w:cstheme="minorHAnsi"/>
        </w:rPr>
        <w:t>.</w:t>
      </w:r>
      <w:r w:rsidR="00CA3739" w:rsidRPr="00585BE7">
        <w:rPr>
          <w:rFonts w:cstheme="minorHAnsi"/>
          <w:color w:val="000000"/>
        </w:rPr>
        <w:t xml:space="preserve">The usability of maps and quantitative assessments </w:t>
      </w:r>
      <w:r w:rsidR="00CA3739" w:rsidRPr="00585BE7">
        <w:rPr>
          <w:rFonts w:cstheme="minorHAnsi"/>
          <w:i/>
          <w:color w:val="000000"/>
        </w:rPr>
        <w:t xml:space="preserve">to function as a basis for </w:t>
      </w:r>
      <w:r w:rsidR="00E60CDF" w:rsidRPr="00585BE7">
        <w:rPr>
          <w:rFonts w:cstheme="minorHAnsi"/>
          <w:i/>
          <w:color w:val="000000"/>
        </w:rPr>
        <w:t xml:space="preserve">(future) </w:t>
      </w:r>
      <w:r w:rsidR="00CA3739" w:rsidRPr="00585BE7">
        <w:rPr>
          <w:rFonts w:cstheme="minorHAnsi"/>
          <w:i/>
          <w:color w:val="000000"/>
        </w:rPr>
        <w:t xml:space="preserve">economic valuations </w:t>
      </w:r>
      <w:r w:rsidR="00CA3739" w:rsidRPr="00585BE7">
        <w:rPr>
          <w:rFonts w:cstheme="minorHAnsi"/>
          <w:color w:val="000000"/>
        </w:rPr>
        <w:t>should be evaluated</w:t>
      </w:r>
      <w:r w:rsidR="00E60CDF" w:rsidRPr="00585BE7">
        <w:rPr>
          <w:rFonts w:cstheme="minorHAnsi"/>
          <w:color w:val="000000"/>
        </w:rPr>
        <w:t xml:space="preserve"> as well</w:t>
      </w:r>
      <w:r w:rsidR="00CA3739" w:rsidRPr="00585BE7">
        <w:rPr>
          <w:rFonts w:cstheme="minorHAnsi"/>
          <w:color w:val="000000"/>
        </w:rPr>
        <w:t>.</w:t>
      </w:r>
    </w:p>
    <w:p w:rsidR="00E96AEE" w:rsidRPr="00856BF8" w:rsidRDefault="00E96AEE" w:rsidP="00856BF8">
      <w:pPr>
        <w:pStyle w:val="Titre3"/>
        <w:rPr>
          <w:rFonts w:asciiTheme="minorHAnsi" w:hAnsiTheme="minorHAnsi"/>
        </w:rPr>
      </w:pPr>
      <w:r w:rsidRPr="00970638">
        <w:rPr>
          <w:rFonts w:asciiTheme="minorHAnsi" w:hAnsiTheme="minorHAnsi"/>
        </w:rPr>
        <w:t>The objective</w:t>
      </w:r>
    </w:p>
    <w:p w:rsidR="00E96AEE" w:rsidRPr="00585BE7" w:rsidRDefault="00E96AEE" w:rsidP="00AA6489">
      <w:pPr>
        <w:autoSpaceDE w:val="0"/>
        <w:autoSpaceDN w:val="0"/>
        <w:adjustRightInd w:val="0"/>
        <w:spacing w:after="0" w:line="240" w:lineRule="auto"/>
        <w:jc w:val="both"/>
        <w:rPr>
          <w:rFonts w:cstheme="minorHAnsi"/>
          <w:color w:val="000000"/>
        </w:rPr>
      </w:pPr>
      <w:r w:rsidRPr="00585BE7">
        <w:rPr>
          <w:rFonts w:cstheme="minorHAnsi"/>
          <w:color w:val="000000"/>
        </w:rPr>
        <w:t>The objective is</w:t>
      </w:r>
      <w:r w:rsidR="003D4731" w:rsidRPr="00585BE7">
        <w:rPr>
          <w:rFonts w:cstheme="minorHAnsi"/>
          <w:color w:val="000000"/>
        </w:rPr>
        <w:t xml:space="preserve"> (</w:t>
      </w:r>
      <w:r w:rsidR="00E60CDF" w:rsidRPr="00585BE7">
        <w:rPr>
          <w:rFonts w:cstheme="minorHAnsi"/>
          <w:i/>
          <w:color w:val="000000"/>
        </w:rPr>
        <w:t>f</w:t>
      </w:r>
      <w:r w:rsidR="003D4731" w:rsidRPr="00585BE7">
        <w:rPr>
          <w:rFonts w:cstheme="minorHAnsi"/>
          <w:i/>
          <w:color w:val="000000"/>
        </w:rPr>
        <w:t xml:space="preserve">rom </w:t>
      </w:r>
      <w:r w:rsidR="003D4731" w:rsidRPr="00585BE7">
        <w:rPr>
          <w:rFonts w:cstheme="minorHAnsi"/>
          <w:b/>
          <w:bCs/>
          <w:i/>
        </w:rPr>
        <w:t>Invitation to Tender ENV.B.2/SER/2012/0016</w:t>
      </w:r>
      <w:r w:rsidR="003D4731" w:rsidRPr="00585BE7">
        <w:rPr>
          <w:rFonts w:cstheme="minorHAnsi"/>
          <w:bCs/>
        </w:rPr>
        <w:t>)</w:t>
      </w:r>
    </w:p>
    <w:p w:rsidR="004917A0" w:rsidRPr="00585BE7" w:rsidRDefault="004917A0" w:rsidP="00AA6489">
      <w:pPr>
        <w:autoSpaceDE w:val="0"/>
        <w:autoSpaceDN w:val="0"/>
        <w:adjustRightInd w:val="0"/>
        <w:spacing w:after="0" w:line="240" w:lineRule="auto"/>
        <w:ind w:left="720"/>
        <w:jc w:val="both"/>
        <w:rPr>
          <w:rFonts w:cstheme="minorHAnsi"/>
          <w:color w:val="000000"/>
        </w:rPr>
      </w:pPr>
      <w:r w:rsidRPr="00585BE7">
        <w:rPr>
          <w:rFonts w:cstheme="minorHAnsi"/>
          <w:i/>
          <w:color w:val="000000"/>
        </w:rPr>
        <w:t>to compare and test EU methods on pilot cases from Member States in order to identify possible commonalities and facilitate cross-linkages between national/sub-national assessments and the work carried out at EU level</w:t>
      </w:r>
      <w:r w:rsidRPr="00585BE7">
        <w:rPr>
          <w:rFonts w:cstheme="minorHAnsi"/>
          <w:color w:val="000000"/>
        </w:rPr>
        <w:t xml:space="preserve">. </w:t>
      </w:r>
    </w:p>
    <w:p w:rsidR="004917A0" w:rsidRPr="00585BE7" w:rsidRDefault="004917A0" w:rsidP="00AA6489">
      <w:pPr>
        <w:autoSpaceDE w:val="0"/>
        <w:autoSpaceDN w:val="0"/>
        <w:adjustRightInd w:val="0"/>
        <w:spacing w:after="0" w:line="240" w:lineRule="auto"/>
        <w:jc w:val="both"/>
        <w:rPr>
          <w:rFonts w:cstheme="minorHAnsi"/>
          <w:color w:val="000000"/>
          <w:highlight w:val="cyan"/>
          <w:u w:val="single"/>
        </w:rPr>
      </w:pPr>
    </w:p>
    <w:p w:rsidR="004A602A" w:rsidRPr="00585BE7" w:rsidRDefault="004A602A" w:rsidP="00F52770">
      <w:pPr>
        <w:autoSpaceDE w:val="0"/>
        <w:autoSpaceDN w:val="0"/>
        <w:adjustRightInd w:val="0"/>
        <w:spacing w:after="0" w:line="240" w:lineRule="auto"/>
        <w:jc w:val="both"/>
        <w:rPr>
          <w:rFonts w:cstheme="minorHAnsi"/>
        </w:rPr>
      </w:pPr>
      <w:r w:rsidRPr="00585BE7">
        <w:rPr>
          <w:rFonts w:cstheme="minorHAnsi"/>
        </w:rPr>
        <w:t xml:space="preserve">The comparison and testing </w:t>
      </w:r>
      <w:r w:rsidR="00F52770" w:rsidRPr="00585BE7">
        <w:rPr>
          <w:rFonts w:cstheme="minorHAnsi"/>
        </w:rPr>
        <w:t>is</w:t>
      </w:r>
      <w:r w:rsidRPr="00585BE7">
        <w:rPr>
          <w:rFonts w:cstheme="minorHAnsi"/>
        </w:rPr>
        <w:t xml:space="preserve"> organised vertically (from EU via National to </w:t>
      </w:r>
      <w:r w:rsidR="0092033A" w:rsidRPr="00585BE7">
        <w:rPr>
          <w:rFonts w:cstheme="minorHAnsi"/>
        </w:rPr>
        <w:t>subnationa</w:t>
      </w:r>
      <w:r w:rsidRPr="00585BE7">
        <w:rPr>
          <w:rFonts w:cstheme="minorHAnsi"/>
        </w:rPr>
        <w:t xml:space="preserve">l and back), as well as horizontally, i.e. across Europe at the Member state and </w:t>
      </w:r>
      <w:r w:rsidR="0092033A" w:rsidRPr="00585BE7">
        <w:rPr>
          <w:rFonts w:cstheme="minorHAnsi"/>
        </w:rPr>
        <w:t>subnational</w:t>
      </w:r>
      <w:r w:rsidRPr="00585BE7">
        <w:rPr>
          <w:rFonts w:cstheme="minorHAnsi"/>
        </w:rPr>
        <w:t xml:space="preserve"> levels;</w:t>
      </w:r>
    </w:p>
    <w:p w:rsidR="009541D5" w:rsidRPr="00585BE7" w:rsidRDefault="00CA3739" w:rsidP="009541D5">
      <w:pPr>
        <w:autoSpaceDE w:val="0"/>
        <w:autoSpaceDN w:val="0"/>
        <w:adjustRightInd w:val="0"/>
        <w:spacing w:after="0" w:line="240" w:lineRule="auto"/>
        <w:jc w:val="both"/>
        <w:rPr>
          <w:rFonts w:cstheme="minorHAnsi"/>
        </w:rPr>
      </w:pPr>
      <w:r w:rsidRPr="00585BE7">
        <w:rPr>
          <w:rFonts w:cstheme="minorHAnsi"/>
        </w:rPr>
        <w:t xml:space="preserve">The </w:t>
      </w:r>
      <w:r w:rsidR="009541D5" w:rsidRPr="00585BE7">
        <w:rPr>
          <w:rFonts w:cstheme="minorHAnsi"/>
        </w:rPr>
        <w:t>Analytical F</w:t>
      </w:r>
      <w:r w:rsidRPr="00585BE7">
        <w:rPr>
          <w:rFonts w:cstheme="minorHAnsi"/>
        </w:rPr>
        <w:t>ramework</w:t>
      </w:r>
      <w:r w:rsidR="009541D5" w:rsidRPr="00585BE7">
        <w:rPr>
          <w:rFonts w:cstheme="minorHAnsi"/>
          <w:color w:val="000000"/>
        </w:rPr>
        <w:t xml:space="preserve">(Maes et al., 2013) </w:t>
      </w:r>
      <w:r w:rsidR="0092033A" w:rsidRPr="00585BE7">
        <w:rPr>
          <w:rFonts w:cstheme="minorHAnsi"/>
          <w:color w:val="000000"/>
        </w:rPr>
        <w:t>will be used by</w:t>
      </w:r>
      <w:r w:rsidRPr="00585BE7">
        <w:rPr>
          <w:rFonts w:cstheme="minorHAnsi"/>
          <w:color w:val="000000"/>
        </w:rPr>
        <w:t xml:space="preserve"> the consortium to critically compare, test and, where </w:t>
      </w:r>
      <w:r w:rsidR="00E60CDF" w:rsidRPr="00585BE7">
        <w:rPr>
          <w:rFonts w:cstheme="minorHAnsi"/>
          <w:color w:val="000000"/>
        </w:rPr>
        <w:t>considered</w:t>
      </w:r>
      <w:r w:rsidRPr="00585BE7">
        <w:rPr>
          <w:rFonts w:cstheme="minorHAnsi"/>
          <w:color w:val="000000"/>
        </w:rPr>
        <w:t xml:space="preserve"> necessary, propose improvements to the currently available EU methods and elements</w:t>
      </w:r>
      <w:r w:rsidR="0023559F" w:rsidRPr="00585BE7">
        <w:rPr>
          <w:rFonts w:cstheme="minorHAnsi"/>
          <w:color w:val="000000"/>
        </w:rPr>
        <w:t xml:space="preserve"> as described in or referred to in the</w:t>
      </w:r>
      <w:r w:rsidR="009541D5" w:rsidRPr="00585BE7">
        <w:rPr>
          <w:rFonts w:cstheme="minorHAnsi"/>
          <w:color w:val="000000"/>
        </w:rPr>
        <w:t xml:space="preserve">Analytical </w:t>
      </w:r>
      <w:r w:rsidRPr="00585BE7">
        <w:rPr>
          <w:rFonts w:cstheme="minorHAnsi"/>
          <w:color w:val="000000"/>
        </w:rPr>
        <w:t xml:space="preserve"> Framework, via a set of case studies as produced by and in Member States.</w:t>
      </w:r>
    </w:p>
    <w:p w:rsidR="009541D5" w:rsidRPr="00585BE7" w:rsidRDefault="009541D5" w:rsidP="009541D5">
      <w:pPr>
        <w:autoSpaceDE w:val="0"/>
        <w:autoSpaceDN w:val="0"/>
        <w:adjustRightInd w:val="0"/>
        <w:spacing w:after="0" w:line="240" w:lineRule="auto"/>
        <w:jc w:val="both"/>
        <w:rPr>
          <w:rFonts w:cstheme="minorHAnsi"/>
        </w:rPr>
      </w:pPr>
    </w:p>
    <w:p w:rsidR="007E3796" w:rsidRPr="00585BE7" w:rsidRDefault="00CA3739" w:rsidP="009541D5">
      <w:pPr>
        <w:autoSpaceDE w:val="0"/>
        <w:autoSpaceDN w:val="0"/>
        <w:adjustRightInd w:val="0"/>
        <w:spacing w:after="0" w:line="240" w:lineRule="auto"/>
        <w:jc w:val="both"/>
        <w:rPr>
          <w:rFonts w:cstheme="minorHAnsi"/>
        </w:rPr>
      </w:pPr>
      <w:r w:rsidRPr="00585BE7">
        <w:rPr>
          <w:rFonts w:cstheme="minorHAnsi"/>
          <w:color w:val="000000"/>
        </w:rPr>
        <w:t xml:space="preserve">The comparative evaluation of the applicability and effectiveness of the current </w:t>
      </w:r>
      <w:r w:rsidR="009541D5" w:rsidRPr="00585BE7">
        <w:rPr>
          <w:rFonts w:cstheme="minorHAnsi"/>
          <w:color w:val="000000"/>
        </w:rPr>
        <w:t>Analytical F</w:t>
      </w:r>
      <w:r w:rsidRPr="00585BE7">
        <w:rPr>
          <w:rFonts w:cstheme="minorHAnsi"/>
          <w:color w:val="000000"/>
        </w:rPr>
        <w:t xml:space="preserve">ramework in the proposed cases, must converge into proposals for customised </w:t>
      </w:r>
      <w:r w:rsidR="004917A0" w:rsidRPr="00585BE7">
        <w:rPr>
          <w:rFonts w:cstheme="minorHAnsi"/>
          <w:color w:val="000000"/>
        </w:rPr>
        <w:t xml:space="preserve">guidance and where </w:t>
      </w:r>
      <w:r w:rsidR="0023559F" w:rsidRPr="00585BE7">
        <w:rPr>
          <w:rFonts w:cstheme="minorHAnsi"/>
          <w:color w:val="000000"/>
        </w:rPr>
        <w:t>considered</w:t>
      </w:r>
      <w:r w:rsidR="004917A0" w:rsidRPr="00585BE7">
        <w:rPr>
          <w:rFonts w:cstheme="minorHAnsi"/>
          <w:color w:val="000000"/>
        </w:rPr>
        <w:t xml:space="preserve"> necessary, improvements of current practices of mapping and assessment at EU, National and sub-national levels.</w:t>
      </w:r>
    </w:p>
    <w:p w:rsidR="003F489A" w:rsidRDefault="003F489A">
      <w:pPr>
        <w:rPr>
          <w:rFonts w:eastAsiaTheme="majorEastAsia" w:cstheme="majorBidi"/>
          <w:b/>
          <w:bCs/>
          <w:color w:val="4F81BD" w:themeColor="accent1"/>
          <w:sz w:val="26"/>
          <w:szCs w:val="26"/>
        </w:rPr>
      </w:pPr>
    </w:p>
    <w:p w:rsidR="006B31A1" w:rsidRPr="00970638" w:rsidRDefault="0038663D" w:rsidP="0038663D">
      <w:pPr>
        <w:pStyle w:val="Titre2"/>
        <w:rPr>
          <w:rFonts w:asciiTheme="minorHAnsi" w:hAnsiTheme="minorHAnsi"/>
        </w:rPr>
      </w:pPr>
      <w:r w:rsidRPr="00970638">
        <w:rPr>
          <w:rFonts w:asciiTheme="minorHAnsi" w:hAnsiTheme="minorHAnsi"/>
        </w:rPr>
        <w:t>2.2</w:t>
      </w:r>
      <w:r w:rsidRPr="00970638">
        <w:rPr>
          <w:rFonts w:asciiTheme="minorHAnsi" w:hAnsiTheme="minorHAnsi"/>
        </w:rPr>
        <w:tab/>
        <w:t>O</w:t>
      </w:r>
      <w:r w:rsidR="005C6632" w:rsidRPr="00970638">
        <w:rPr>
          <w:rFonts w:asciiTheme="minorHAnsi" w:hAnsiTheme="minorHAnsi"/>
        </w:rPr>
        <w:t>verall approach to the study</w:t>
      </w:r>
    </w:p>
    <w:p w:rsidR="0038663D" w:rsidRPr="00970638" w:rsidRDefault="0038663D" w:rsidP="0038663D"/>
    <w:p w:rsidR="006B31A1" w:rsidRDefault="0023559F" w:rsidP="006E782B">
      <w:pPr>
        <w:pStyle w:val="NormalWeb"/>
        <w:jc w:val="center"/>
        <w:rPr>
          <w:rFonts w:asciiTheme="minorHAnsi" w:hAnsiTheme="minorHAnsi" w:cstheme="minorHAnsi"/>
          <w:b/>
          <w:sz w:val="28"/>
          <w:szCs w:val="28"/>
        </w:rPr>
      </w:pPr>
      <w:r>
        <w:rPr>
          <w:rFonts w:asciiTheme="minorHAnsi" w:hAnsiTheme="minorHAnsi" w:cstheme="minorHAnsi"/>
          <w:b/>
          <w:noProof/>
          <w:sz w:val="28"/>
          <w:szCs w:val="28"/>
          <w:lang w:val="fr-BE" w:eastAsia="fr-BE"/>
        </w:rPr>
        <w:lastRenderedPageBreak/>
        <w:drawing>
          <wp:inline distT="0" distB="0" distL="0" distR="0">
            <wp:extent cx="4394200" cy="2808740"/>
            <wp:effectExtent l="0" t="0" r="6350" b="0"/>
            <wp:docPr id="44054" name="Picture 44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4611" cy="2809003"/>
                    </a:xfrm>
                    <a:prstGeom prst="rect">
                      <a:avLst/>
                    </a:prstGeom>
                    <a:noFill/>
                  </pic:spPr>
                </pic:pic>
              </a:graphicData>
            </a:graphic>
          </wp:inline>
        </w:drawing>
      </w:r>
    </w:p>
    <w:p w:rsidR="00BA4370" w:rsidRPr="00970638" w:rsidRDefault="00BA4370" w:rsidP="006E782B">
      <w:pPr>
        <w:pStyle w:val="NormalWeb"/>
        <w:jc w:val="center"/>
        <w:rPr>
          <w:rFonts w:asciiTheme="minorHAnsi" w:hAnsiTheme="minorHAnsi" w:cstheme="minorHAnsi"/>
          <w:b/>
          <w:sz w:val="28"/>
          <w:szCs w:val="28"/>
        </w:rPr>
      </w:pPr>
    </w:p>
    <w:p w:rsidR="006B31A1" w:rsidRPr="008E682E" w:rsidRDefault="006B31A1" w:rsidP="0023559F">
      <w:pPr>
        <w:pStyle w:val="Lgende"/>
        <w:ind w:left="720"/>
        <w:rPr>
          <w:rFonts w:cstheme="minorHAnsi"/>
          <w:i/>
          <w:color w:val="auto"/>
          <w:sz w:val="22"/>
          <w:szCs w:val="22"/>
          <w:u w:val="single"/>
        </w:rPr>
      </w:pPr>
      <w:r w:rsidRPr="0023559F">
        <w:rPr>
          <w:color w:val="auto"/>
          <w:sz w:val="22"/>
          <w:szCs w:val="22"/>
        </w:rPr>
        <w:t xml:space="preserve">Figure </w:t>
      </w:r>
      <w:r w:rsidR="00876D66" w:rsidRPr="0023559F">
        <w:rPr>
          <w:color w:val="auto"/>
          <w:sz w:val="22"/>
          <w:szCs w:val="22"/>
        </w:rPr>
        <w:t>2.</w:t>
      </w:r>
      <w:r w:rsidR="005C6632" w:rsidRPr="0023559F">
        <w:rPr>
          <w:color w:val="auto"/>
          <w:sz w:val="22"/>
          <w:szCs w:val="22"/>
        </w:rPr>
        <w:t>1</w:t>
      </w:r>
      <w:r w:rsidR="0023559F" w:rsidRPr="0023559F">
        <w:rPr>
          <w:color w:val="auto"/>
          <w:sz w:val="22"/>
          <w:szCs w:val="22"/>
        </w:rPr>
        <w:t>The</w:t>
      </w:r>
      <w:r w:rsidRPr="0023559F">
        <w:rPr>
          <w:color w:val="auto"/>
          <w:sz w:val="22"/>
          <w:szCs w:val="22"/>
        </w:rPr>
        <w:t xml:space="preserve"> study framework</w:t>
      </w:r>
    </w:p>
    <w:p w:rsidR="00614D9A" w:rsidRPr="003F489A" w:rsidRDefault="005C6632" w:rsidP="0023559F">
      <w:pPr>
        <w:autoSpaceDE w:val="0"/>
        <w:autoSpaceDN w:val="0"/>
        <w:adjustRightInd w:val="0"/>
        <w:spacing w:after="0" w:line="240" w:lineRule="auto"/>
        <w:jc w:val="both"/>
        <w:rPr>
          <w:rFonts w:cstheme="minorHAnsi"/>
          <w:bCs/>
        </w:rPr>
      </w:pPr>
      <w:r w:rsidRPr="003F489A">
        <w:rPr>
          <w:rFonts w:cstheme="minorHAnsi"/>
          <w:bCs/>
        </w:rPr>
        <w:t>In figure 2.1 we identify the various activities within the project.</w:t>
      </w:r>
      <w:r w:rsidR="00E30052" w:rsidRPr="003F489A">
        <w:rPr>
          <w:rFonts w:cstheme="minorHAnsi"/>
          <w:bCs/>
        </w:rPr>
        <w:t xml:space="preserve"> Details on the methods used in each of the steps are presented in Chapter 3.</w:t>
      </w:r>
      <w:r w:rsidR="0023559F" w:rsidRPr="003F489A">
        <w:rPr>
          <w:rFonts w:cstheme="minorHAnsi"/>
          <w:bCs/>
        </w:rPr>
        <w:t xml:space="preserve">Here we introduce the overall approach. </w:t>
      </w:r>
      <w:r w:rsidR="00E30052" w:rsidRPr="003F489A">
        <w:rPr>
          <w:rFonts w:cstheme="minorHAnsi"/>
          <w:bCs/>
        </w:rPr>
        <w:t xml:space="preserve">To develop an overview of the degree of progress in implementing Target 2, Action 5, both with respect to the organisation as to the actual mapping and assessment of ecosystem services, and the state of the art of the mapping methodologies used across Europe, we shall conduct a </w:t>
      </w:r>
      <w:r w:rsidR="0023559F" w:rsidRPr="003F489A">
        <w:rPr>
          <w:rFonts w:cstheme="minorHAnsi"/>
          <w:bCs/>
        </w:rPr>
        <w:t>Broad European S</w:t>
      </w:r>
      <w:r w:rsidR="00E30052" w:rsidRPr="003F489A">
        <w:rPr>
          <w:rFonts w:cstheme="minorHAnsi"/>
          <w:bCs/>
        </w:rPr>
        <w:t>urvey, using a digital questionnaire, the results of which will be transferred to BISE. This will be complemented by additional literature studies.</w:t>
      </w:r>
      <w:r w:rsidR="009541D5" w:rsidRPr="003F489A">
        <w:rPr>
          <w:rFonts w:cstheme="minorHAnsi"/>
          <w:bCs/>
        </w:rPr>
        <w:t xml:space="preserve"> In response to the observations of the </w:t>
      </w:r>
      <w:r w:rsidR="006E782B" w:rsidRPr="003F489A">
        <w:rPr>
          <w:rFonts w:cstheme="minorHAnsi"/>
          <w:color w:val="000000"/>
        </w:rPr>
        <w:t xml:space="preserve">Steering Group during the Kick-Off meeting </w:t>
      </w:r>
      <w:r w:rsidR="006E782B" w:rsidRPr="003F489A">
        <w:t>with</w:t>
      </w:r>
      <w:r w:rsidR="0023559F" w:rsidRPr="003F489A">
        <w:t xml:space="preserve"> respect to the proposed survey, (1) </w:t>
      </w:r>
      <w:r w:rsidR="006E782B" w:rsidRPr="003F489A">
        <w:t>that there are already several on-going activities (includi</w:t>
      </w:r>
      <w:r w:rsidR="00614D9A" w:rsidRPr="003F489A">
        <w:t xml:space="preserve">ng surveys) relevant for Task 1, and </w:t>
      </w:r>
      <w:r w:rsidR="0023559F" w:rsidRPr="003F489A">
        <w:t xml:space="preserve">(2) </w:t>
      </w:r>
      <w:r w:rsidR="00614D9A" w:rsidRPr="003F489A">
        <w:t>that i</w:t>
      </w:r>
      <w:r w:rsidR="006E782B" w:rsidRPr="003F489A">
        <w:t>t is very important to use the existing information</w:t>
      </w:r>
      <w:r w:rsidR="009541D5" w:rsidRPr="003F489A">
        <w:t>, the Contractor has discussed possibilities of merging the survey with activities of the EEA in the Virtual Library project (see e.g. Laporte, 2013). Useful information from the ETC-SIA study (a literature review on mapping ecosystems, Mal</w:t>
      </w:r>
      <w:r w:rsidR="0023559F" w:rsidRPr="003F489A">
        <w:t>a</w:t>
      </w:r>
      <w:r w:rsidR="009541D5" w:rsidRPr="003F489A">
        <w:t>k 201</w:t>
      </w:r>
      <w:r w:rsidR="0023559F" w:rsidRPr="003F489A">
        <w:t>2</w:t>
      </w:r>
      <w:r w:rsidR="009541D5" w:rsidRPr="003F489A">
        <w:t xml:space="preserve">)– analyses of 70 cases by UBA (as part of ETC-BD) – link up with this activity. </w:t>
      </w:r>
      <w:r w:rsidR="0023559F" w:rsidRPr="003F489A">
        <w:t xml:space="preserve">The conclusion was that a survey is desirable as it is expected to provide complementary information to the existing and ongoing information gathering activities. </w:t>
      </w:r>
      <w:r w:rsidR="00614D9A" w:rsidRPr="003F489A">
        <w:t xml:space="preserve">The Contractor </w:t>
      </w:r>
      <w:r w:rsidR="00A02C76" w:rsidRPr="003F489A">
        <w:t>shall therefore</w:t>
      </w:r>
      <w:r w:rsidR="0023559F" w:rsidRPr="003F489A">
        <w:t xml:space="preserve">present the </w:t>
      </w:r>
      <w:r w:rsidR="00614D9A" w:rsidRPr="003F489A">
        <w:t>survey</w:t>
      </w:r>
      <w:r w:rsidR="0023559F" w:rsidRPr="003F489A">
        <w:t>-design</w:t>
      </w:r>
      <w:r w:rsidR="00614D9A" w:rsidRPr="003F489A">
        <w:t xml:space="preserve"> (</w:t>
      </w:r>
      <w:r w:rsidR="006E782B" w:rsidRPr="003F489A">
        <w:t>questionnaire on internet</w:t>
      </w:r>
      <w:r w:rsidR="00614D9A" w:rsidRPr="003F489A">
        <w:t>)</w:t>
      </w:r>
      <w:r w:rsidR="0023559F" w:rsidRPr="003F489A">
        <w:t>to</w:t>
      </w:r>
      <w:r w:rsidR="00A02C76" w:rsidRPr="003F489A">
        <w:t xml:space="preserve"> the Steering group</w:t>
      </w:r>
      <w:r w:rsidR="009541D5" w:rsidRPr="003F489A">
        <w:t xml:space="preserve"> (in the meeting of June 3</w:t>
      </w:r>
      <w:r w:rsidR="009541D5" w:rsidRPr="003F489A">
        <w:rPr>
          <w:vertAlign w:val="superscript"/>
        </w:rPr>
        <w:t>rd</w:t>
      </w:r>
      <w:r w:rsidR="009541D5" w:rsidRPr="003F489A">
        <w:t xml:space="preserve">) </w:t>
      </w:r>
      <w:r w:rsidR="00A02C76" w:rsidRPr="003F489A">
        <w:t>.</w:t>
      </w:r>
    </w:p>
    <w:p w:rsidR="00614D9A" w:rsidRPr="003F489A" w:rsidRDefault="00A02C76" w:rsidP="009541D5">
      <w:pPr>
        <w:pStyle w:val="Paragraphedeliste"/>
        <w:spacing w:line="240" w:lineRule="auto"/>
        <w:ind w:left="0"/>
      </w:pPr>
      <w:r w:rsidRPr="003F489A">
        <w:t xml:space="preserve">The Contractor </w:t>
      </w:r>
      <w:r w:rsidR="009541D5" w:rsidRPr="003F489A">
        <w:t>has examined</w:t>
      </w:r>
      <w:r w:rsidRPr="003F489A">
        <w:t xml:space="preserve"> the additional suggestion</w:t>
      </w:r>
      <w:r w:rsidR="009541D5" w:rsidRPr="003F489A">
        <w:t>s</w:t>
      </w:r>
      <w:r w:rsidRPr="003F489A">
        <w:t xml:space="preserve"> of</w:t>
      </w:r>
      <w:r w:rsidR="00614D9A" w:rsidRPr="003F489A">
        <w:t xml:space="preserve"> the Steering Group</w:t>
      </w:r>
      <w:r w:rsidR="0023559F" w:rsidRPr="003F489A">
        <w:t xml:space="preserve"> and these are included in the design of the survey</w:t>
      </w:r>
      <w:r w:rsidR="009541D5" w:rsidRPr="003F489A">
        <w:t>:</w:t>
      </w:r>
    </w:p>
    <w:p w:rsidR="00614D9A" w:rsidRPr="003F489A" w:rsidRDefault="00614D9A" w:rsidP="00BF14CD">
      <w:pPr>
        <w:pStyle w:val="Paragraphedeliste"/>
        <w:numPr>
          <w:ilvl w:val="0"/>
          <w:numId w:val="14"/>
        </w:numPr>
        <w:spacing w:line="240" w:lineRule="auto"/>
        <w:ind w:left="567" w:hanging="567"/>
      </w:pPr>
      <w:r w:rsidRPr="003F489A">
        <w:t xml:space="preserve">to examine the advantages of conducting </w:t>
      </w:r>
      <w:r w:rsidR="006E782B" w:rsidRPr="003F489A">
        <w:t xml:space="preserve">three </w:t>
      </w:r>
      <w:r w:rsidRPr="003F489A">
        <w:t xml:space="preserve">separate </w:t>
      </w:r>
      <w:r w:rsidR="006E782B" w:rsidRPr="003F489A">
        <w:t xml:space="preserve">questionnaires instead of one </w:t>
      </w:r>
      <w:r w:rsidRPr="003F489A">
        <w:t xml:space="preserve">integrated survey, and address the  different target audiences separately, and </w:t>
      </w:r>
    </w:p>
    <w:p w:rsidR="006E782B" w:rsidRPr="003F489A" w:rsidRDefault="00614D9A" w:rsidP="00BF14CD">
      <w:pPr>
        <w:pStyle w:val="Paragraphedeliste"/>
        <w:numPr>
          <w:ilvl w:val="0"/>
          <w:numId w:val="14"/>
        </w:numPr>
        <w:spacing w:line="240" w:lineRule="auto"/>
        <w:ind w:left="567" w:hanging="567"/>
      </w:pPr>
      <w:r w:rsidRPr="003F489A">
        <w:t>to</w:t>
      </w:r>
      <w:r w:rsidR="006E782B" w:rsidRPr="003F489A">
        <w:t xml:space="preserve"> contact persons by phone to inquire for additional information – so they know you are using what they have already provided.</w:t>
      </w:r>
    </w:p>
    <w:p w:rsidR="006E782B" w:rsidRPr="003F489A" w:rsidRDefault="009541D5" w:rsidP="008E682E">
      <w:pPr>
        <w:spacing w:line="240" w:lineRule="auto"/>
      </w:pPr>
      <w:r w:rsidRPr="003F489A">
        <w:t>The target audiences will be informed of the survey, and asked to answer the questions, by mail, explicitly noting the three separate parts: policy, science, technique. In the mail, the possibility of assistance by telephone</w:t>
      </w:r>
      <w:r w:rsidR="008E682E" w:rsidRPr="003F489A">
        <w:t xml:space="preserve"> will be explicitly offered.</w:t>
      </w:r>
    </w:p>
    <w:p w:rsidR="005C6632" w:rsidRPr="003F489A" w:rsidRDefault="00A5686F" w:rsidP="005C6632">
      <w:pPr>
        <w:autoSpaceDE w:val="0"/>
        <w:autoSpaceDN w:val="0"/>
        <w:adjustRightInd w:val="0"/>
        <w:spacing w:after="0" w:line="240" w:lineRule="auto"/>
        <w:jc w:val="both"/>
        <w:rPr>
          <w:rFonts w:cstheme="minorHAnsi"/>
          <w:bCs/>
        </w:rPr>
      </w:pPr>
      <w:r w:rsidRPr="003F489A">
        <w:rPr>
          <w:rFonts w:cstheme="minorHAnsi"/>
          <w:bCs/>
        </w:rPr>
        <w:t>In the Call for T</w:t>
      </w:r>
      <w:r w:rsidR="00E30052" w:rsidRPr="003F489A">
        <w:rPr>
          <w:rFonts w:cstheme="minorHAnsi"/>
          <w:bCs/>
        </w:rPr>
        <w:t>ender</w:t>
      </w:r>
      <w:r w:rsidR="005C6632" w:rsidRPr="003F489A">
        <w:rPr>
          <w:rFonts w:cstheme="minorHAnsi"/>
          <w:bCs/>
        </w:rPr>
        <w:t xml:space="preserve"> four study tasks</w:t>
      </w:r>
      <w:r w:rsidR="00E30052" w:rsidRPr="003F489A">
        <w:rPr>
          <w:rFonts w:cstheme="minorHAnsi"/>
          <w:bCs/>
        </w:rPr>
        <w:t xml:space="preserve"> were distinguished</w:t>
      </w:r>
      <w:r w:rsidR="005C6632" w:rsidRPr="003F489A">
        <w:rPr>
          <w:rFonts w:cstheme="minorHAnsi"/>
          <w:bCs/>
        </w:rPr>
        <w:t>, which form a logical progression</w:t>
      </w:r>
      <w:r w:rsidR="00E30052" w:rsidRPr="003F489A">
        <w:rPr>
          <w:rFonts w:cstheme="minorHAnsi"/>
          <w:bCs/>
        </w:rPr>
        <w:t xml:space="preserve"> of activities. In our approach we repeat this logical sequence</w:t>
      </w:r>
      <w:r w:rsidR="005C6632" w:rsidRPr="003F489A">
        <w:rPr>
          <w:rFonts w:cstheme="minorHAnsi"/>
          <w:bCs/>
        </w:rPr>
        <w:t xml:space="preserve"> for 7</w:t>
      </w:r>
      <w:r w:rsidR="008E682E" w:rsidRPr="003F489A">
        <w:rPr>
          <w:rFonts w:cstheme="minorHAnsi"/>
          <w:bCs/>
        </w:rPr>
        <w:t>C</w:t>
      </w:r>
      <w:r w:rsidR="008752CB" w:rsidRPr="003F489A">
        <w:rPr>
          <w:rFonts w:cstheme="minorHAnsi"/>
          <w:bCs/>
        </w:rPr>
        <w:t>ountry</w:t>
      </w:r>
      <w:r w:rsidRPr="003F489A">
        <w:rPr>
          <w:rFonts w:cstheme="minorHAnsi"/>
          <w:bCs/>
        </w:rPr>
        <w:t>C</w:t>
      </w:r>
      <w:r w:rsidR="00E30052" w:rsidRPr="003F489A">
        <w:rPr>
          <w:rFonts w:cstheme="minorHAnsi"/>
          <w:bCs/>
        </w:rPr>
        <w:t>ase</w:t>
      </w:r>
      <w:r w:rsidRPr="003F489A">
        <w:rPr>
          <w:rFonts w:cstheme="minorHAnsi"/>
          <w:bCs/>
        </w:rPr>
        <w:t xml:space="preserve"> Studies</w:t>
      </w:r>
      <w:r w:rsidR="005C6632" w:rsidRPr="003F489A">
        <w:rPr>
          <w:rFonts w:cstheme="minorHAnsi"/>
          <w:bCs/>
        </w:rPr>
        <w:t xml:space="preserve">. Each </w:t>
      </w:r>
      <w:r w:rsidRPr="003F489A">
        <w:rPr>
          <w:rFonts w:cstheme="minorHAnsi"/>
          <w:bCs/>
        </w:rPr>
        <w:t>C</w:t>
      </w:r>
      <w:r w:rsidR="008752CB" w:rsidRPr="003F489A">
        <w:rPr>
          <w:rFonts w:cstheme="minorHAnsi"/>
          <w:bCs/>
        </w:rPr>
        <w:t>ountry</w:t>
      </w:r>
      <w:r w:rsidRPr="003F489A">
        <w:rPr>
          <w:rFonts w:cstheme="minorHAnsi"/>
          <w:bCs/>
        </w:rPr>
        <w:t>C</w:t>
      </w:r>
      <w:r w:rsidR="005C6632" w:rsidRPr="003F489A">
        <w:rPr>
          <w:rFonts w:cstheme="minorHAnsi"/>
          <w:bCs/>
        </w:rPr>
        <w:t>ase cover</w:t>
      </w:r>
      <w:r w:rsidR="00E30052" w:rsidRPr="003F489A">
        <w:rPr>
          <w:rFonts w:cstheme="minorHAnsi"/>
          <w:bCs/>
        </w:rPr>
        <w:t>s</w:t>
      </w:r>
      <w:r w:rsidR="005C6632" w:rsidRPr="003F489A">
        <w:rPr>
          <w:rFonts w:cstheme="minorHAnsi"/>
          <w:bCs/>
        </w:rPr>
        <w:t xml:space="preserve"> at least two ecosystems and related ecosystem services</w:t>
      </w:r>
      <w:r w:rsidR="000E0EA3" w:rsidRPr="003F489A">
        <w:rPr>
          <w:rFonts w:cstheme="minorHAnsi"/>
          <w:bCs/>
        </w:rPr>
        <w:t xml:space="preserve">. In the </w:t>
      </w:r>
      <w:r w:rsidRPr="003F489A">
        <w:rPr>
          <w:rFonts w:cstheme="minorHAnsi"/>
          <w:bCs/>
        </w:rPr>
        <w:t>Marine C</w:t>
      </w:r>
      <w:r w:rsidR="000E0EA3" w:rsidRPr="003F489A">
        <w:rPr>
          <w:rFonts w:cstheme="minorHAnsi"/>
          <w:bCs/>
        </w:rPr>
        <w:t xml:space="preserve">ase the delineation of ecosystems has </w:t>
      </w:r>
      <w:r w:rsidR="008E682E" w:rsidRPr="003F489A">
        <w:rPr>
          <w:rFonts w:cstheme="minorHAnsi"/>
          <w:bCs/>
        </w:rPr>
        <w:t>been</w:t>
      </w:r>
      <w:r w:rsidR="000E0EA3" w:rsidRPr="003F489A">
        <w:rPr>
          <w:rFonts w:cstheme="minorHAnsi"/>
          <w:bCs/>
        </w:rPr>
        <w:t xml:space="preserve"> discussed, in view of developments of the CICES classification</w:t>
      </w:r>
      <w:r w:rsidR="008752CB" w:rsidRPr="003F489A">
        <w:rPr>
          <w:rFonts w:cstheme="minorHAnsi"/>
          <w:bCs/>
        </w:rPr>
        <w:t xml:space="preserve"> and the marine ecosystem typology</w:t>
      </w:r>
      <w:r w:rsidR="000E0EA3" w:rsidRPr="003F489A">
        <w:rPr>
          <w:rFonts w:cstheme="minorHAnsi"/>
          <w:bCs/>
        </w:rPr>
        <w:t xml:space="preserve">. </w:t>
      </w:r>
    </w:p>
    <w:p w:rsidR="00E30052" w:rsidRPr="003F489A" w:rsidRDefault="005C6632" w:rsidP="00BF14CD">
      <w:pPr>
        <w:pStyle w:val="Paragraphedeliste"/>
        <w:numPr>
          <w:ilvl w:val="0"/>
          <w:numId w:val="7"/>
        </w:numPr>
        <w:autoSpaceDE w:val="0"/>
        <w:autoSpaceDN w:val="0"/>
        <w:adjustRightInd w:val="0"/>
        <w:spacing w:after="0" w:line="240" w:lineRule="auto"/>
        <w:jc w:val="both"/>
        <w:rPr>
          <w:rFonts w:cstheme="minorHAnsi"/>
          <w:bCs/>
        </w:rPr>
      </w:pPr>
      <w:r w:rsidRPr="003F489A">
        <w:rPr>
          <w:rFonts w:cstheme="minorHAnsi"/>
          <w:bCs/>
        </w:rPr>
        <w:lastRenderedPageBreak/>
        <w:t xml:space="preserve">Task 1  has as core </w:t>
      </w:r>
      <w:r w:rsidRPr="003F489A">
        <w:rPr>
          <w:rFonts w:cstheme="minorHAnsi"/>
        </w:rPr>
        <w:t>the</w:t>
      </w:r>
      <w:r w:rsidR="00E30052" w:rsidRPr="003F489A">
        <w:rPr>
          <w:rFonts w:cstheme="minorHAnsi"/>
        </w:rPr>
        <w:t xml:space="preserve"> description and</w:t>
      </w:r>
      <w:r w:rsidR="007B7A9B" w:rsidRPr="003F489A">
        <w:rPr>
          <w:rFonts w:cstheme="minorHAnsi"/>
        </w:rPr>
        <w:t xml:space="preserve"> peer review </w:t>
      </w:r>
      <w:r w:rsidR="00E30052" w:rsidRPr="003F489A">
        <w:rPr>
          <w:rFonts w:cstheme="minorHAnsi"/>
        </w:rPr>
        <w:t xml:space="preserve"> evaluation of the methodologies used and results achieved in each of the</w:t>
      </w:r>
      <w:r w:rsidR="008E682E" w:rsidRPr="003F489A">
        <w:rPr>
          <w:rFonts w:cstheme="minorHAnsi"/>
        </w:rPr>
        <w:t>Country</w:t>
      </w:r>
      <w:r w:rsidR="00A5686F" w:rsidRPr="003F489A">
        <w:rPr>
          <w:rFonts w:cstheme="minorHAnsi"/>
        </w:rPr>
        <w:t>C</w:t>
      </w:r>
      <w:r w:rsidRPr="003F489A">
        <w:rPr>
          <w:rFonts w:cstheme="minorHAnsi"/>
        </w:rPr>
        <w:t>ases.</w:t>
      </w:r>
    </w:p>
    <w:p w:rsidR="005C6632" w:rsidRPr="003F489A" w:rsidRDefault="005C6632" w:rsidP="00BF14CD">
      <w:pPr>
        <w:pStyle w:val="Paragraphedeliste"/>
        <w:numPr>
          <w:ilvl w:val="0"/>
          <w:numId w:val="7"/>
        </w:numPr>
        <w:autoSpaceDE w:val="0"/>
        <w:autoSpaceDN w:val="0"/>
        <w:adjustRightInd w:val="0"/>
        <w:spacing w:after="0" w:line="240" w:lineRule="auto"/>
        <w:jc w:val="both"/>
        <w:rPr>
          <w:rFonts w:cstheme="minorHAnsi"/>
        </w:rPr>
      </w:pPr>
      <w:r w:rsidRPr="003F489A">
        <w:rPr>
          <w:rFonts w:cstheme="minorHAnsi"/>
        </w:rPr>
        <w:t xml:space="preserve">Task 2 compares the </w:t>
      </w:r>
      <w:r w:rsidRPr="003F489A">
        <w:rPr>
          <w:rFonts w:cstheme="minorHAnsi"/>
          <w:i/>
        </w:rPr>
        <w:t>ecosystem status assessment across scales</w:t>
      </w:r>
      <w:r w:rsidRPr="003F489A">
        <w:rPr>
          <w:rFonts w:cstheme="minorHAnsi"/>
        </w:rPr>
        <w:t xml:space="preserve"> considering the most relevant EU Directives, i.e. Birds and Habitats, Water Framework a</w:t>
      </w:r>
      <w:r w:rsidR="00E30052" w:rsidRPr="003F489A">
        <w:rPr>
          <w:rFonts w:cstheme="minorHAnsi"/>
        </w:rPr>
        <w:t xml:space="preserve">nd Marine Strategy Framework.  </w:t>
      </w:r>
      <w:r w:rsidR="001B1F0D" w:rsidRPr="003F489A">
        <w:rPr>
          <w:rFonts w:cstheme="minorHAnsi"/>
        </w:rPr>
        <w:t xml:space="preserve">This Task will </w:t>
      </w:r>
      <w:r w:rsidR="00856BF8" w:rsidRPr="003F489A">
        <w:rPr>
          <w:rFonts w:cstheme="minorHAnsi"/>
        </w:rPr>
        <w:t xml:space="preserve">be </w:t>
      </w:r>
      <w:r w:rsidR="001B1F0D" w:rsidRPr="003F489A">
        <w:rPr>
          <w:rFonts w:cstheme="minorHAnsi"/>
        </w:rPr>
        <w:t xml:space="preserve">executed in </w:t>
      </w:r>
      <w:r w:rsidR="008E682E" w:rsidRPr="003F489A">
        <w:rPr>
          <w:rFonts w:cstheme="minorHAnsi"/>
        </w:rPr>
        <w:t>4Country</w:t>
      </w:r>
      <w:r w:rsidR="00A5686F" w:rsidRPr="003F489A">
        <w:rPr>
          <w:rFonts w:cstheme="minorHAnsi"/>
        </w:rPr>
        <w:t>C</w:t>
      </w:r>
      <w:r w:rsidR="001B1F0D" w:rsidRPr="003F489A">
        <w:rPr>
          <w:rFonts w:cstheme="minorHAnsi"/>
        </w:rPr>
        <w:t>ases.</w:t>
      </w:r>
    </w:p>
    <w:p w:rsidR="005C6632" w:rsidRPr="003F489A" w:rsidRDefault="005C6632" w:rsidP="00BF14CD">
      <w:pPr>
        <w:pStyle w:val="Paragraphedeliste"/>
        <w:numPr>
          <w:ilvl w:val="0"/>
          <w:numId w:val="7"/>
        </w:numPr>
        <w:autoSpaceDE w:val="0"/>
        <w:autoSpaceDN w:val="0"/>
        <w:adjustRightInd w:val="0"/>
        <w:spacing w:after="0" w:line="240" w:lineRule="auto"/>
        <w:jc w:val="both"/>
        <w:rPr>
          <w:rFonts w:cstheme="minorHAnsi"/>
        </w:rPr>
      </w:pPr>
      <w:r w:rsidRPr="003F489A">
        <w:rPr>
          <w:rFonts w:cstheme="minorHAnsi"/>
        </w:rPr>
        <w:t xml:space="preserve">In Task 3, </w:t>
      </w:r>
      <w:r w:rsidR="0018489F" w:rsidRPr="003F489A">
        <w:rPr>
          <w:rFonts w:cstheme="minorHAnsi"/>
        </w:rPr>
        <w:t xml:space="preserve">two sources are used to identify </w:t>
      </w:r>
      <w:r w:rsidRPr="003F489A">
        <w:rPr>
          <w:rFonts w:cstheme="minorHAnsi"/>
        </w:rPr>
        <w:t xml:space="preserve">gaps </w:t>
      </w:r>
      <w:r w:rsidR="0018489F" w:rsidRPr="003F489A">
        <w:rPr>
          <w:rFonts w:cstheme="minorHAnsi"/>
        </w:rPr>
        <w:t>in mapping and assessment studies,</w:t>
      </w:r>
      <w:r w:rsidRPr="003F489A">
        <w:rPr>
          <w:rFonts w:cstheme="minorHAnsi"/>
        </w:rPr>
        <w:t xml:space="preserve"> the </w:t>
      </w:r>
      <w:r w:rsidR="008E682E" w:rsidRPr="003F489A">
        <w:rPr>
          <w:rFonts w:cstheme="minorHAnsi"/>
        </w:rPr>
        <w:t>Country</w:t>
      </w:r>
      <w:r w:rsidRPr="003F489A">
        <w:rPr>
          <w:rFonts w:cstheme="minorHAnsi"/>
        </w:rPr>
        <w:t xml:space="preserve"> cases </w:t>
      </w:r>
      <w:r w:rsidR="008E682E" w:rsidRPr="003F489A">
        <w:rPr>
          <w:rFonts w:cstheme="minorHAnsi"/>
        </w:rPr>
        <w:t xml:space="preserve">and </w:t>
      </w:r>
      <w:r w:rsidR="0018489F" w:rsidRPr="003F489A">
        <w:rPr>
          <w:rFonts w:cstheme="minorHAnsi"/>
        </w:rPr>
        <w:t xml:space="preserve">the Workshop (see below). These </w:t>
      </w:r>
      <w:r w:rsidRPr="003F489A">
        <w:rPr>
          <w:rFonts w:cstheme="minorHAnsi"/>
        </w:rPr>
        <w:t xml:space="preserve">are analysed and recommendations are made </w:t>
      </w:r>
      <w:r w:rsidR="00E30052" w:rsidRPr="003F489A">
        <w:rPr>
          <w:rFonts w:cstheme="minorHAnsi"/>
        </w:rPr>
        <w:t xml:space="preserve">on how to overcome those gaps. </w:t>
      </w:r>
    </w:p>
    <w:p w:rsidR="005C6632" w:rsidRPr="003F489A" w:rsidRDefault="005C6632" w:rsidP="00BF14CD">
      <w:pPr>
        <w:pStyle w:val="Paragraphedeliste"/>
        <w:numPr>
          <w:ilvl w:val="0"/>
          <w:numId w:val="7"/>
        </w:numPr>
        <w:autoSpaceDE w:val="0"/>
        <w:autoSpaceDN w:val="0"/>
        <w:adjustRightInd w:val="0"/>
        <w:spacing w:after="0" w:line="240" w:lineRule="auto"/>
        <w:jc w:val="both"/>
        <w:rPr>
          <w:rFonts w:cstheme="minorHAnsi"/>
        </w:rPr>
      </w:pPr>
      <w:r w:rsidRPr="003F489A">
        <w:rPr>
          <w:rFonts w:cstheme="minorHAnsi"/>
        </w:rPr>
        <w:t xml:space="preserve">Task 4  collates the findings of the former three tasks focusing on those </w:t>
      </w:r>
      <w:r w:rsidR="0018489F" w:rsidRPr="003F489A">
        <w:rPr>
          <w:rFonts w:cstheme="minorHAnsi"/>
        </w:rPr>
        <w:t>considered as</w:t>
      </w:r>
      <w:r w:rsidRPr="003F489A">
        <w:rPr>
          <w:rFonts w:cstheme="minorHAnsi"/>
        </w:rPr>
        <w:t xml:space="preserve"> promising mapping </w:t>
      </w:r>
      <w:r w:rsidR="0018489F" w:rsidRPr="003F489A">
        <w:rPr>
          <w:rFonts w:cstheme="minorHAnsi"/>
        </w:rPr>
        <w:t xml:space="preserve">and assessment </w:t>
      </w:r>
      <w:r w:rsidRPr="003F489A">
        <w:rPr>
          <w:rFonts w:cstheme="minorHAnsi"/>
        </w:rPr>
        <w:t xml:space="preserve">approaches, and provides </w:t>
      </w:r>
      <w:r w:rsidR="0018489F" w:rsidRPr="003F489A">
        <w:rPr>
          <w:rFonts w:cstheme="minorHAnsi"/>
        </w:rPr>
        <w:t xml:space="preserve">a structured set of </w:t>
      </w:r>
      <w:r w:rsidRPr="003F489A">
        <w:rPr>
          <w:rFonts w:cstheme="minorHAnsi"/>
        </w:rPr>
        <w:t>recommendations</w:t>
      </w:r>
      <w:r w:rsidR="0018489F" w:rsidRPr="003F489A">
        <w:rPr>
          <w:rFonts w:cstheme="minorHAnsi"/>
          <w:i/>
        </w:rPr>
        <w:t xml:space="preserve">(a guidance document) </w:t>
      </w:r>
      <w:r w:rsidRPr="003F489A">
        <w:rPr>
          <w:rFonts w:cstheme="minorHAnsi"/>
        </w:rPr>
        <w:t xml:space="preserve">on how to </w:t>
      </w:r>
      <w:r w:rsidR="0018489F" w:rsidRPr="003F489A">
        <w:rPr>
          <w:rFonts w:cstheme="minorHAnsi"/>
        </w:rPr>
        <w:t>best workusing</w:t>
      </w:r>
      <w:r w:rsidRPr="003F489A">
        <w:rPr>
          <w:rFonts w:cstheme="minorHAnsi"/>
        </w:rPr>
        <w:t xml:space="preserve"> European level </w:t>
      </w:r>
      <w:r w:rsidR="0018489F" w:rsidRPr="003F489A">
        <w:rPr>
          <w:rFonts w:cstheme="minorHAnsi"/>
        </w:rPr>
        <w:t xml:space="preserve">methods and data </w:t>
      </w:r>
      <w:r w:rsidRPr="003F489A">
        <w:rPr>
          <w:rFonts w:cstheme="minorHAnsi"/>
        </w:rPr>
        <w:t xml:space="preserve">to MS </w:t>
      </w:r>
      <w:r w:rsidR="0018489F" w:rsidRPr="003F489A">
        <w:rPr>
          <w:rFonts w:cstheme="minorHAnsi"/>
        </w:rPr>
        <w:t xml:space="preserve">actions </w:t>
      </w:r>
      <w:r w:rsidRPr="003F489A">
        <w:rPr>
          <w:rFonts w:cstheme="minorHAnsi"/>
        </w:rPr>
        <w:t xml:space="preserve">and vice versa. </w:t>
      </w:r>
    </w:p>
    <w:p w:rsidR="0018489F" w:rsidRPr="003F489A" w:rsidRDefault="0018489F" w:rsidP="0018489F">
      <w:pPr>
        <w:autoSpaceDE w:val="0"/>
        <w:autoSpaceDN w:val="0"/>
        <w:adjustRightInd w:val="0"/>
        <w:spacing w:after="0" w:line="240" w:lineRule="auto"/>
        <w:jc w:val="both"/>
        <w:rPr>
          <w:rFonts w:cstheme="minorHAnsi"/>
        </w:rPr>
      </w:pPr>
    </w:p>
    <w:p w:rsidR="006B31A1" w:rsidRPr="003F489A" w:rsidRDefault="008E682E" w:rsidP="0018489F">
      <w:pPr>
        <w:autoSpaceDE w:val="0"/>
        <w:autoSpaceDN w:val="0"/>
        <w:adjustRightInd w:val="0"/>
        <w:spacing w:after="0" w:line="240" w:lineRule="auto"/>
        <w:jc w:val="both"/>
        <w:rPr>
          <w:rFonts w:cstheme="minorHAnsi"/>
        </w:rPr>
      </w:pPr>
      <w:r w:rsidRPr="003F489A">
        <w:rPr>
          <w:rFonts w:cstheme="minorHAnsi"/>
        </w:rPr>
        <w:t xml:space="preserve">Thepreliminary </w:t>
      </w:r>
      <w:r w:rsidR="00A5686F" w:rsidRPr="003F489A">
        <w:rPr>
          <w:rFonts w:cstheme="minorHAnsi"/>
        </w:rPr>
        <w:t>results</w:t>
      </w:r>
      <w:r w:rsidRPr="003F489A">
        <w:rPr>
          <w:rFonts w:cstheme="minorHAnsi"/>
        </w:rPr>
        <w:t>of Tasks 1 and 2 have beenbrought</w:t>
      </w:r>
      <w:r w:rsidR="005C6632" w:rsidRPr="003F489A">
        <w:rPr>
          <w:rFonts w:cstheme="minorHAnsi"/>
        </w:rPr>
        <w:t xml:space="preserve"> into </w:t>
      </w:r>
      <w:r w:rsidR="00A5686F" w:rsidRPr="003F489A">
        <w:rPr>
          <w:rFonts w:cstheme="minorHAnsi"/>
        </w:rPr>
        <w:t xml:space="preserve">the </w:t>
      </w:r>
      <w:r w:rsidR="005C6632" w:rsidRPr="003F489A">
        <w:rPr>
          <w:rFonts w:cstheme="minorHAnsi"/>
        </w:rPr>
        <w:t>discussions</w:t>
      </w:r>
      <w:r w:rsidR="00E30052" w:rsidRPr="003F489A">
        <w:rPr>
          <w:rFonts w:cstheme="minorHAnsi"/>
        </w:rPr>
        <w:t xml:space="preserve"> at a Workshop in March 2013</w:t>
      </w:r>
      <w:r w:rsidR="005C6632" w:rsidRPr="003F489A">
        <w:rPr>
          <w:rFonts w:cstheme="minorHAnsi"/>
        </w:rPr>
        <w:t xml:space="preserve">, </w:t>
      </w:r>
      <w:r w:rsidR="007B7A9B" w:rsidRPr="003F489A">
        <w:rPr>
          <w:rFonts w:cstheme="minorHAnsi"/>
        </w:rPr>
        <w:t>where the project team present</w:t>
      </w:r>
      <w:r w:rsidRPr="003F489A">
        <w:rPr>
          <w:rFonts w:cstheme="minorHAnsi"/>
        </w:rPr>
        <w:t>ed</w:t>
      </w:r>
      <w:r w:rsidR="00A5686F" w:rsidRPr="003F489A">
        <w:rPr>
          <w:rFonts w:cstheme="minorHAnsi"/>
        </w:rPr>
        <w:t>them</w:t>
      </w:r>
      <w:r w:rsidR="0018489F" w:rsidRPr="003F489A">
        <w:rPr>
          <w:rFonts w:cstheme="minorHAnsi"/>
        </w:rPr>
        <w:t xml:space="preserve">to </w:t>
      </w:r>
      <w:r w:rsidR="007B7A9B" w:rsidRPr="003F489A">
        <w:rPr>
          <w:rFonts w:cstheme="minorHAnsi"/>
        </w:rPr>
        <w:t>the</w:t>
      </w:r>
      <w:r w:rsidR="005C6632" w:rsidRPr="003F489A">
        <w:rPr>
          <w:rFonts w:cstheme="minorHAnsi"/>
        </w:rPr>
        <w:t xml:space="preserve"> Expert advisors and the Steering group. </w:t>
      </w:r>
      <w:r w:rsidR="00A5686F" w:rsidRPr="003F489A">
        <w:rPr>
          <w:rFonts w:cstheme="minorHAnsi"/>
        </w:rPr>
        <w:t xml:space="preserve">The </w:t>
      </w:r>
      <w:r w:rsidR="005C6632" w:rsidRPr="003F489A">
        <w:rPr>
          <w:rFonts w:cstheme="minorHAnsi"/>
        </w:rPr>
        <w:t xml:space="preserve">Task 3 draft </w:t>
      </w:r>
      <w:r w:rsidRPr="003F489A">
        <w:rPr>
          <w:rFonts w:cstheme="minorHAnsi"/>
        </w:rPr>
        <w:t xml:space="preserve">findings </w:t>
      </w:r>
      <w:r w:rsidR="0023578F">
        <w:rPr>
          <w:rFonts w:cstheme="minorHAnsi"/>
        </w:rPr>
        <w:t>were</w:t>
      </w:r>
      <w:r w:rsidR="0018489F" w:rsidRPr="003F489A">
        <w:rPr>
          <w:rFonts w:cstheme="minorHAnsi"/>
        </w:rPr>
        <w:t xml:space="preserve">discussed in the Steering Group </w:t>
      </w:r>
      <w:r w:rsidR="0023578F">
        <w:rPr>
          <w:rFonts w:cstheme="minorHAnsi"/>
        </w:rPr>
        <w:t>and</w:t>
      </w:r>
      <w:r w:rsidR="0018489F" w:rsidRPr="003F489A">
        <w:rPr>
          <w:rFonts w:cstheme="minorHAnsi"/>
        </w:rPr>
        <w:t xml:space="preserve"> amended</w:t>
      </w:r>
      <w:r w:rsidR="005C6632" w:rsidRPr="003F489A">
        <w:rPr>
          <w:rFonts w:cstheme="minorHAnsi"/>
        </w:rPr>
        <w:t xml:space="preserve">, and </w:t>
      </w:r>
      <w:r w:rsidR="0018489F" w:rsidRPr="003F489A">
        <w:rPr>
          <w:rFonts w:cstheme="minorHAnsi"/>
        </w:rPr>
        <w:t xml:space="preserve">then further developed into Task 4 deliverables and </w:t>
      </w:r>
      <w:r w:rsidR="005C6632" w:rsidRPr="003F489A">
        <w:rPr>
          <w:rFonts w:cstheme="minorHAnsi"/>
        </w:rPr>
        <w:t xml:space="preserve">tested via consultation of </w:t>
      </w:r>
      <w:r w:rsidR="0018489F" w:rsidRPr="003F489A">
        <w:rPr>
          <w:rFonts w:cstheme="minorHAnsi"/>
        </w:rPr>
        <w:t>the Working Group MAES, the participants in the EU Thematic Pilots, the scientific networks</w:t>
      </w:r>
      <w:r w:rsidR="005C6632" w:rsidRPr="003F489A">
        <w:rPr>
          <w:rFonts w:cstheme="minorHAnsi"/>
        </w:rPr>
        <w:t xml:space="preserve"> across Europe</w:t>
      </w:r>
      <w:r w:rsidR="0018489F" w:rsidRPr="003F489A">
        <w:rPr>
          <w:rFonts w:cstheme="minorHAnsi"/>
        </w:rPr>
        <w:t xml:space="preserve">, looking at </w:t>
      </w:r>
      <w:r w:rsidR="006B31A1" w:rsidRPr="003F489A">
        <w:rPr>
          <w:rFonts w:cstheme="minorHAnsi"/>
        </w:rPr>
        <w:t xml:space="preserve">strengths and weaknesses, opportunities and </w:t>
      </w:r>
      <w:r w:rsidR="006A3473" w:rsidRPr="003F489A">
        <w:rPr>
          <w:rFonts w:cstheme="minorHAnsi"/>
        </w:rPr>
        <w:t>threats</w:t>
      </w:r>
      <w:r w:rsidR="006B31A1" w:rsidRPr="003F489A">
        <w:rPr>
          <w:rFonts w:cstheme="minorHAnsi"/>
        </w:rPr>
        <w:t xml:space="preserve"> of current practices in mapping and assessment of e</w:t>
      </w:r>
      <w:r w:rsidR="0018489F" w:rsidRPr="003F489A">
        <w:rPr>
          <w:rFonts w:cstheme="minorHAnsi"/>
        </w:rPr>
        <w:t xml:space="preserve">cosystems and their services. </w:t>
      </w:r>
    </w:p>
    <w:p w:rsidR="004917A0" w:rsidRPr="003F489A" w:rsidRDefault="0018489F" w:rsidP="005579E2">
      <w:pPr>
        <w:autoSpaceDE w:val="0"/>
        <w:autoSpaceDN w:val="0"/>
        <w:adjustRightInd w:val="0"/>
        <w:spacing w:after="0" w:line="240" w:lineRule="auto"/>
        <w:jc w:val="both"/>
        <w:rPr>
          <w:rFonts w:cstheme="minorHAnsi"/>
        </w:rPr>
      </w:pPr>
      <w:r w:rsidRPr="003F489A">
        <w:rPr>
          <w:rFonts w:cstheme="minorHAnsi"/>
        </w:rPr>
        <w:t xml:space="preserve">The results of this consultation </w:t>
      </w:r>
      <w:r w:rsidR="0023578F">
        <w:rPr>
          <w:rFonts w:cstheme="minorHAnsi"/>
        </w:rPr>
        <w:t>were</w:t>
      </w:r>
      <w:r w:rsidRPr="003F489A">
        <w:rPr>
          <w:rFonts w:cstheme="minorHAnsi"/>
        </w:rPr>
        <w:t xml:space="preserve"> combined with the results of the </w:t>
      </w:r>
      <w:r w:rsidR="007B7A9B" w:rsidRPr="003F489A">
        <w:rPr>
          <w:rFonts w:cstheme="minorHAnsi"/>
        </w:rPr>
        <w:t xml:space="preserve">overview of the state of the art across Europe, </w:t>
      </w:r>
      <w:r w:rsidRPr="003F489A">
        <w:rPr>
          <w:rFonts w:cstheme="minorHAnsi"/>
        </w:rPr>
        <w:t xml:space="preserve">to be obtained </w:t>
      </w:r>
      <w:r w:rsidR="007B7A9B" w:rsidRPr="003F489A">
        <w:rPr>
          <w:rFonts w:cstheme="minorHAnsi"/>
        </w:rPr>
        <w:t>through a survey of Member States and other European countries</w:t>
      </w:r>
      <w:r w:rsidRPr="003F489A">
        <w:rPr>
          <w:rFonts w:cstheme="minorHAnsi"/>
        </w:rPr>
        <w:t>, focused</w:t>
      </w:r>
      <w:r w:rsidR="007B7A9B" w:rsidRPr="003F489A">
        <w:rPr>
          <w:rFonts w:cstheme="minorHAnsi"/>
        </w:rPr>
        <w:t xml:space="preserve"> a</w:t>
      </w:r>
      <w:r w:rsidR="006B31A1" w:rsidRPr="003F489A">
        <w:rPr>
          <w:rFonts w:cstheme="minorHAnsi"/>
        </w:rPr>
        <w:t>nalysis of the relevant professional literatur</w:t>
      </w:r>
      <w:r w:rsidR="002F06B0" w:rsidRPr="003F489A">
        <w:rPr>
          <w:rFonts w:cstheme="minorHAnsi"/>
        </w:rPr>
        <w:t xml:space="preserve">e, </w:t>
      </w:r>
      <w:r w:rsidR="005579E2" w:rsidRPr="003F489A">
        <w:rPr>
          <w:rFonts w:cstheme="minorHAnsi"/>
        </w:rPr>
        <w:t xml:space="preserve">to produce </w:t>
      </w:r>
      <w:r w:rsidR="006B31A1" w:rsidRPr="003F489A">
        <w:rPr>
          <w:rFonts w:cstheme="minorHAnsi"/>
        </w:rPr>
        <w:t xml:space="preserve">recommendations, in </w:t>
      </w:r>
      <w:r w:rsidR="006A3473" w:rsidRPr="003F489A">
        <w:rPr>
          <w:rFonts w:cstheme="minorHAnsi"/>
        </w:rPr>
        <w:t>the</w:t>
      </w:r>
      <w:r w:rsidR="006B31A1" w:rsidRPr="003F489A">
        <w:rPr>
          <w:rFonts w:cstheme="minorHAnsi"/>
        </w:rPr>
        <w:t xml:space="preserve"> form of a guidance document to deal with the methodological and institutional challenges</w:t>
      </w:r>
      <w:r w:rsidR="0023578F">
        <w:rPr>
          <w:rFonts w:cstheme="minorHAnsi"/>
        </w:rPr>
        <w:t>.</w:t>
      </w:r>
    </w:p>
    <w:p w:rsidR="005579E2" w:rsidRPr="003F489A" w:rsidRDefault="005579E2" w:rsidP="00280B09">
      <w:pPr>
        <w:spacing w:line="240" w:lineRule="auto"/>
        <w:rPr>
          <w:color w:val="000000" w:themeColor="text1"/>
        </w:rPr>
      </w:pPr>
    </w:p>
    <w:p w:rsidR="00A91EC6" w:rsidRPr="005579E2" w:rsidRDefault="00A91EC6" w:rsidP="00BF14CD">
      <w:pPr>
        <w:pStyle w:val="Paragraphedeliste"/>
        <w:numPr>
          <w:ilvl w:val="0"/>
          <w:numId w:val="15"/>
        </w:numPr>
        <w:spacing w:line="240" w:lineRule="auto"/>
        <w:rPr>
          <w:rFonts w:eastAsiaTheme="majorEastAsia" w:cstheme="majorBidi"/>
          <w:b/>
          <w:bCs/>
          <w:color w:val="000000" w:themeColor="text1"/>
          <w:highlight w:val="yellow"/>
        </w:rPr>
      </w:pPr>
      <w:r w:rsidRPr="005579E2">
        <w:rPr>
          <w:color w:val="000000" w:themeColor="text1"/>
          <w:highlight w:val="yellow"/>
        </w:rPr>
        <w:br w:type="page"/>
      </w:r>
    </w:p>
    <w:p w:rsidR="00BE57F6" w:rsidRPr="00465896" w:rsidRDefault="00A11A04" w:rsidP="00A11A04">
      <w:pPr>
        <w:pStyle w:val="Titre1"/>
        <w:tabs>
          <w:tab w:val="left" w:pos="709"/>
        </w:tabs>
        <w:rPr>
          <w:sz w:val="40"/>
          <w:szCs w:val="40"/>
        </w:rPr>
      </w:pPr>
      <w:r>
        <w:rPr>
          <w:sz w:val="40"/>
          <w:szCs w:val="40"/>
        </w:rPr>
        <w:lastRenderedPageBreak/>
        <w:t>3</w:t>
      </w:r>
      <w:r>
        <w:rPr>
          <w:sz w:val="40"/>
          <w:szCs w:val="40"/>
        </w:rPr>
        <w:tab/>
      </w:r>
      <w:r w:rsidR="003B1B01">
        <w:rPr>
          <w:sz w:val="40"/>
          <w:szCs w:val="40"/>
        </w:rPr>
        <w:t>SUMMARY &amp;</w:t>
      </w:r>
      <w:r w:rsidR="00465896">
        <w:rPr>
          <w:sz w:val="40"/>
          <w:szCs w:val="40"/>
        </w:rPr>
        <w:t xml:space="preserve"> CONCLUSIONS</w:t>
      </w:r>
    </w:p>
    <w:p w:rsidR="00651D23" w:rsidRDefault="00651D23" w:rsidP="00651D23">
      <w:pPr>
        <w:spacing w:after="0"/>
        <w:jc w:val="both"/>
        <w:rPr>
          <w:rFonts w:cstheme="minorHAnsi"/>
          <w:b/>
          <w:sz w:val="24"/>
          <w:szCs w:val="24"/>
        </w:rPr>
      </w:pPr>
    </w:p>
    <w:p w:rsidR="00651D23" w:rsidRPr="007F55AC" w:rsidRDefault="00651D23" w:rsidP="00651D23">
      <w:pPr>
        <w:spacing w:after="0"/>
        <w:jc w:val="both"/>
        <w:rPr>
          <w:rFonts w:cstheme="minorHAnsi"/>
        </w:rPr>
      </w:pPr>
      <w:r w:rsidRPr="007F55AC">
        <w:rPr>
          <w:rFonts w:cstheme="minorHAnsi"/>
        </w:rPr>
        <w:t>In this overview section we review the main results and conclusions and present them in relation to the Task Deliverables.</w:t>
      </w:r>
    </w:p>
    <w:p w:rsidR="00651D23" w:rsidRDefault="00651D23" w:rsidP="00651D23">
      <w:pPr>
        <w:spacing w:after="0"/>
        <w:jc w:val="both"/>
        <w:rPr>
          <w:rFonts w:cstheme="minorHAnsi"/>
          <w:b/>
          <w:sz w:val="24"/>
          <w:szCs w:val="24"/>
        </w:rPr>
      </w:pPr>
    </w:p>
    <w:p w:rsidR="00F27C8F" w:rsidRDefault="007F55AC" w:rsidP="00F27C8F">
      <w:pPr>
        <w:pStyle w:val="Titre2"/>
      </w:pPr>
      <w:r>
        <w:t>3.1</w:t>
      </w:r>
      <w:r>
        <w:tab/>
        <w:t xml:space="preserve">SUMMARY </w:t>
      </w:r>
      <w:r w:rsidR="00F27C8F">
        <w:t xml:space="preserve">TASK 1: </w:t>
      </w:r>
    </w:p>
    <w:p w:rsidR="007F55AC" w:rsidRDefault="007F55AC" w:rsidP="00F27C8F">
      <w:pPr>
        <w:spacing w:after="0" w:line="240" w:lineRule="auto"/>
        <w:jc w:val="both"/>
        <w:rPr>
          <w:rFonts w:cstheme="minorHAnsi"/>
          <w:b/>
        </w:rPr>
      </w:pPr>
    </w:p>
    <w:p w:rsidR="00651D23" w:rsidRPr="00F27C8F" w:rsidRDefault="00651D23" w:rsidP="00F27C8F">
      <w:pPr>
        <w:spacing w:after="0" w:line="240" w:lineRule="auto"/>
        <w:jc w:val="both"/>
        <w:rPr>
          <w:rFonts w:cstheme="minorHAnsi"/>
          <w:b/>
        </w:rPr>
      </w:pPr>
      <w:r w:rsidRPr="00F27C8F">
        <w:rPr>
          <w:rFonts w:cstheme="minorHAnsi"/>
          <w:b/>
        </w:rPr>
        <w:t xml:space="preserve">Deliverable Task 1.1 </w:t>
      </w:r>
    </w:p>
    <w:p w:rsidR="00651D23" w:rsidRPr="00F27C8F" w:rsidRDefault="00651D23" w:rsidP="00F27C8F">
      <w:pPr>
        <w:pStyle w:val="Paragraphedeliste"/>
        <w:numPr>
          <w:ilvl w:val="0"/>
          <w:numId w:val="3"/>
        </w:numPr>
        <w:spacing w:line="240" w:lineRule="auto"/>
        <w:jc w:val="both"/>
        <w:rPr>
          <w:rFonts w:cstheme="minorHAnsi"/>
          <w:b/>
        </w:rPr>
      </w:pPr>
      <w:r w:rsidRPr="00F27C8F">
        <w:rPr>
          <w:rFonts w:cstheme="minorHAnsi"/>
          <w:b/>
        </w:rPr>
        <w:t xml:space="preserve">A consolidated table of contacts, and </w:t>
      </w:r>
      <w:r w:rsidR="00F27C8F" w:rsidRPr="00F27C8F">
        <w:rPr>
          <w:rFonts w:cstheme="minorHAnsi"/>
          <w:b/>
        </w:rPr>
        <w:t xml:space="preserve">a </w:t>
      </w:r>
      <w:r w:rsidRPr="00F27C8F">
        <w:rPr>
          <w:rFonts w:cstheme="minorHAnsi"/>
          <w:b/>
        </w:rPr>
        <w:t xml:space="preserve">(draft structure of the) survey questionnaire </w:t>
      </w:r>
      <w:r w:rsidR="00F27C8F" w:rsidRPr="00F27C8F">
        <w:rPr>
          <w:rFonts w:cstheme="minorHAnsi"/>
          <w:b/>
        </w:rPr>
        <w:t>(</w:t>
      </w:r>
      <w:r w:rsidRPr="00F27C8F">
        <w:rPr>
          <w:rFonts w:cstheme="minorHAnsi"/>
          <w:b/>
        </w:rPr>
        <w:t>including all the information gathered by the consortium to be included in the draft Inception Report and extended in the draft Interim Report</w:t>
      </w:r>
      <w:r w:rsidR="00F27C8F" w:rsidRPr="00F27C8F">
        <w:rPr>
          <w:rFonts w:cstheme="minorHAnsi"/>
          <w:b/>
        </w:rPr>
        <w:t>)</w:t>
      </w:r>
      <w:r w:rsidRPr="00F27C8F">
        <w:rPr>
          <w:rFonts w:cstheme="minorHAnsi"/>
          <w:b/>
        </w:rPr>
        <w:t>.</w:t>
      </w:r>
    </w:p>
    <w:p w:rsidR="00F27C8F" w:rsidRPr="00F27C8F" w:rsidRDefault="00F27C8F" w:rsidP="00F27C8F">
      <w:pPr>
        <w:pStyle w:val="Paragraphedeliste"/>
        <w:spacing w:line="240" w:lineRule="auto"/>
        <w:jc w:val="both"/>
        <w:rPr>
          <w:rFonts w:cstheme="minorHAnsi"/>
          <w:b/>
        </w:rPr>
      </w:pPr>
    </w:p>
    <w:p w:rsidR="00651D23" w:rsidRDefault="00651D23" w:rsidP="00622218">
      <w:pPr>
        <w:pStyle w:val="Paragraphedeliste"/>
        <w:numPr>
          <w:ilvl w:val="0"/>
          <w:numId w:val="27"/>
        </w:numPr>
        <w:spacing w:line="240" w:lineRule="auto"/>
        <w:jc w:val="both"/>
        <w:rPr>
          <w:rFonts w:cstheme="minorHAnsi"/>
        </w:rPr>
      </w:pPr>
      <w:r w:rsidRPr="00F27C8F">
        <w:rPr>
          <w:rFonts w:cstheme="minorHAnsi"/>
        </w:rPr>
        <w:t>A Survey was developed and mailed to contact persons</w:t>
      </w:r>
      <w:r w:rsidR="001D216D">
        <w:rPr>
          <w:rFonts w:cstheme="minorHAnsi"/>
        </w:rPr>
        <w:t xml:space="preserve"> (see Annex 3)</w:t>
      </w:r>
      <w:r w:rsidRPr="00F27C8F">
        <w:rPr>
          <w:rFonts w:cstheme="minorHAnsi"/>
        </w:rPr>
        <w:t>, mostly from the Working Group Maes.</w:t>
      </w:r>
      <w:r w:rsidR="00F27C8F" w:rsidRPr="00F27C8F">
        <w:rPr>
          <w:rFonts w:cstheme="minorHAnsi"/>
        </w:rPr>
        <w:t xml:space="preserve"> Head of Unit B@, F. Wakenhut wrote a formal invitation to the contact</w:t>
      </w:r>
      <w:r w:rsidR="001D216D">
        <w:rPr>
          <w:rFonts w:cstheme="minorHAnsi"/>
        </w:rPr>
        <w:t>-</w:t>
      </w:r>
      <w:r w:rsidR="00F27C8F" w:rsidRPr="00F27C8F">
        <w:rPr>
          <w:rFonts w:cstheme="minorHAnsi"/>
        </w:rPr>
        <w:t>persons</w:t>
      </w:r>
      <w:r w:rsidR="001D216D">
        <w:rPr>
          <w:rFonts w:cstheme="minorHAnsi"/>
        </w:rPr>
        <w:t xml:space="preserve"> (see Annex 3) </w:t>
      </w:r>
      <w:r w:rsidR="00F27C8F" w:rsidRPr="00F27C8F">
        <w:rPr>
          <w:rFonts w:cstheme="minorHAnsi"/>
        </w:rPr>
        <w:t xml:space="preserve">. The survey was mailed between end of June 2013, and the last results which could be incorporated in the Final Report of Year 1 of the Contract, came in end of September. A total </w:t>
      </w:r>
      <w:r w:rsidR="001677F6">
        <w:rPr>
          <w:rFonts w:cstheme="minorHAnsi"/>
        </w:rPr>
        <w:t>of</w:t>
      </w:r>
      <w:r w:rsidRPr="001677F6">
        <w:rPr>
          <w:rFonts w:cstheme="minorHAnsi"/>
        </w:rPr>
        <w:t xml:space="preserve"> 1</w:t>
      </w:r>
      <w:r w:rsidR="001677F6">
        <w:rPr>
          <w:rFonts w:cstheme="minorHAnsi"/>
        </w:rPr>
        <w:t>6</w:t>
      </w:r>
      <w:r w:rsidRPr="001677F6">
        <w:rPr>
          <w:rFonts w:cstheme="minorHAnsi"/>
        </w:rPr>
        <w:t xml:space="preserve"> countries</w:t>
      </w:r>
      <w:r w:rsidR="00F27C8F" w:rsidRPr="00F27C8F">
        <w:rPr>
          <w:rFonts w:cstheme="minorHAnsi"/>
        </w:rPr>
        <w:t>responded. Data for the</w:t>
      </w:r>
      <w:r w:rsidRPr="00F27C8F">
        <w:rPr>
          <w:rFonts w:cstheme="minorHAnsi"/>
        </w:rPr>
        <w:t xml:space="preserve"> UK</w:t>
      </w:r>
      <w:r w:rsidR="00F27C8F" w:rsidRPr="00F27C8F">
        <w:rPr>
          <w:rFonts w:cstheme="minorHAnsi"/>
        </w:rPr>
        <w:t xml:space="preserve"> and</w:t>
      </w:r>
      <w:r w:rsidRPr="00F27C8F">
        <w:rPr>
          <w:rFonts w:cstheme="minorHAnsi"/>
        </w:rPr>
        <w:t>Belgium,</w:t>
      </w:r>
      <w:r w:rsidR="00F27C8F" w:rsidRPr="00F27C8F">
        <w:rPr>
          <w:rFonts w:cstheme="minorHAnsi"/>
        </w:rPr>
        <w:t>were already available via the Country Case studies (See below). Malta, Romania, Bulgaria have indicated that they are currently working to complete the survey. Contacts with researchers and NGO’s in Slovakia have been led to further commitments. The intention is to approach Member states that have not yet completed the survey via science, NGO and policy communities.</w:t>
      </w:r>
    </w:p>
    <w:p w:rsidR="00F27C8F" w:rsidRPr="00F27C8F" w:rsidRDefault="00F27C8F" w:rsidP="00F27C8F">
      <w:pPr>
        <w:pStyle w:val="Paragraphedeliste"/>
        <w:spacing w:line="240" w:lineRule="auto"/>
        <w:jc w:val="both"/>
        <w:rPr>
          <w:rFonts w:cstheme="minorHAnsi"/>
        </w:rPr>
      </w:pPr>
    </w:p>
    <w:p w:rsidR="00F27C8F" w:rsidRPr="00F27C8F" w:rsidRDefault="00667A2A" w:rsidP="00622218">
      <w:pPr>
        <w:pStyle w:val="Paragraphedeliste"/>
        <w:numPr>
          <w:ilvl w:val="0"/>
          <w:numId w:val="27"/>
        </w:numPr>
        <w:spacing w:before="240" w:line="240" w:lineRule="auto"/>
      </w:pPr>
      <w:r w:rsidRPr="00F27C8F">
        <w:t>The main conclusions that can be drawn from the survey are:</w:t>
      </w:r>
    </w:p>
    <w:p w:rsidR="00F27C8F" w:rsidRPr="00F27C8F" w:rsidRDefault="00667A2A" w:rsidP="00622218">
      <w:pPr>
        <w:pStyle w:val="Paragraphedeliste"/>
        <w:numPr>
          <w:ilvl w:val="1"/>
          <w:numId w:val="27"/>
        </w:numPr>
        <w:spacing w:line="240" w:lineRule="auto"/>
      </w:pPr>
      <w:r w:rsidRPr="00F27C8F">
        <w:t>Mapping and Assessment is an on-going process in most of the countries but needs targeted support. Mapping is already happening, but is not uniformly developed. A majority of the ongoing initiatives include stakeholders (policy makers, NGO’s, scientists, citizens, etc.) and expertise is available but many of the study  teams need government (financial) support and EU guidance (common approach).</w:t>
      </w:r>
    </w:p>
    <w:p w:rsidR="00F27C8F" w:rsidRPr="00F27C8F" w:rsidRDefault="00667A2A" w:rsidP="00622218">
      <w:pPr>
        <w:pStyle w:val="Paragraphedeliste"/>
        <w:numPr>
          <w:ilvl w:val="1"/>
          <w:numId w:val="27"/>
        </w:numPr>
        <w:spacing w:line="240" w:lineRule="auto"/>
      </w:pPr>
      <w:r w:rsidRPr="00F27C8F">
        <w:t xml:space="preserve">Main ecosystems and ecosystem services are covered using national data and the same European sources, i.e. ES CICES classification and CORINE Land Cover. The main problems encountered are  lack of consistent approaches among all parties involved,  lack of relevant data and limited resources. </w:t>
      </w:r>
    </w:p>
    <w:p w:rsidR="00F27C8F" w:rsidRPr="00F27C8F" w:rsidRDefault="00667A2A" w:rsidP="00622218">
      <w:pPr>
        <w:pStyle w:val="Paragraphedeliste"/>
        <w:numPr>
          <w:ilvl w:val="1"/>
          <w:numId w:val="27"/>
        </w:numPr>
        <w:spacing w:line="240" w:lineRule="auto"/>
      </w:pPr>
      <w:r w:rsidRPr="00F27C8F">
        <w:t>The ecosystems covered most frequently are forests, followed by agro-ecosystems, freshwater and marine. Other ecosystems mentioned are: Urban, heathland, mountains, arid zones, insular, peat lands (as part of wetlands).</w:t>
      </w:r>
    </w:p>
    <w:p w:rsidR="00667A2A" w:rsidRPr="00F27C8F" w:rsidRDefault="00667A2A" w:rsidP="00622218">
      <w:pPr>
        <w:pStyle w:val="Paragraphedeliste"/>
        <w:numPr>
          <w:ilvl w:val="1"/>
          <w:numId w:val="27"/>
        </w:numPr>
        <w:spacing w:line="240" w:lineRule="auto"/>
      </w:pPr>
      <w:r w:rsidRPr="00F27C8F">
        <w:t>The ecosystem services most frequently mapped are cultural services (tourism and recreation), followed provisioning (food and timber) and regulating (water flows, climate and extreme events).Those indicators that are quantified are most often based on national statistics. The most used classification is CICES (60%) and main data sources are CORINE Land Cover and reporting to EU Directives. Guidance is needed in methods, data and GIS. Countries share approaches in Land cover/Land Use, ArcGIS and Geostatistics. INSPIRE seems not yet embedded.</w:t>
      </w:r>
    </w:p>
    <w:p w:rsidR="00651D23" w:rsidRPr="00F27C8F" w:rsidRDefault="00651D23" w:rsidP="00651D23">
      <w:pPr>
        <w:autoSpaceDE w:val="0"/>
        <w:autoSpaceDN w:val="0"/>
        <w:adjustRightInd w:val="0"/>
        <w:spacing w:after="0" w:line="240" w:lineRule="auto"/>
        <w:jc w:val="both"/>
        <w:rPr>
          <w:rFonts w:cstheme="minorHAnsi"/>
          <w:b/>
        </w:rPr>
      </w:pPr>
      <w:r w:rsidRPr="00F27C8F">
        <w:rPr>
          <w:rFonts w:cstheme="minorHAnsi"/>
          <w:b/>
        </w:rPr>
        <w:t>Deliverables Task 1.2.a</w:t>
      </w:r>
    </w:p>
    <w:p w:rsidR="00651D23" w:rsidRPr="00F27C8F" w:rsidRDefault="00651D23" w:rsidP="00651D23">
      <w:pPr>
        <w:numPr>
          <w:ilvl w:val="0"/>
          <w:numId w:val="3"/>
        </w:numPr>
        <w:autoSpaceDE w:val="0"/>
        <w:autoSpaceDN w:val="0"/>
        <w:adjustRightInd w:val="0"/>
        <w:spacing w:after="0" w:line="240" w:lineRule="auto"/>
        <w:contextualSpacing/>
        <w:jc w:val="both"/>
        <w:rPr>
          <w:rFonts w:cstheme="minorHAnsi"/>
          <w:b/>
        </w:rPr>
      </w:pPr>
      <w:r w:rsidRPr="00F27C8F">
        <w:rPr>
          <w:rFonts w:cstheme="minorHAnsi"/>
          <w:b/>
        </w:rPr>
        <w:t xml:space="preserve">Completed section(s) in the Fact Sheets per country-case study; </w:t>
      </w:r>
    </w:p>
    <w:p w:rsidR="00651D23" w:rsidRPr="00F27C8F" w:rsidRDefault="00651D23" w:rsidP="00651D23">
      <w:pPr>
        <w:numPr>
          <w:ilvl w:val="0"/>
          <w:numId w:val="3"/>
        </w:numPr>
        <w:autoSpaceDE w:val="0"/>
        <w:autoSpaceDN w:val="0"/>
        <w:adjustRightInd w:val="0"/>
        <w:spacing w:after="0" w:line="240" w:lineRule="auto"/>
        <w:contextualSpacing/>
        <w:jc w:val="both"/>
        <w:rPr>
          <w:rFonts w:cstheme="minorHAnsi"/>
          <w:b/>
        </w:rPr>
      </w:pPr>
      <w:r w:rsidRPr="00F27C8F">
        <w:rPr>
          <w:rFonts w:cstheme="minorHAnsi"/>
          <w:b/>
        </w:rPr>
        <w:t xml:space="preserve">A section in the </w:t>
      </w:r>
      <w:r w:rsidR="00F27C8F" w:rsidRPr="00F27C8F">
        <w:rPr>
          <w:rFonts w:cstheme="minorHAnsi"/>
          <w:b/>
        </w:rPr>
        <w:t>(</w:t>
      </w:r>
      <w:r w:rsidRPr="00F27C8F">
        <w:rPr>
          <w:rFonts w:cstheme="minorHAnsi"/>
          <w:b/>
        </w:rPr>
        <w:t>draft Interim</w:t>
      </w:r>
      <w:r w:rsidR="00F27C8F" w:rsidRPr="00F27C8F">
        <w:rPr>
          <w:rFonts w:cstheme="minorHAnsi"/>
          <w:b/>
        </w:rPr>
        <w:t>)</w:t>
      </w:r>
      <w:r w:rsidRPr="00F27C8F">
        <w:rPr>
          <w:rFonts w:cstheme="minorHAnsi"/>
          <w:b/>
        </w:rPr>
        <w:t xml:space="preserve"> Report with a review and evaluation of parameters, data and indicators currently used </w:t>
      </w:r>
      <w:r w:rsidRPr="00F27C8F">
        <w:rPr>
          <w:rFonts w:cstheme="minorHAnsi"/>
          <w:b/>
          <w:i/>
        </w:rPr>
        <w:t xml:space="preserve">to map/assess ecosystem changes in the MS, or to report on </w:t>
      </w:r>
      <w:r w:rsidRPr="00F27C8F">
        <w:rPr>
          <w:rFonts w:cstheme="minorHAnsi"/>
          <w:b/>
          <w:i/>
        </w:rPr>
        <w:lastRenderedPageBreak/>
        <w:t>state of ecosystems at aggregated spatial scales</w:t>
      </w:r>
      <w:r w:rsidRPr="00F27C8F">
        <w:rPr>
          <w:rFonts w:cstheme="minorHAnsi"/>
          <w:b/>
        </w:rPr>
        <w:t xml:space="preserve"> ( as required by the EC) based on the analysis of the fact-sheets; </w:t>
      </w:r>
    </w:p>
    <w:p w:rsidR="00651D23" w:rsidRPr="00F27C8F" w:rsidRDefault="00651D23" w:rsidP="00651D23">
      <w:pPr>
        <w:numPr>
          <w:ilvl w:val="0"/>
          <w:numId w:val="3"/>
        </w:numPr>
        <w:autoSpaceDE w:val="0"/>
        <w:autoSpaceDN w:val="0"/>
        <w:adjustRightInd w:val="0"/>
        <w:spacing w:after="0" w:line="240" w:lineRule="auto"/>
        <w:contextualSpacing/>
        <w:jc w:val="both"/>
        <w:rPr>
          <w:rFonts w:cstheme="minorHAnsi"/>
          <w:b/>
        </w:rPr>
      </w:pPr>
      <w:r w:rsidRPr="00F27C8F">
        <w:rPr>
          <w:rFonts w:cstheme="minorHAnsi"/>
          <w:b/>
        </w:rPr>
        <w:t>A section in the draft Interim report which considers how to use Member state experience to improve the EU methodology</w:t>
      </w:r>
    </w:p>
    <w:p w:rsidR="00651D23" w:rsidRPr="00F27C8F" w:rsidRDefault="00651D23" w:rsidP="00651D23">
      <w:pPr>
        <w:autoSpaceDE w:val="0"/>
        <w:autoSpaceDN w:val="0"/>
        <w:adjustRightInd w:val="0"/>
        <w:spacing w:after="0" w:line="240" w:lineRule="auto"/>
        <w:contextualSpacing/>
        <w:jc w:val="both"/>
        <w:rPr>
          <w:rFonts w:cstheme="minorHAnsi"/>
          <w:b/>
        </w:rPr>
      </w:pPr>
    </w:p>
    <w:p w:rsidR="00651D23" w:rsidRPr="00F27C8F" w:rsidRDefault="00651D23" w:rsidP="00651D23">
      <w:pPr>
        <w:autoSpaceDE w:val="0"/>
        <w:autoSpaceDN w:val="0"/>
        <w:adjustRightInd w:val="0"/>
        <w:spacing w:after="0" w:line="240" w:lineRule="auto"/>
        <w:jc w:val="both"/>
        <w:rPr>
          <w:rFonts w:cstheme="minorHAnsi"/>
          <w:b/>
        </w:rPr>
      </w:pPr>
      <w:r w:rsidRPr="00F27C8F">
        <w:rPr>
          <w:rFonts w:cstheme="minorHAnsi"/>
          <w:b/>
        </w:rPr>
        <w:t>Deliverables Task 1.2.b</w:t>
      </w:r>
    </w:p>
    <w:p w:rsidR="00651D23" w:rsidRPr="00F27C8F" w:rsidRDefault="00651D23" w:rsidP="00651D23">
      <w:pPr>
        <w:numPr>
          <w:ilvl w:val="0"/>
          <w:numId w:val="3"/>
        </w:numPr>
        <w:autoSpaceDE w:val="0"/>
        <w:autoSpaceDN w:val="0"/>
        <w:adjustRightInd w:val="0"/>
        <w:spacing w:after="0" w:line="240" w:lineRule="auto"/>
        <w:contextualSpacing/>
        <w:jc w:val="both"/>
        <w:rPr>
          <w:rFonts w:cstheme="minorHAnsi"/>
          <w:b/>
        </w:rPr>
      </w:pPr>
      <w:r w:rsidRPr="00F27C8F">
        <w:rPr>
          <w:rFonts w:cstheme="minorHAnsi"/>
          <w:b/>
        </w:rPr>
        <w:t xml:space="preserve">Completed section(s) in the Fact Sheets per pilot study; </w:t>
      </w:r>
    </w:p>
    <w:p w:rsidR="00651D23" w:rsidRPr="00F27C8F" w:rsidRDefault="00651D23" w:rsidP="00651D23">
      <w:pPr>
        <w:numPr>
          <w:ilvl w:val="0"/>
          <w:numId w:val="3"/>
        </w:numPr>
        <w:autoSpaceDE w:val="0"/>
        <w:autoSpaceDN w:val="0"/>
        <w:adjustRightInd w:val="0"/>
        <w:spacing w:after="0" w:line="240" w:lineRule="auto"/>
        <w:contextualSpacing/>
        <w:jc w:val="both"/>
        <w:rPr>
          <w:rFonts w:cstheme="minorHAnsi"/>
          <w:b/>
        </w:rPr>
      </w:pPr>
      <w:r w:rsidRPr="00F27C8F">
        <w:rPr>
          <w:rFonts w:cstheme="minorHAnsi"/>
          <w:b/>
        </w:rPr>
        <w:t xml:space="preserve">A section in the draft Interim Report with a review and evaluation of parameters, data and indicators currently used </w:t>
      </w:r>
      <w:r w:rsidRPr="00F27C8F">
        <w:rPr>
          <w:rFonts w:cstheme="minorHAnsi"/>
          <w:b/>
          <w:i/>
        </w:rPr>
        <w:t>to map/assess ecosystem services in the MS</w:t>
      </w:r>
      <w:r w:rsidRPr="00F27C8F">
        <w:rPr>
          <w:rFonts w:cstheme="minorHAnsi"/>
          <w:b/>
        </w:rPr>
        <w:t xml:space="preserve"> ( as required by the EC) based on the analysis of the fact-sheets;</w:t>
      </w:r>
    </w:p>
    <w:p w:rsidR="00651D23" w:rsidRPr="00F27C8F" w:rsidRDefault="00651D23" w:rsidP="00651D23">
      <w:pPr>
        <w:numPr>
          <w:ilvl w:val="0"/>
          <w:numId w:val="3"/>
        </w:numPr>
        <w:autoSpaceDE w:val="0"/>
        <w:autoSpaceDN w:val="0"/>
        <w:adjustRightInd w:val="0"/>
        <w:spacing w:after="0" w:line="240" w:lineRule="auto"/>
        <w:contextualSpacing/>
        <w:jc w:val="both"/>
        <w:rPr>
          <w:rFonts w:cstheme="minorHAnsi"/>
          <w:b/>
        </w:rPr>
      </w:pPr>
      <w:r w:rsidRPr="00F27C8F">
        <w:rPr>
          <w:rFonts w:cstheme="minorHAnsi"/>
          <w:b/>
        </w:rPr>
        <w:t>A section in the Interim report which considers how to use Member state experience to improve the EU methodology.</w:t>
      </w:r>
    </w:p>
    <w:p w:rsidR="00F27C8F" w:rsidRDefault="00F27C8F">
      <w:pPr>
        <w:rPr>
          <w:b/>
          <w:u w:val="single"/>
        </w:rPr>
      </w:pPr>
    </w:p>
    <w:p w:rsidR="001D216D" w:rsidRDefault="00F27C8F" w:rsidP="00622218">
      <w:pPr>
        <w:pStyle w:val="Paragraphedeliste"/>
        <w:numPr>
          <w:ilvl w:val="0"/>
          <w:numId w:val="28"/>
        </w:numPr>
        <w:spacing w:line="240" w:lineRule="auto"/>
        <w:ind w:left="426" w:hanging="426"/>
      </w:pPr>
      <w:r w:rsidRPr="000406F7">
        <w:t>Fact sheets were developed for Country Case studies (UK, Spain, Belgium, Austria, Switzerland and the Balkan region, and anexploratory study for Marine ecosystem and services in the Netherlands). The Fact sheets are available in the Annex 1 (text) and Annex 2 (maps).</w:t>
      </w:r>
      <w:r w:rsidR="001D216D" w:rsidRPr="000406F7">
        <w:t xml:space="preserve"> They cover both Deliverables 1.2.a and 1.2.b (ecosystems and ecosystem services respectively).</w:t>
      </w:r>
    </w:p>
    <w:p w:rsidR="00BF79DB" w:rsidRPr="000406F7" w:rsidRDefault="00BF79DB" w:rsidP="00BF79DB">
      <w:pPr>
        <w:pStyle w:val="Paragraphedeliste"/>
        <w:spacing w:line="240" w:lineRule="auto"/>
        <w:ind w:left="426"/>
      </w:pPr>
    </w:p>
    <w:p w:rsidR="00015D5C" w:rsidRPr="001677F6" w:rsidRDefault="00015D5C" w:rsidP="00622218">
      <w:pPr>
        <w:pStyle w:val="Paragraphedeliste"/>
        <w:numPr>
          <w:ilvl w:val="0"/>
          <w:numId w:val="28"/>
        </w:numPr>
        <w:ind w:left="426" w:hanging="426"/>
        <w:rPr>
          <w:b/>
        </w:rPr>
      </w:pPr>
      <w:r w:rsidRPr="001677F6">
        <w:rPr>
          <w:b/>
        </w:rPr>
        <w:t>Policy aspects</w:t>
      </w:r>
      <w:r w:rsidRPr="001677F6">
        <w:t>:</w:t>
      </w:r>
    </w:p>
    <w:p w:rsidR="00015D5C" w:rsidRPr="004D5D3A" w:rsidRDefault="00015D5C" w:rsidP="003D62B5">
      <w:pPr>
        <w:pStyle w:val="Paragraphedeliste"/>
        <w:autoSpaceDE w:val="0"/>
        <w:autoSpaceDN w:val="0"/>
        <w:adjustRightInd w:val="0"/>
        <w:spacing w:after="0" w:line="240" w:lineRule="auto"/>
        <w:ind w:left="0"/>
        <w:jc w:val="both"/>
      </w:pPr>
      <w:r w:rsidRPr="004D5D3A">
        <w:t>The UK and Spanish studies were the result of a government initiative, but were started before the EU B</w:t>
      </w:r>
      <w:r w:rsidR="001D216D">
        <w:t>iodiversity Strategy</w:t>
      </w:r>
      <w:r w:rsidRPr="004D5D3A">
        <w:t xml:space="preserve"> was launched. They now are the framework for </w:t>
      </w:r>
      <w:r w:rsidRPr="00990F1A">
        <w:rPr>
          <w:i/>
        </w:rPr>
        <w:t xml:space="preserve">the </w:t>
      </w:r>
      <w:r w:rsidR="001D216D">
        <w:rPr>
          <w:b/>
          <w:i/>
        </w:rPr>
        <w:t>Target 2, Action 5</w:t>
      </w:r>
      <w:r w:rsidRPr="00990F1A">
        <w:rPr>
          <w:i/>
        </w:rPr>
        <w:t xml:space="preserve"> efforts. The Flandrian regional government is contracting the NARA studies, the BEES project was (co)funded by the National Government. </w:t>
      </w:r>
      <w:r w:rsidRPr="004D5D3A">
        <w:t xml:space="preserve">The Austrian government is now developing a National Strategy. Switzerland has a national Biodiversity Strategy. The situation in the Balkan is diverse, with some national biodiversity initiatives, and often EU or WWF funded projects. The Marine case in the Netherlands is part of the TEEB Netherlands cluster of projects, funded by the National Government, and now considered as precursor of National Ecosystem Assessment.None of the cases was officially conducted as part of the Biodiversity Strategy Target 2, Action 5 </w:t>
      </w:r>
      <w:r w:rsidR="001D216D">
        <w:t xml:space="preserve">(T2A5) </w:t>
      </w:r>
      <w:r w:rsidRPr="004D5D3A">
        <w:t xml:space="preserve">program. </w:t>
      </w:r>
      <w:r>
        <w:t xml:space="preserve">This is not surprising given that the EU Biodiversity Strategy was announced in May 2011. </w:t>
      </w:r>
      <w:r w:rsidRPr="004D5D3A">
        <w:t>Some were already available</w:t>
      </w:r>
      <w:r>
        <w:t xml:space="preserve"> following from national initiatives following the publication of the MA</w:t>
      </w:r>
      <w:r w:rsidRPr="004D5D3A">
        <w:t xml:space="preserve">, and some were originating from academic or regional initiatives, or as pilots within national projects. </w:t>
      </w:r>
      <w:r>
        <w:t>Several countries have started TEEB national studies, since October 2010, which may be useful in realising the 2014 and 2010 deadlines.</w:t>
      </w:r>
      <w:r w:rsidRPr="004D5D3A">
        <w:t>Most cases in the EU countries are now being used as framework or “example” for the T2A5 work.</w:t>
      </w:r>
      <w:r>
        <w:t xml:space="preserve"> No explicit information came from the fact sheets about follow up or incorporation of the cases.</w:t>
      </w:r>
      <w:r w:rsidR="003D62B5">
        <w:t xml:space="preserve"> S</w:t>
      </w:r>
      <w:r>
        <w:t>takeholder involvement is a recurring element of the case studies. T</w:t>
      </w:r>
      <w:r w:rsidRPr="004D5D3A">
        <w:t xml:space="preserve">he studies </w:t>
      </w:r>
      <w:r>
        <w:t xml:space="preserve">often </w:t>
      </w:r>
      <w:r w:rsidRPr="004D5D3A">
        <w:t xml:space="preserve">had </w:t>
      </w:r>
      <w:r>
        <w:t xml:space="preserve">a </w:t>
      </w:r>
      <w:r w:rsidRPr="004D5D3A">
        <w:t>wide range of government, business and non-government, and citizen groups participating. The actual influence</w:t>
      </w:r>
      <w:r>
        <w:t xml:space="preserve"> of stakeholders</w:t>
      </w:r>
      <w:r w:rsidRPr="004D5D3A">
        <w:t xml:space="preserve"> in the  process is rarely clear.</w:t>
      </w:r>
      <w:r>
        <w:t xml:space="preserve"> From the TEEB NL study (Hendriks et al., 2012) it is clear that they are mostly relevant in mapping demand and actual use of ecosystem services. Switzerland showed that especially for valuing cultural ecosystem services, stakeholder involvement is key.</w:t>
      </w:r>
      <w:r w:rsidRPr="004D5D3A">
        <w:t xml:space="preserve">Where relevant both National Ministries and affiliated agencies and institutes were involved </w:t>
      </w:r>
      <w:r>
        <w:t>and in some cases</w:t>
      </w:r>
      <w:r w:rsidRPr="004D5D3A">
        <w:t xml:space="preserve"> regional policy institutions.</w:t>
      </w:r>
      <w:r>
        <w:t xml:space="preserve"> However, it was mostly the Environment or Nature ministry, which may indicate that the economic importance of ecosystem services has not been communicated widely enough (at least not in the Member States).</w:t>
      </w:r>
      <w:r w:rsidRPr="004D5D3A">
        <w:t>Dominant problem is lack of data, but also lack of understanding when stakeholders were involved.</w:t>
      </w:r>
    </w:p>
    <w:p w:rsidR="001677F6" w:rsidRDefault="001677F6" w:rsidP="00BF79DB">
      <w:pPr>
        <w:spacing w:after="0"/>
        <w:ind w:firstLine="720"/>
        <w:rPr>
          <w:b/>
          <w:u w:val="single"/>
          <w:lang w:eastAsia="zh-TW"/>
        </w:rPr>
      </w:pPr>
    </w:p>
    <w:p w:rsidR="00015D5C" w:rsidRPr="001677F6" w:rsidRDefault="00BF79DB" w:rsidP="001677F6">
      <w:pPr>
        <w:spacing w:after="0"/>
        <w:rPr>
          <w:b/>
          <w:lang w:eastAsia="zh-TW"/>
        </w:rPr>
      </w:pPr>
      <w:r w:rsidRPr="001677F6">
        <w:rPr>
          <w:b/>
          <w:lang w:eastAsia="zh-TW"/>
        </w:rPr>
        <w:t xml:space="preserve">General Strong and Weak points of the case studies </w:t>
      </w:r>
    </w:p>
    <w:p w:rsidR="00015D5C" w:rsidRPr="004D5D3A" w:rsidRDefault="001D216D" w:rsidP="00251B2A">
      <w:pPr>
        <w:spacing w:line="240" w:lineRule="auto"/>
      </w:pPr>
      <w:r>
        <w:t>T</w:t>
      </w:r>
      <w:r w:rsidR="00015D5C">
        <w:t xml:space="preserve">he cases were very heterogeneous, </w:t>
      </w:r>
      <w:r>
        <w:t>and thus</w:t>
      </w:r>
      <w:r w:rsidR="00015D5C">
        <w:t xml:space="preserve"> produce very different images of how Mapping and Assessment of Ecosystem and </w:t>
      </w:r>
      <w:r>
        <w:t>their Services ma</w:t>
      </w:r>
      <w:r w:rsidR="00015D5C">
        <w:t xml:space="preserve">y be executed, developed or possible in the (near) future. The </w:t>
      </w:r>
      <w:r w:rsidR="00015D5C" w:rsidRPr="001D216D">
        <w:rPr>
          <w:i/>
        </w:rPr>
        <w:t>a priori</w:t>
      </w:r>
      <w:r w:rsidR="00015D5C">
        <w:t xml:space="preserve"> classification used in the study is clearly confirmed in the results. The UK and </w:t>
      </w:r>
      <w:r w:rsidR="00015D5C">
        <w:lastRenderedPageBreak/>
        <w:t>Spanish studies provide much information on the process, as well as on content (see next 2 tables), the Belgian and Austrian cases show great potential, as the cases are recognised as potentially useful in achieving the EU obligations of the respective Member States. The Swiss studies have a highly developed approach at various scales and contribute to Swiss mapping efforts (parallel to MAES). Additionally, the developed GIS-based process models linking land cover and ecosystem services could be useful for a high quality EU-mapping.</w:t>
      </w:r>
      <w:r w:rsidR="00251B2A">
        <w:t xml:space="preserve"> The Balkan overview</w:t>
      </w:r>
      <w:r w:rsidR="00015D5C">
        <w:t xml:space="preserve"> illustrates, and confirms the information from the Ispra workshop in April 2012,  that there is much good ecological science, some relevant NGO supported cases, but very little systematic ecosystem services work. The Marine case is exploratory, but illustrate already that using data and analyses originally developed for Natura2000 purposes can be usefully applied in Ecosystem assessment.In some cases (e.g. Croatia) the mapping and assessment step was bypassed and PES arrangements were made directly (based on not completely clear potential benefits)</w:t>
      </w:r>
    </w:p>
    <w:p w:rsidR="00015D5C" w:rsidRPr="001677F6" w:rsidRDefault="00015D5C" w:rsidP="00622218">
      <w:pPr>
        <w:pStyle w:val="Paragraphedeliste"/>
        <w:numPr>
          <w:ilvl w:val="0"/>
          <w:numId w:val="28"/>
        </w:numPr>
        <w:autoSpaceDE w:val="0"/>
        <w:autoSpaceDN w:val="0"/>
        <w:adjustRightInd w:val="0"/>
        <w:spacing w:after="0" w:line="240" w:lineRule="auto"/>
        <w:ind w:left="567" w:hanging="567"/>
        <w:jc w:val="both"/>
        <w:rPr>
          <w:b/>
        </w:rPr>
      </w:pPr>
      <w:r w:rsidRPr="001677F6">
        <w:rPr>
          <w:b/>
        </w:rPr>
        <w:t xml:space="preserve">Science (mapping and assessment) aspects </w:t>
      </w:r>
    </w:p>
    <w:p w:rsidR="00015D5C" w:rsidRPr="003D62B5" w:rsidRDefault="00015D5C" w:rsidP="00251B2A">
      <w:pPr>
        <w:autoSpaceDE w:val="0"/>
        <w:autoSpaceDN w:val="0"/>
        <w:adjustRightInd w:val="0"/>
        <w:spacing w:after="0" w:line="240" w:lineRule="auto"/>
        <w:jc w:val="both"/>
      </w:pPr>
      <w:r w:rsidRPr="003D62B5">
        <w:t>Obviously</w:t>
      </w:r>
      <w:r w:rsidR="00751B0B" w:rsidRPr="003D62B5">
        <w:t xml:space="preserve"> for </w:t>
      </w:r>
      <w:r w:rsidR="00751B0B" w:rsidRPr="003D62B5">
        <w:rPr>
          <w:b/>
        </w:rPr>
        <w:t>mapping ecosystems</w:t>
      </w:r>
      <w:r w:rsidRPr="003D62B5">
        <w:t xml:space="preserve"> none of the Cases has used the classification presented in the MAES Analytical Framework. In some cases they are very similar to the MAES categories and easily translatable, but standardisation is necessary to be able to make use of EU datasets and cross-compare approaches. In some of the cases (Flanders and Wallonia) land use categories were used. The Marine case uses official Natura2000 habitats. The different classifications, in combination with different resolutions and indicators, makes a real cross comparison irrelevant.</w:t>
      </w:r>
    </w:p>
    <w:p w:rsidR="00015D5C" w:rsidRPr="003D62B5" w:rsidRDefault="00015D5C" w:rsidP="00751B0B">
      <w:pPr>
        <w:spacing w:line="240" w:lineRule="auto"/>
      </w:pPr>
      <w:r w:rsidRPr="003D62B5">
        <w:t xml:space="preserve">For </w:t>
      </w:r>
      <w:r w:rsidRPr="003D62B5">
        <w:rPr>
          <w:b/>
        </w:rPr>
        <w:t>Ecosystem Services</w:t>
      </w:r>
      <w:r w:rsidRPr="003D62B5">
        <w:t xml:space="preserve"> assessment many different frameworks are in use. To illustrate the </w:t>
      </w:r>
      <w:r w:rsidR="00BF79DB">
        <w:t xml:space="preserve"> d</w:t>
      </w:r>
      <w:r w:rsidRPr="003D62B5">
        <w:t xml:space="preserve">ifferences we developed a table which describes the ecosystem services per case compared to the TEEB and CICES classifications (copied from the MAES Framework). </w:t>
      </w:r>
      <w:r w:rsidR="00251B2A" w:rsidRPr="003D62B5">
        <w:t xml:space="preserve"> I</w:t>
      </w:r>
      <w:r w:rsidRPr="003D62B5">
        <w:t>n Spain the DPSIR</w:t>
      </w:r>
      <w:r w:rsidRPr="001677F6">
        <w:t>framework</w:t>
      </w:r>
      <w:r w:rsidRPr="003D62B5">
        <w:t xml:space="preserve">  was instrumental in combination with the Millennium Ecosystem Assessment Classification. The UK study (as part of the UK NEA) follows the MA but has its own selection of ecosystems and services. The TEEB classification has been the basis in Belgium and the Netherlands, with regional selections. The Swiss studies are using a classification by DeGroot in 2002, who later was influential in developing the TEEB classification, e.g. the introduction of the socalled Habitat Services.  In Flanders in the future (2014) CICES will be leading. </w:t>
      </w:r>
      <w:r w:rsidRPr="003D62B5">
        <w:rPr>
          <w:rFonts w:eastAsia="Times New Roman" w:cs="Calibri"/>
          <w:color w:val="000000"/>
          <w:lang w:eastAsia="de-AT"/>
        </w:rPr>
        <w:t>The regional cases, and many of the Balkan studies are regional, but also Belgium, Austria, some of the Swiss and the Dutch study report very restricted selections. It is not always clear to what extent a systematic analysis (e.g. checking potential or actual services in the region against the full list) was conducted. In developing a Guidance Document for use across the Member States, such a systematic approach must prevail, otherwise potentially economic relevant services can be missed and future trade-offs in land use planning will be skewed.</w:t>
      </w:r>
    </w:p>
    <w:p w:rsidR="00015D5C" w:rsidRPr="003D62B5" w:rsidRDefault="00751B0B" w:rsidP="008C613C">
      <w:pPr>
        <w:spacing w:line="240" w:lineRule="auto"/>
      </w:pPr>
      <w:r w:rsidRPr="003D62B5">
        <w:t xml:space="preserve">A quick scan of the </w:t>
      </w:r>
      <w:r w:rsidRPr="00BF79DB">
        <w:rPr>
          <w:b/>
        </w:rPr>
        <w:t>indicators</w:t>
      </w:r>
      <w:r w:rsidRPr="003D62B5">
        <w:t xml:space="preserve"> reportedin the cases</w:t>
      </w:r>
      <w:r w:rsidR="00015D5C" w:rsidRPr="003D62B5">
        <w:t xml:space="preserve"> show that there is not yet a systematic approach to selecting them. </w:t>
      </w:r>
      <w:r w:rsidRPr="003D62B5">
        <w:t>I</w:t>
      </w:r>
      <w:r w:rsidR="00015D5C" w:rsidRPr="003D62B5">
        <w:t xml:space="preserve">n the PRESS studies (Maes et al., 2011 and 2012) this was already observed. Some cases choose many indicators, </w:t>
      </w:r>
      <w:r w:rsidR="00015D5C" w:rsidRPr="004659CE">
        <w:rPr>
          <w:highlight w:val="yellow"/>
        </w:rPr>
        <w:t>without clarifying whether it is a stock or a flow indicator and how these reflect the particular service.</w:t>
      </w:r>
      <w:r w:rsidR="00015D5C" w:rsidRPr="003D62B5">
        <w:t xml:space="preserve"> Only the Swiss studies are systematic in their stock / flow distinction. The data availability is often leading in the choices, but not always explicitly. The use of biodiversity features as indicators for ecosystem services is very limited.The scope of the present study does not warrant a detailed analysis of the indicators issue. The JRC report (</w:t>
      </w:r>
      <w:r w:rsidR="008C613C" w:rsidRPr="003D62B5">
        <w:t>Egoh et al., 2011</w:t>
      </w:r>
      <w:r w:rsidR="00015D5C" w:rsidRPr="003D62B5">
        <w:t>) helps but it is only based on the published peer review literature. Many smartly chosen indicators (i.e. limited data needs, well reflecting the actual service flow) can be derived from EU and Country statistics, which (if accessible to MAES) can be a good source of harmonised description and quantification.</w:t>
      </w:r>
    </w:p>
    <w:p w:rsidR="003D62B5" w:rsidRPr="00D24F9C" w:rsidRDefault="00015D5C" w:rsidP="00D24F9C">
      <w:pPr>
        <w:spacing w:line="240" w:lineRule="auto"/>
        <w:rPr>
          <w:rFonts w:eastAsia="Times New Roman" w:cs="Calibri"/>
          <w:color w:val="000000"/>
          <w:lang w:eastAsia="de-AT"/>
        </w:rPr>
      </w:pPr>
      <w:r w:rsidRPr="003D62B5">
        <w:rPr>
          <w:rFonts w:eastAsia="Times New Roman" w:cs="Calibri"/>
          <w:color w:val="000000"/>
          <w:lang w:eastAsia="de-AT"/>
        </w:rPr>
        <w:t>Th</w:t>
      </w:r>
      <w:r w:rsidR="003D62B5" w:rsidRPr="003D62B5">
        <w:rPr>
          <w:rFonts w:eastAsia="Times New Roman" w:cs="Calibri"/>
          <w:color w:val="000000"/>
          <w:lang w:eastAsia="de-AT"/>
        </w:rPr>
        <w:t xml:space="preserve">e </w:t>
      </w:r>
      <w:r w:rsidR="003D62B5" w:rsidRPr="001677F6">
        <w:rPr>
          <w:b/>
        </w:rPr>
        <w:t>quantification methods of the indicators</w:t>
      </w:r>
      <w:r w:rsidRPr="003D62B5">
        <w:rPr>
          <w:rFonts w:eastAsia="Times New Roman" w:cs="Calibri"/>
          <w:color w:val="000000"/>
          <w:lang w:eastAsia="de-AT"/>
        </w:rPr>
        <w:t xml:space="preserve"> was done by all the suggested methods, and others, in the different cases. From monitoring data via simulation modelling, look-up tables  to expert judgement with base information, to Delphi methods, and questionnaires. Most of the studies using quantitative data (e.g. UK NEA) or models (Swiss cases)are generic and applicable to other case studies. The expert judgement approach, using Burkhard’s table (Burkhard et al., 2010)  as structure </w:t>
      </w:r>
      <w:r w:rsidRPr="003D62B5">
        <w:rPr>
          <w:rFonts w:eastAsia="Times New Roman" w:cs="Calibri"/>
          <w:color w:val="000000"/>
          <w:lang w:eastAsia="de-AT"/>
        </w:rPr>
        <w:lastRenderedPageBreak/>
        <w:t xml:space="preserve">and some basic information to guide the experts in assigning scores (e.g. 0-5 for low to high service delivery) was used in the quick analyses where monitoring data or field based statistics are rare or absent. </w:t>
      </w:r>
      <w:r w:rsidRPr="004659CE">
        <w:rPr>
          <w:rFonts w:eastAsia="Times New Roman" w:cs="Calibri"/>
          <w:color w:val="000000"/>
          <w:highlight w:val="yellow"/>
          <w:lang w:eastAsia="de-AT"/>
        </w:rPr>
        <w:t>These “quick scans” may offer a very good start, if the expert judgements are documented. The next step would then be to use data and models to check and complete the picture.</w:t>
      </w:r>
      <w:bookmarkStart w:id="0" w:name="_GoBack"/>
      <w:bookmarkEnd w:id="0"/>
      <w:r w:rsidR="001677F6">
        <w:rPr>
          <w:rFonts w:eastAsia="Times New Roman" w:cs="Calibri"/>
          <w:color w:val="000000"/>
          <w:lang w:eastAsia="de-AT"/>
        </w:rPr>
        <w:t xml:space="preserve">As to the use of </w:t>
      </w:r>
      <w:r w:rsidRPr="001677F6">
        <w:rPr>
          <w:b/>
        </w:rPr>
        <w:t>EU Directive reporting indicators &amp; data used (</w:t>
      </w:r>
      <w:r w:rsidRPr="001677F6">
        <w:rPr>
          <w:b/>
          <w:u w:val="single"/>
        </w:rPr>
        <w:t>with reference to Task 2</w:t>
      </w:r>
      <w:r w:rsidR="003D62B5" w:rsidRPr="001677F6">
        <w:rPr>
          <w:b/>
        </w:rPr>
        <w:t>)</w:t>
      </w:r>
      <w:r w:rsidR="001677F6" w:rsidRPr="001677F6">
        <w:rPr>
          <w:b/>
        </w:rPr>
        <w:t>:</w:t>
      </w:r>
      <w:r w:rsidRPr="001677F6">
        <w:t>This question</w:t>
      </w:r>
      <w:r w:rsidRPr="003D62B5">
        <w:t xml:space="preserve"> was not answered very well. Flanders, Austria and Spain were separately also working on the TASK 2 information collection</w:t>
      </w:r>
      <w:r w:rsidR="003D62B5" w:rsidRPr="003D62B5">
        <w:t xml:space="preserve"> (see below)</w:t>
      </w:r>
      <w:r w:rsidRPr="003D62B5">
        <w:t>.</w:t>
      </w:r>
    </w:p>
    <w:p w:rsidR="00015D5C" w:rsidRDefault="00015D5C" w:rsidP="00BF79DB">
      <w:pPr>
        <w:spacing w:after="0" w:line="240" w:lineRule="auto"/>
        <w:rPr>
          <w:lang w:eastAsia="zh-TW"/>
        </w:rPr>
      </w:pPr>
      <w:r w:rsidRPr="003D62B5">
        <w:rPr>
          <w:lang w:eastAsia="zh-TW"/>
        </w:rPr>
        <w:t xml:space="preserve">Across the set of cases, </w:t>
      </w:r>
      <w:r w:rsidR="00BF79DB" w:rsidRPr="001677F6">
        <w:rPr>
          <w:b/>
        </w:rPr>
        <w:t>s</w:t>
      </w:r>
      <w:r w:rsidR="003D62B5" w:rsidRPr="001677F6">
        <w:rPr>
          <w:b/>
        </w:rPr>
        <w:t xml:space="preserve">cientific analysis, e.g. representativeness of indicators for services and systems, </w:t>
      </w:r>
      <w:r w:rsidR="00BF79DB" w:rsidRPr="001677F6">
        <w:rPr>
          <w:b/>
        </w:rPr>
        <w:t xml:space="preserve">and </w:t>
      </w:r>
      <w:r w:rsidR="003D62B5" w:rsidRPr="001677F6">
        <w:rPr>
          <w:b/>
        </w:rPr>
        <w:t>uncertainty</w:t>
      </w:r>
      <w:r w:rsidRPr="003D62B5">
        <w:rPr>
          <w:lang w:eastAsia="zh-TW"/>
        </w:rPr>
        <w:t>was not a strong point. Only the Swiss report serious scientific and technical analysis of their assessments, but these were modelling studies.</w:t>
      </w:r>
      <w:r w:rsidRPr="003D62B5">
        <w:t xml:space="preserve"> Rigorous mapping is key at the EU level if the ES should be used for strategic purposes and can be done in a high-quality manner as discussed at the last ESP conference in Kiel.</w:t>
      </w:r>
      <w:r w:rsidRPr="003D62B5">
        <w:rPr>
          <w:lang w:eastAsia="zh-TW"/>
        </w:rPr>
        <w:t xml:space="preserve"> The applied science activities in the other cases were essentially not validated or screened.</w:t>
      </w:r>
      <w:r w:rsidRPr="003D62B5">
        <w:t xml:space="preserve">The maps are collected in ANNEX </w:t>
      </w:r>
      <w:r w:rsidR="00BF79DB">
        <w:t>2</w:t>
      </w:r>
      <w:r w:rsidRPr="003D62B5">
        <w:t xml:space="preserve">. </w:t>
      </w:r>
      <w:r w:rsidR="00BF79DB">
        <w:t>T</w:t>
      </w:r>
      <w:r w:rsidRPr="003D62B5">
        <w:t xml:space="preserve">he maps reflect choices between scientific representation of indicators and policy relevance at the level of </w:t>
      </w:r>
      <w:r w:rsidR="00BF79DB">
        <w:t>recognisable ecosystem services (see discussion below).</w:t>
      </w:r>
    </w:p>
    <w:p w:rsidR="00BF79DB" w:rsidRPr="00BE7F63" w:rsidRDefault="00BF79DB" w:rsidP="00BF79DB">
      <w:pPr>
        <w:spacing w:after="0" w:line="240" w:lineRule="auto"/>
        <w:rPr>
          <w:lang w:eastAsia="zh-TW"/>
        </w:rPr>
      </w:pPr>
    </w:p>
    <w:p w:rsidR="00015D5C" w:rsidRPr="001677F6" w:rsidRDefault="00015D5C" w:rsidP="001677F6">
      <w:pPr>
        <w:spacing w:after="0"/>
        <w:rPr>
          <w:b/>
          <w:lang w:eastAsia="zh-TW"/>
        </w:rPr>
      </w:pPr>
      <w:r w:rsidRPr="001677F6">
        <w:rPr>
          <w:b/>
          <w:lang w:eastAsia="zh-TW"/>
        </w:rPr>
        <w:t xml:space="preserve">General Strong and Weak points of the case studies </w:t>
      </w:r>
    </w:p>
    <w:p w:rsidR="00015D5C" w:rsidRPr="00BF79DB" w:rsidRDefault="00015D5C" w:rsidP="00BF79DB">
      <w:pPr>
        <w:pStyle w:val="Commentaire"/>
        <w:rPr>
          <w:sz w:val="22"/>
          <w:szCs w:val="22"/>
        </w:rPr>
      </w:pPr>
      <w:r w:rsidRPr="00CC283C">
        <w:rPr>
          <w:sz w:val="22"/>
          <w:szCs w:val="22"/>
        </w:rPr>
        <w:t xml:space="preserve">Discussions at the ESP conference in Kiel concluded that, while a </w:t>
      </w:r>
      <w:r w:rsidRPr="00D346BD">
        <w:rPr>
          <w:sz w:val="22"/>
          <w:szCs w:val="22"/>
          <w:highlight w:val="yellow"/>
        </w:rPr>
        <w:t>look-up table approach might be a good way in a data poor environment, it is very subjective and does not recognize all the knowledge available already in the countries</w:t>
      </w:r>
      <w:r w:rsidRPr="00CC283C">
        <w:rPr>
          <w:sz w:val="22"/>
          <w:szCs w:val="22"/>
        </w:rPr>
        <w:t xml:space="preserve"> linked to quantitative data, which they monitor regularly and thus can be used for long-term assessments. Here generic quantitative methods as suggested by the UK, </w:t>
      </w:r>
      <w:r w:rsidRPr="00BF79DB">
        <w:rPr>
          <w:sz w:val="22"/>
          <w:szCs w:val="22"/>
        </w:rPr>
        <w:t>Switzerland or Austria could be bundled to provide importance guidance on how to proceed. A Tier approach could be prepared.</w:t>
      </w:r>
      <w:r w:rsidRPr="00BF79DB">
        <w:rPr>
          <w:sz w:val="22"/>
          <w:szCs w:val="22"/>
          <w:lang w:eastAsia="zh-TW"/>
        </w:rPr>
        <w:t xml:space="preserve">The Strong points of the Burkhard based expert judgements are of course that they are relatively cheap and quick, with the weakness that they are not transparent, unless the experts clarify their judgements, and fail to recognize the large amount of data collected and monitored in the different countries which can be used for ecosystem services mapping. </w:t>
      </w:r>
      <w:r w:rsidRPr="00BF79DB">
        <w:rPr>
          <w:sz w:val="22"/>
          <w:szCs w:val="22"/>
        </w:rPr>
        <w:t xml:space="preserve">Weak across the Group 2 is that the studies reflect a </w:t>
      </w:r>
      <w:r w:rsidRPr="00D346BD">
        <w:rPr>
          <w:sz w:val="22"/>
          <w:szCs w:val="22"/>
          <w:highlight w:val="yellow"/>
        </w:rPr>
        <w:t>very diverse landscape of approaches, with lack of standards which makes scientific testing and comparability and matching with EU datasets very difficult.</w:t>
      </w:r>
    </w:p>
    <w:p w:rsidR="00015D5C" w:rsidRPr="004D5D3A" w:rsidRDefault="00015D5C" w:rsidP="00015D5C">
      <w:pPr>
        <w:autoSpaceDE w:val="0"/>
        <w:autoSpaceDN w:val="0"/>
        <w:adjustRightInd w:val="0"/>
        <w:spacing w:after="0" w:line="240" w:lineRule="auto"/>
        <w:jc w:val="both"/>
        <w:rPr>
          <w:b/>
        </w:rPr>
      </w:pPr>
    </w:p>
    <w:p w:rsidR="00015D5C" w:rsidRPr="001677F6" w:rsidRDefault="001677F6" w:rsidP="00622218">
      <w:pPr>
        <w:pStyle w:val="Paragraphedeliste"/>
        <w:numPr>
          <w:ilvl w:val="0"/>
          <w:numId w:val="28"/>
        </w:numPr>
        <w:autoSpaceDE w:val="0"/>
        <w:autoSpaceDN w:val="0"/>
        <w:adjustRightInd w:val="0"/>
        <w:spacing w:after="0" w:line="240" w:lineRule="auto"/>
        <w:ind w:left="567" w:hanging="567"/>
        <w:jc w:val="both"/>
        <w:rPr>
          <w:b/>
        </w:rPr>
      </w:pPr>
      <w:r w:rsidRPr="001677F6">
        <w:rPr>
          <w:b/>
        </w:rPr>
        <w:t xml:space="preserve">Technical </w:t>
      </w:r>
      <w:r w:rsidR="00015D5C" w:rsidRPr="001677F6">
        <w:rPr>
          <w:b/>
        </w:rPr>
        <w:t xml:space="preserve">aspects </w:t>
      </w:r>
    </w:p>
    <w:p w:rsidR="00015D5C" w:rsidRDefault="00015D5C" w:rsidP="00BF79DB">
      <w:pPr>
        <w:spacing w:after="0" w:line="240" w:lineRule="auto"/>
        <w:rPr>
          <w:lang w:eastAsia="zh-TW"/>
        </w:rPr>
      </w:pPr>
      <w:r w:rsidRPr="00B15B4A">
        <w:rPr>
          <w:highlight w:val="yellow"/>
          <w:lang w:eastAsia="zh-TW"/>
        </w:rPr>
        <w:t>All the countries (except the Balkan) use land cover/land use (LC/LU) maps as basis</w:t>
      </w:r>
      <w:r w:rsidRPr="009C171A">
        <w:rPr>
          <w:lang w:eastAsia="zh-TW"/>
        </w:rPr>
        <w:t xml:space="preserve"> for the mapping of ecosystems, combined with various and very different other spatially explicit data sources;some countries use CORINE (e.g. Spain) and others use their national datasets (Flanders, Wallonia, Austria, Switzerland); </w:t>
      </w:r>
      <w:r>
        <w:t xml:space="preserve">Some of the larger and quantitative data based studies employ soil and hydrology maps, geomorphology (for erosion info) vegetation and climatic data, and some </w:t>
      </w:r>
      <w:r w:rsidR="001677F6">
        <w:t>environmental condition (noise)</w:t>
      </w:r>
      <w:r>
        <w:t>. Very little response was generated by this question. Some aerial photography and in one of the Swiss modelling cases demographic data were mentioned.</w:t>
      </w:r>
      <w:r w:rsidRPr="00D346BD">
        <w:rPr>
          <w:highlight w:val="yellow"/>
          <w:lang w:eastAsia="zh-TW"/>
        </w:rPr>
        <w:t>There is large heterogeneity in the resolution and aggregation techniques used, as well as in the quality and type of datasets</w:t>
      </w:r>
      <w:r w:rsidR="00BF79DB">
        <w:rPr>
          <w:lang w:eastAsia="zh-TW"/>
        </w:rPr>
        <w:t xml:space="preserve">. </w:t>
      </w:r>
      <w:r w:rsidRPr="009C171A">
        <w:rPr>
          <w:lang w:eastAsia="zh-TW"/>
        </w:rPr>
        <w:t xml:space="preserve">ESRI ArcGIS (different versions) is used by all countries as standard GIS technology;There is very little information in </w:t>
      </w:r>
      <w:r>
        <w:rPr>
          <w:lang w:eastAsia="zh-TW"/>
        </w:rPr>
        <w:t>the fact-sheets about data analysis.</w:t>
      </w:r>
    </w:p>
    <w:p w:rsidR="00BF79DB" w:rsidRDefault="00BF79DB" w:rsidP="00015D5C">
      <w:pPr>
        <w:spacing w:after="0" w:line="240" w:lineRule="auto"/>
        <w:rPr>
          <w:b/>
          <w:lang w:eastAsia="zh-TW"/>
        </w:rPr>
      </w:pPr>
    </w:p>
    <w:p w:rsidR="00BF79DB" w:rsidRPr="001677F6" w:rsidRDefault="00015D5C" w:rsidP="00622218">
      <w:pPr>
        <w:pStyle w:val="Paragraphedeliste"/>
        <w:numPr>
          <w:ilvl w:val="0"/>
          <w:numId w:val="28"/>
        </w:numPr>
        <w:spacing w:after="0" w:line="240" w:lineRule="auto"/>
        <w:ind w:left="567" w:hanging="567"/>
        <w:rPr>
          <w:b/>
          <w:lang w:eastAsia="zh-TW"/>
        </w:rPr>
      </w:pPr>
      <w:r w:rsidRPr="001677F6">
        <w:rPr>
          <w:b/>
          <w:lang w:eastAsia="zh-TW"/>
        </w:rPr>
        <w:t xml:space="preserve">Mapping </w:t>
      </w:r>
      <w:r w:rsidR="00BF79DB" w:rsidRPr="001677F6">
        <w:rPr>
          <w:b/>
          <w:lang w:eastAsia="zh-TW"/>
        </w:rPr>
        <w:t>of Ecosystems</w:t>
      </w:r>
    </w:p>
    <w:p w:rsidR="00015D5C" w:rsidRPr="009C171A" w:rsidRDefault="00BF79DB" w:rsidP="00015D5C">
      <w:pPr>
        <w:spacing w:after="0" w:line="240" w:lineRule="auto"/>
        <w:rPr>
          <w:lang w:eastAsia="zh-TW"/>
        </w:rPr>
      </w:pPr>
      <w:r>
        <w:rPr>
          <w:lang w:eastAsia="zh-TW"/>
        </w:rPr>
        <w:t>T</w:t>
      </w:r>
      <w:r w:rsidR="00015D5C" w:rsidRPr="009C171A">
        <w:rPr>
          <w:lang w:eastAsia="zh-TW"/>
        </w:rPr>
        <w:t>he real methods and techniques per indicator are mostly not mentioned</w:t>
      </w:r>
      <w:r w:rsidR="00015D5C">
        <w:rPr>
          <w:lang w:eastAsia="zh-TW"/>
        </w:rPr>
        <w:t>, but in some cases available in the the background reports or publications</w:t>
      </w:r>
      <w:r w:rsidR="00015D5C" w:rsidRPr="009C171A">
        <w:rPr>
          <w:lang w:eastAsia="zh-TW"/>
        </w:rPr>
        <w:t xml:space="preserve">.On basis of the experts fact-sheets and </w:t>
      </w:r>
      <w:r w:rsidR="00015D5C">
        <w:rPr>
          <w:lang w:eastAsia="zh-TW"/>
        </w:rPr>
        <w:t>Alterra</w:t>
      </w:r>
      <w:r w:rsidR="00015D5C" w:rsidRPr="009C171A">
        <w:rPr>
          <w:lang w:eastAsia="zh-TW"/>
        </w:rPr>
        <w:t xml:space="preserve"> knowledge, the current status of Land Cover/Land Use (LC/LU) mapping at national level is:</w:t>
      </w:r>
    </w:p>
    <w:p w:rsidR="00015D5C" w:rsidRPr="009C171A" w:rsidRDefault="00015D5C" w:rsidP="00622218">
      <w:pPr>
        <w:numPr>
          <w:ilvl w:val="1"/>
          <w:numId w:val="26"/>
        </w:numPr>
        <w:spacing w:after="0" w:line="240" w:lineRule="auto"/>
        <w:ind w:left="851" w:hanging="567"/>
        <w:rPr>
          <w:lang w:eastAsia="zh-TW"/>
        </w:rPr>
      </w:pPr>
      <w:r w:rsidRPr="009C171A">
        <w:rPr>
          <w:lang w:eastAsia="zh-TW"/>
        </w:rPr>
        <w:t>Austria, Belgium (Brussels, Flanders and Wallonia), Finland, Germany, Norway, Portugal, Spain and Switzerland have more detailed LC/LU mapping than Corine Land Cover (CLC);</w:t>
      </w:r>
    </w:p>
    <w:p w:rsidR="00015D5C" w:rsidRPr="009C171A" w:rsidRDefault="00015D5C" w:rsidP="00622218">
      <w:pPr>
        <w:numPr>
          <w:ilvl w:val="1"/>
          <w:numId w:val="26"/>
        </w:numPr>
        <w:spacing w:after="0" w:line="240" w:lineRule="auto"/>
        <w:ind w:left="851" w:hanging="567"/>
        <w:rPr>
          <w:lang w:eastAsia="zh-TW"/>
        </w:rPr>
      </w:pPr>
      <w:r w:rsidRPr="009C171A">
        <w:rPr>
          <w:lang w:eastAsia="zh-TW"/>
        </w:rPr>
        <w:t>Other countries (like Hungary) have sometimes more detailed CLC mapping (level 4) than required for the European dataset (i.e. up to level 3).</w:t>
      </w:r>
    </w:p>
    <w:p w:rsidR="00BF79DB" w:rsidRDefault="00BF79DB" w:rsidP="00BF79DB">
      <w:pPr>
        <w:spacing w:after="0" w:line="240" w:lineRule="auto"/>
        <w:rPr>
          <w:b/>
          <w:lang w:eastAsia="en-GB"/>
        </w:rPr>
      </w:pPr>
    </w:p>
    <w:p w:rsidR="00015D5C" w:rsidRPr="00BF79DB" w:rsidRDefault="00D24F9C" w:rsidP="00BF79DB">
      <w:pPr>
        <w:spacing w:after="0" w:line="240" w:lineRule="auto"/>
        <w:rPr>
          <w:rFonts w:eastAsia="Times New Roman" w:cs="Arial"/>
          <w:b/>
          <w:bCs/>
          <w:i/>
          <w:lang w:eastAsia="en-GB"/>
        </w:rPr>
      </w:pPr>
      <w:r>
        <w:rPr>
          <w:b/>
          <w:lang w:eastAsia="en-GB"/>
        </w:rPr>
        <w:t>5.1</w:t>
      </w:r>
      <w:r>
        <w:rPr>
          <w:b/>
          <w:lang w:eastAsia="en-GB"/>
        </w:rPr>
        <w:tab/>
      </w:r>
      <w:r w:rsidR="00015D5C" w:rsidRPr="00BF79DB">
        <w:rPr>
          <w:b/>
          <w:lang w:eastAsia="en-GB"/>
        </w:rPr>
        <w:t xml:space="preserve">Compare with </w:t>
      </w:r>
      <w:r w:rsidR="00BF79DB">
        <w:rPr>
          <w:b/>
          <w:lang w:eastAsia="en-GB"/>
        </w:rPr>
        <w:t xml:space="preserve">Deliverables defined in the </w:t>
      </w:r>
      <w:r w:rsidR="00015D5C" w:rsidRPr="00BF79DB">
        <w:rPr>
          <w:b/>
          <w:lang w:eastAsia="en-GB"/>
        </w:rPr>
        <w:t>Contract</w:t>
      </w:r>
    </w:p>
    <w:p w:rsidR="00BF79DB" w:rsidRDefault="00BF79DB" w:rsidP="00BF79DB">
      <w:pPr>
        <w:spacing w:after="0" w:line="240" w:lineRule="auto"/>
        <w:rPr>
          <w:rFonts w:eastAsia="Times New Roman" w:cs="Arial"/>
          <w:b/>
          <w:bCs/>
          <w:i/>
          <w:lang w:eastAsia="en-GB"/>
        </w:rPr>
      </w:pPr>
      <w:r>
        <w:rPr>
          <w:lang w:eastAsia="en-GB"/>
        </w:rPr>
        <w:t>The coverage of ecosystems as specified in the contract</w:t>
      </w:r>
      <w:r w:rsidR="00015D5C" w:rsidRPr="00A220D8">
        <w:rPr>
          <w:lang w:eastAsia="en-GB"/>
        </w:rPr>
        <w:t xml:space="preserve"> ambition has been realised. The larger cases (UK and Spain) obviously cover many different ecosystems and in Belgium and Austria many systems are represented as well. The Swiss cases are much more ecosystem specific by design. Across the Balkan quite a number of ecosystems are addressed, but  described at a high level of aggregation (forest, grassland). The Marine case specifies several zones with the Natura 2000 Habitat terminology. </w:t>
      </w:r>
    </w:p>
    <w:p w:rsidR="00BF79DB" w:rsidRDefault="00BF79DB" w:rsidP="00BF79DB">
      <w:pPr>
        <w:spacing w:after="0" w:line="240" w:lineRule="auto"/>
        <w:rPr>
          <w:b/>
          <w:lang w:eastAsia="en-GB"/>
        </w:rPr>
      </w:pPr>
    </w:p>
    <w:p w:rsidR="00015D5C" w:rsidRPr="00BF79DB" w:rsidRDefault="00D24F9C" w:rsidP="00BF79DB">
      <w:pPr>
        <w:spacing w:after="0" w:line="240" w:lineRule="auto"/>
        <w:rPr>
          <w:rFonts w:eastAsia="Times New Roman" w:cs="Arial"/>
          <w:b/>
          <w:bCs/>
          <w:i/>
          <w:lang w:eastAsia="en-GB"/>
        </w:rPr>
      </w:pPr>
      <w:r>
        <w:rPr>
          <w:b/>
          <w:lang w:eastAsia="en-GB"/>
        </w:rPr>
        <w:t>5.2</w:t>
      </w:r>
      <w:r>
        <w:rPr>
          <w:b/>
          <w:lang w:eastAsia="en-GB"/>
        </w:rPr>
        <w:tab/>
      </w:r>
      <w:r w:rsidR="00015D5C" w:rsidRPr="00BF79DB">
        <w:rPr>
          <w:b/>
          <w:lang w:eastAsia="en-GB"/>
        </w:rPr>
        <w:t>Compare with the Analytical Fr</w:t>
      </w:r>
      <w:r w:rsidR="00BF79DB">
        <w:rPr>
          <w:b/>
          <w:lang w:eastAsia="en-GB"/>
        </w:rPr>
        <w:t>amework Typology of Ecosystems (Maes et al., 2013)</w:t>
      </w:r>
    </w:p>
    <w:p w:rsidR="00BF79DB" w:rsidRDefault="00015D5C" w:rsidP="00BF79DB">
      <w:pPr>
        <w:spacing w:line="240" w:lineRule="auto"/>
        <w:rPr>
          <w:rFonts w:eastAsia="Times New Roman" w:cs="Arial"/>
          <w:b/>
          <w:bCs/>
          <w:i/>
          <w:lang w:eastAsia="en-GB"/>
        </w:rPr>
      </w:pPr>
      <w:r w:rsidRPr="00BF79DB">
        <w:rPr>
          <w:rFonts w:eastAsia="Times New Roman" w:cs="Arial"/>
          <w:bCs/>
          <w:lang w:eastAsia="en-GB"/>
        </w:rPr>
        <w:t>Many of the ecosystem types in the MAES framework typology are represented across the case studies. This allows us in developing the Guidance document to use the experience of the various cases for these types of ecosystems. A problem is that the names of the ecosystems are not derived from the typology (not surprising given the timing of the various cases versus MAES) and therefore an interpretation shall be necessary (and checked with the original Case study implementors), to match the various descriptions. In the Belgian cases the land use categories that were used have been allocated to the Pilot categories (across the horizontal axis of the table)</w:t>
      </w:r>
    </w:p>
    <w:p w:rsidR="00015D5C" w:rsidRPr="00BF79DB" w:rsidRDefault="00D24F9C" w:rsidP="00BF79DB">
      <w:pPr>
        <w:spacing w:after="0" w:line="240" w:lineRule="auto"/>
        <w:rPr>
          <w:rFonts w:eastAsia="Times New Roman" w:cs="Arial"/>
          <w:b/>
          <w:bCs/>
          <w:i/>
          <w:lang w:eastAsia="en-GB"/>
        </w:rPr>
      </w:pPr>
      <w:r>
        <w:rPr>
          <w:b/>
          <w:lang w:eastAsia="en-GB"/>
        </w:rPr>
        <w:t>5.3</w:t>
      </w:r>
      <w:r>
        <w:rPr>
          <w:b/>
          <w:lang w:eastAsia="en-GB"/>
        </w:rPr>
        <w:tab/>
      </w:r>
      <w:r w:rsidR="00015D5C" w:rsidRPr="00BF79DB">
        <w:rPr>
          <w:b/>
          <w:lang w:eastAsia="en-GB"/>
        </w:rPr>
        <w:t>Compare with Thematic EU Pilot studies:</w:t>
      </w:r>
    </w:p>
    <w:p w:rsidR="00015D5C" w:rsidRPr="00BF79DB" w:rsidRDefault="00015D5C" w:rsidP="00BF79DB">
      <w:pPr>
        <w:spacing w:after="0" w:line="240" w:lineRule="auto"/>
        <w:rPr>
          <w:rFonts w:eastAsia="Times New Roman" w:cs="Arial"/>
          <w:bCs/>
          <w:lang w:eastAsia="en-GB"/>
        </w:rPr>
      </w:pPr>
      <w:r w:rsidRPr="00BF79DB">
        <w:rPr>
          <w:rFonts w:eastAsia="Times New Roman" w:cs="Arial"/>
          <w:bCs/>
          <w:lang w:eastAsia="en-GB"/>
        </w:rPr>
        <w:t xml:space="preserve">The Ecosystem based Pilots are very well represented across the set of Country Cases. Even the Marine Ecosystem is addressed in more than the specific Dutch case. This means at least that the background material of the Country Cases (to begin with: the Fact Sheets) can be relevant to the Pilot study groups. </w:t>
      </w:r>
    </w:p>
    <w:p w:rsidR="00BF79DB" w:rsidRDefault="00BF79DB" w:rsidP="00BF79DB">
      <w:pPr>
        <w:spacing w:after="0" w:line="240" w:lineRule="auto"/>
        <w:rPr>
          <w:b/>
          <w:lang w:eastAsia="en-GB"/>
        </w:rPr>
      </w:pPr>
    </w:p>
    <w:p w:rsidR="00015D5C" w:rsidRPr="00BF79DB" w:rsidRDefault="00D24F9C" w:rsidP="00BF79DB">
      <w:pPr>
        <w:spacing w:after="0" w:line="240" w:lineRule="auto"/>
        <w:rPr>
          <w:rFonts w:eastAsia="Times New Roman" w:cs="Arial"/>
          <w:b/>
          <w:bCs/>
          <w:i/>
          <w:lang w:eastAsia="en-GB"/>
        </w:rPr>
      </w:pPr>
      <w:r w:rsidRPr="00B15B4A">
        <w:rPr>
          <w:b/>
          <w:highlight w:val="yellow"/>
          <w:lang w:eastAsia="en-GB"/>
        </w:rPr>
        <w:t xml:space="preserve">5.4 </w:t>
      </w:r>
      <w:r w:rsidRPr="00B15B4A">
        <w:rPr>
          <w:b/>
          <w:highlight w:val="yellow"/>
          <w:lang w:eastAsia="en-GB"/>
        </w:rPr>
        <w:tab/>
      </w:r>
      <w:r w:rsidR="00015D5C" w:rsidRPr="00B15B4A">
        <w:rPr>
          <w:b/>
          <w:highlight w:val="yellow"/>
          <w:lang w:eastAsia="en-GB"/>
        </w:rPr>
        <w:t>Land Use versus Ecosystems and Habitats</w:t>
      </w:r>
    </w:p>
    <w:p w:rsidR="00015D5C" w:rsidRPr="00BF79DB" w:rsidRDefault="00015D5C" w:rsidP="00BF79DB">
      <w:pPr>
        <w:spacing w:line="240" w:lineRule="auto"/>
        <w:rPr>
          <w:rFonts w:eastAsia="Times New Roman" w:cs="Arial"/>
          <w:bCs/>
          <w:lang w:eastAsia="en-GB"/>
        </w:rPr>
      </w:pPr>
      <w:r w:rsidRPr="00BF79DB">
        <w:rPr>
          <w:rFonts w:eastAsia="Times New Roman" w:cs="Arial"/>
          <w:bCs/>
          <w:lang w:eastAsia="en-GB"/>
        </w:rPr>
        <w:t>It is very attractive for a mapping activity to start with the land use and land cover maps (GIS databases) at National and EU level. In the Action 5 activities, the Member States that have Corine based or Corine compatible National systems have an advantage. However, a systematic translation between the LU/LC units and ecosystems is necessary. The obvious case is that LU/:C units may (and generally do) include different ecosystems, the definition of which must be very clear. At the same time, many land use classes are in fact describing the “major” ecosystem service, while other services provided by that area may not be recognised immediately, if the land use name is used for ecosystem services mapping. For example, cropland produces food, but also (through its underground ecosystem) carbon storage, nutrient cycling, water filtration and is the habitat for birds, and an aspect of the landscape with a number of cultural services.</w:t>
      </w:r>
    </w:p>
    <w:p w:rsidR="00015D5C" w:rsidRPr="00BF79DB" w:rsidRDefault="0060463E" w:rsidP="00BF79DB">
      <w:pPr>
        <w:pStyle w:val="Paragraphedeliste"/>
        <w:spacing w:after="0" w:line="240" w:lineRule="auto"/>
        <w:ind w:left="0"/>
        <w:rPr>
          <w:b/>
          <w:lang w:eastAsia="en-GB"/>
        </w:rPr>
      </w:pPr>
      <w:r>
        <w:rPr>
          <w:b/>
          <w:lang w:eastAsia="en-GB"/>
        </w:rPr>
        <w:t>Conclusion</w:t>
      </w:r>
    </w:p>
    <w:p w:rsidR="00015D5C" w:rsidRDefault="00015D5C" w:rsidP="00BF79DB">
      <w:pPr>
        <w:spacing w:after="0" w:line="240" w:lineRule="auto"/>
        <w:rPr>
          <w:lang w:eastAsia="en-GB"/>
        </w:rPr>
      </w:pPr>
      <w:r w:rsidRPr="00A220D8">
        <w:rPr>
          <w:lang w:eastAsia="en-GB"/>
        </w:rPr>
        <w:t>With the Country Cases ecosystems as described in the Fact Sheets, a useful body of material is available but to make it ready for use in developing the Guidance Document, some interpretations towards the MAES typology are required</w:t>
      </w:r>
      <w:r w:rsidR="00BF79DB">
        <w:rPr>
          <w:lang w:eastAsia="en-GB"/>
        </w:rPr>
        <w:t>.</w:t>
      </w:r>
    </w:p>
    <w:p w:rsidR="00BF79DB" w:rsidRDefault="00BF79DB" w:rsidP="00BF79DB">
      <w:pPr>
        <w:spacing w:after="0" w:line="240" w:lineRule="auto"/>
        <w:rPr>
          <w:lang w:eastAsia="en-GB"/>
        </w:rPr>
      </w:pPr>
    </w:p>
    <w:p w:rsidR="00D24F9C" w:rsidRPr="00D24F9C" w:rsidRDefault="00D24F9C" w:rsidP="00622218">
      <w:pPr>
        <w:pStyle w:val="Paragraphedeliste"/>
        <w:numPr>
          <w:ilvl w:val="0"/>
          <w:numId w:val="28"/>
        </w:numPr>
        <w:spacing w:after="0" w:line="240" w:lineRule="auto"/>
        <w:ind w:hanging="720"/>
        <w:rPr>
          <w:b/>
          <w:lang w:eastAsia="en-GB"/>
        </w:rPr>
      </w:pPr>
      <w:r w:rsidRPr="00D24F9C">
        <w:rPr>
          <w:b/>
          <w:lang w:eastAsia="en-GB"/>
        </w:rPr>
        <w:t>Mapping of Ecosystem Services</w:t>
      </w:r>
    </w:p>
    <w:p w:rsidR="00D24F9C" w:rsidRDefault="00D24F9C" w:rsidP="00D24F9C">
      <w:pPr>
        <w:pStyle w:val="Paragraphedeliste"/>
        <w:spacing w:after="0" w:line="240" w:lineRule="auto"/>
        <w:rPr>
          <w:lang w:eastAsia="en-GB"/>
        </w:rPr>
      </w:pPr>
    </w:p>
    <w:p w:rsidR="00D24F9C" w:rsidRPr="00D24F9C" w:rsidRDefault="00015D5C" w:rsidP="00622218">
      <w:pPr>
        <w:pStyle w:val="Paragraphedeliste"/>
        <w:numPr>
          <w:ilvl w:val="1"/>
          <w:numId w:val="28"/>
        </w:numPr>
        <w:spacing w:after="0" w:line="240" w:lineRule="auto"/>
        <w:ind w:hanging="720"/>
        <w:rPr>
          <w:b/>
          <w:lang w:eastAsia="en-GB"/>
        </w:rPr>
      </w:pPr>
      <w:r w:rsidRPr="00D24F9C">
        <w:rPr>
          <w:b/>
          <w:lang w:eastAsia="en-GB"/>
        </w:rPr>
        <w:t>Use of reference classifications versus national, regional, local classifications</w:t>
      </w:r>
    </w:p>
    <w:p w:rsidR="00D24F9C" w:rsidRDefault="00D24F9C" w:rsidP="00D24F9C">
      <w:pPr>
        <w:spacing w:line="240" w:lineRule="auto"/>
        <w:rPr>
          <w:lang w:eastAsia="en-GB"/>
        </w:rPr>
      </w:pPr>
      <w:r>
        <w:rPr>
          <w:lang w:eastAsia="en-GB"/>
        </w:rPr>
        <w:t>T</w:t>
      </w:r>
      <w:r w:rsidR="00015D5C">
        <w:rPr>
          <w:lang w:eastAsia="en-GB"/>
        </w:rPr>
        <w:t xml:space="preserve">he two Reference Classifications (TEEB, since 2010, and CICES, since 2012) are not systematically used. This is not strange as the cases have starting dates from before 2010 to very recent (the Flanders case). Many of the studies “borrow” ecosystem services types from the TEEB classification, that may or may not coincide with the CICES classes.  We have allocated the actual service mentions in the Fact Sheet as well as possible to the TEEB and / or CICES type. This worked rather well, as most of the selected and defined ecosystem services were named and described quite clearly. </w:t>
      </w:r>
    </w:p>
    <w:p w:rsidR="00015D5C" w:rsidRPr="0060463E" w:rsidRDefault="00D24F9C" w:rsidP="00D24F9C">
      <w:pPr>
        <w:spacing w:after="0" w:line="240" w:lineRule="auto"/>
        <w:rPr>
          <w:b/>
          <w:lang w:eastAsia="en-GB"/>
        </w:rPr>
      </w:pPr>
      <w:r w:rsidRPr="0060463E">
        <w:rPr>
          <w:b/>
          <w:lang w:eastAsia="en-GB"/>
        </w:rPr>
        <w:t>6.2</w:t>
      </w:r>
      <w:r w:rsidRPr="0060463E">
        <w:rPr>
          <w:b/>
          <w:lang w:eastAsia="en-GB"/>
        </w:rPr>
        <w:tab/>
      </w:r>
      <w:r w:rsidR="00015D5C" w:rsidRPr="0060463E">
        <w:rPr>
          <w:b/>
          <w:lang w:eastAsia="en-GB"/>
        </w:rPr>
        <w:t>Effective use of distinguished types of ecosystem services in TEEB and CICES across cases</w:t>
      </w:r>
    </w:p>
    <w:p w:rsidR="00015D5C" w:rsidRDefault="00015D5C" w:rsidP="00015D5C">
      <w:pPr>
        <w:spacing w:after="0" w:line="240" w:lineRule="auto"/>
        <w:rPr>
          <w:lang w:eastAsia="en-GB"/>
        </w:rPr>
      </w:pPr>
      <w:r>
        <w:rPr>
          <w:lang w:eastAsia="en-GB"/>
        </w:rPr>
        <w:lastRenderedPageBreak/>
        <w:t xml:space="preserve">The number of instances where the case study ecosystem service actually used the same name or definition as one of the TEEB or CICES classes is limited, and in fact for the CICES class this is very low. Again CICES is rather new, but it shows at least that the names are not matching the world of the case study researchers. And, more to the point, they are generally closer to the concept than the stakeholders which were so prominent in most of the case studies. </w:t>
      </w:r>
    </w:p>
    <w:p w:rsidR="00015D5C" w:rsidRDefault="00015D5C" w:rsidP="00015D5C">
      <w:pPr>
        <w:spacing w:after="0" w:line="240" w:lineRule="auto"/>
        <w:rPr>
          <w:lang w:eastAsia="en-GB"/>
        </w:rPr>
      </w:pPr>
    </w:p>
    <w:p w:rsidR="00015D5C" w:rsidRPr="00EB7645" w:rsidRDefault="00015D5C" w:rsidP="00622218">
      <w:pPr>
        <w:pStyle w:val="Paragraphedeliste"/>
        <w:numPr>
          <w:ilvl w:val="1"/>
          <w:numId w:val="29"/>
        </w:numPr>
        <w:spacing w:after="0" w:line="240" w:lineRule="auto"/>
        <w:ind w:left="709" w:hanging="709"/>
        <w:rPr>
          <w:b/>
          <w:lang w:eastAsia="en-GB"/>
        </w:rPr>
      </w:pPr>
      <w:r w:rsidRPr="00EB7645">
        <w:rPr>
          <w:b/>
          <w:lang w:eastAsia="en-GB"/>
        </w:rPr>
        <w:t>observations on focus of case studies and selection of services</w:t>
      </w:r>
    </w:p>
    <w:p w:rsidR="00015D5C" w:rsidRDefault="00015D5C" w:rsidP="00015D5C">
      <w:pPr>
        <w:spacing w:after="0" w:line="240" w:lineRule="auto"/>
        <w:rPr>
          <w:lang w:eastAsia="en-GB"/>
        </w:rPr>
      </w:pPr>
      <w:r>
        <w:rPr>
          <w:lang w:eastAsia="en-GB"/>
        </w:rPr>
        <w:t>With the selection of Country cases, ranging from National to local and one global model study, it is not surprising that the selections reflect the regions and countries. The usefulness of a good classification system is of course that it is universal across scales and geography. In this respect both TEEB and CICES work rather well. Only in a few of the case studies ecosystem services were defined which did not immediately fit the system. For example, the role of nature in producing healthier people was mentioned as a service. It is a methodological issue whether health is defined as an ecosystem service or a benefit resulting from a complex of services (purifying air, calming colour information etc.). We prefer to see it as a benefit.The CICES classification has a (very last) category which suffers from a similar  debate on the difference of what an ecosystems service is, and what economists call values (existence, bequest). If anything,  the mere existence (and its continuation which is minimally required for a bequest) of ecosystems points at a multitude of potential services. So it should not be in one slot only.</w:t>
      </w:r>
    </w:p>
    <w:p w:rsidR="00015D5C" w:rsidRDefault="00015D5C" w:rsidP="00015D5C">
      <w:pPr>
        <w:spacing w:after="0" w:line="240" w:lineRule="auto"/>
        <w:rPr>
          <w:lang w:eastAsia="en-GB"/>
        </w:rPr>
      </w:pPr>
    </w:p>
    <w:p w:rsidR="00015D5C" w:rsidRPr="00564FF5" w:rsidRDefault="00015D5C" w:rsidP="00622218">
      <w:pPr>
        <w:pStyle w:val="Paragraphedeliste"/>
        <w:numPr>
          <w:ilvl w:val="1"/>
          <w:numId w:val="29"/>
        </w:numPr>
        <w:spacing w:after="0" w:line="240" w:lineRule="auto"/>
        <w:ind w:left="567" w:hanging="567"/>
        <w:rPr>
          <w:b/>
          <w:lang w:eastAsia="en-GB"/>
        </w:rPr>
      </w:pPr>
      <w:r w:rsidRPr="00564FF5">
        <w:rPr>
          <w:b/>
          <w:lang w:eastAsia="en-GB"/>
        </w:rPr>
        <w:t xml:space="preserve">Differences between </w:t>
      </w:r>
      <w:r>
        <w:rPr>
          <w:b/>
          <w:lang w:eastAsia="en-GB"/>
        </w:rPr>
        <w:t xml:space="preserve">Class 1 and the other </w:t>
      </w:r>
      <w:r w:rsidRPr="00564FF5">
        <w:rPr>
          <w:b/>
          <w:lang w:eastAsia="en-GB"/>
        </w:rPr>
        <w:t>cases (</w:t>
      </w:r>
      <w:r w:rsidR="0060463E">
        <w:rPr>
          <w:b/>
          <w:lang w:eastAsia="en-GB"/>
        </w:rPr>
        <w:t>see Task 1 methodology section</w:t>
      </w:r>
      <w:r w:rsidRPr="00564FF5">
        <w:rPr>
          <w:b/>
          <w:lang w:eastAsia="en-GB"/>
        </w:rPr>
        <w:t xml:space="preserve"> )</w:t>
      </w:r>
    </w:p>
    <w:p w:rsidR="00015D5C" w:rsidRDefault="00015D5C" w:rsidP="007B0A87">
      <w:pPr>
        <w:spacing w:after="0" w:line="240" w:lineRule="auto"/>
        <w:rPr>
          <w:lang w:eastAsia="en-GB"/>
        </w:rPr>
      </w:pPr>
      <w:r w:rsidRPr="00383F7F">
        <w:rPr>
          <w:lang w:eastAsia="en-GB"/>
        </w:rPr>
        <w:t xml:space="preserve">The 2 Class 1 cases (UK / Wales and Spain) illustrate that a wide range of ecosystem services are likely to be mapped in the Action 5 Member State projects. The Class 2 and 3.1  and 4 cases are all regional cases (except for the Global model by the Swiss), which have a much narrower selection. Together the  Country Case studies  give a nice range of ecosystems (see previous section) and services to use as examples in developing the Guidance document. </w:t>
      </w:r>
    </w:p>
    <w:p w:rsidR="007B0A87" w:rsidRDefault="007B0A87" w:rsidP="007B0A87">
      <w:pPr>
        <w:spacing w:after="0" w:line="240" w:lineRule="auto"/>
        <w:rPr>
          <w:lang w:eastAsia="en-GB"/>
        </w:rPr>
      </w:pPr>
    </w:p>
    <w:p w:rsidR="00015D5C" w:rsidRPr="007B0A87" w:rsidRDefault="00015D5C" w:rsidP="00622218">
      <w:pPr>
        <w:pStyle w:val="Paragraphedeliste"/>
        <w:numPr>
          <w:ilvl w:val="1"/>
          <w:numId w:val="29"/>
        </w:numPr>
        <w:spacing w:after="0" w:line="240" w:lineRule="auto"/>
        <w:ind w:left="567" w:hanging="567"/>
        <w:rPr>
          <w:b/>
          <w:lang w:eastAsia="en-GB"/>
        </w:rPr>
      </w:pPr>
      <w:r w:rsidRPr="007B0A87">
        <w:rPr>
          <w:b/>
          <w:lang w:eastAsia="en-GB"/>
        </w:rPr>
        <w:t>The Balkan</w:t>
      </w:r>
    </w:p>
    <w:p w:rsidR="00015D5C" w:rsidRPr="00D6484B" w:rsidRDefault="00015D5C" w:rsidP="00015D5C">
      <w:pPr>
        <w:spacing w:line="240" w:lineRule="auto"/>
        <w:rPr>
          <w:lang w:eastAsia="en-GB"/>
        </w:rPr>
      </w:pPr>
      <w:r>
        <w:rPr>
          <w:lang w:eastAsia="en-GB"/>
        </w:rPr>
        <w:t>In surveying the Balkan countries, a number of mostly regional (sub-national) cases were identified, with mostly one or a few ecosystem services as subject, even when the study did not always involve actual assessment of the service. The presentations at the Ispra workshop in 2012 showed that there is a lot of mapping of basic ecological and environmental features in these countries. This can be developed into ecosystem and services mapping rather easy, if land use and land cover information becomes available as well.</w:t>
      </w:r>
    </w:p>
    <w:p w:rsidR="005D1B76" w:rsidRPr="005D1B76" w:rsidRDefault="00015D5C" w:rsidP="00622218">
      <w:pPr>
        <w:pStyle w:val="Paragraphedeliste"/>
        <w:numPr>
          <w:ilvl w:val="1"/>
          <w:numId w:val="29"/>
        </w:numPr>
        <w:spacing w:after="0" w:line="240" w:lineRule="auto"/>
        <w:ind w:left="567" w:hanging="567"/>
        <w:rPr>
          <w:b/>
          <w:lang w:eastAsia="en-GB"/>
        </w:rPr>
      </w:pPr>
      <w:r w:rsidRPr="005D1B76">
        <w:rPr>
          <w:b/>
          <w:lang w:eastAsia="en-GB"/>
        </w:rPr>
        <w:t>The Marine case</w:t>
      </w:r>
    </w:p>
    <w:p w:rsidR="005D1B76" w:rsidRDefault="00015D5C" w:rsidP="005D1B76">
      <w:pPr>
        <w:spacing w:after="0" w:line="240" w:lineRule="auto"/>
        <w:rPr>
          <w:rStyle w:val="Titre6Car"/>
          <w:rFonts w:asciiTheme="minorHAnsi" w:eastAsiaTheme="majorEastAsia" w:hAnsiTheme="minorHAnsi"/>
          <w:b w:val="0"/>
          <w:sz w:val="22"/>
        </w:rPr>
      </w:pPr>
      <w:r w:rsidRPr="005D1B76">
        <w:rPr>
          <w:rStyle w:val="Titre6Car"/>
          <w:rFonts w:asciiTheme="minorHAnsi" w:eastAsiaTheme="majorEastAsia" w:hAnsiTheme="minorHAnsi"/>
          <w:b w:val="0"/>
          <w:sz w:val="22"/>
        </w:rPr>
        <w:t>The Marine case was added to explore the challenges of mapping the marine ecosystems and their services. This is a rapidly developing field, and in fact the presentation at the Workshop, which focused on the “sea use” (North Sea and Waddensea areas of the Netherlands) showed that a lot of maps are available  which remind one of the Corine LU/LC maps. The local case illustrates how on a small scale still a number of  different ecosystem services may be of importance to the various stakeholders.</w:t>
      </w:r>
    </w:p>
    <w:p w:rsidR="005D1B76" w:rsidRDefault="005D1B76" w:rsidP="005D1B76">
      <w:pPr>
        <w:spacing w:after="0" w:line="240" w:lineRule="auto"/>
        <w:rPr>
          <w:rStyle w:val="Titre6Car"/>
          <w:rFonts w:asciiTheme="minorHAnsi" w:eastAsiaTheme="majorEastAsia" w:hAnsiTheme="minorHAnsi"/>
          <w:b w:val="0"/>
          <w:sz w:val="22"/>
        </w:rPr>
      </w:pPr>
    </w:p>
    <w:p w:rsidR="00015D5C" w:rsidRPr="005D1B76" w:rsidRDefault="00015D5C" w:rsidP="00622218">
      <w:pPr>
        <w:pStyle w:val="Paragraphedeliste"/>
        <w:numPr>
          <w:ilvl w:val="0"/>
          <w:numId w:val="28"/>
        </w:numPr>
        <w:spacing w:after="0" w:line="240" w:lineRule="auto"/>
        <w:ind w:hanging="720"/>
        <w:rPr>
          <w:b/>
          <w:lang w:eastAsia="en-GB"/>
        </w:rPr>
      </w:pPr>
      <w:r w:rsidRPr="005D1B76">
        <w:rPr>
          <w:b/>
          <w:lang w:eastAsia="en-GB"/>
        </w:rPr>
        <w:t>Comparative analysis of mapping approaches</w:t>
      </w:r>
    </w:p>
    <w:p w:rsidR="00015D5C" w:rsidRDefault="005D1B76" w:rsidP="005D1B76">
      <w:pPr>
        <w:spacing w:line="240" w:lineRule="auto"/>
        <w:rPr>
          <w:lang w:eastAsia="en-GB"/>
        </w:rPr>
      </w:pPr>
      <w:r>
        <w:rPr>
          <w:lang w:eastAsia="en-GB"/>
        </w:rPr>
        <w:t xml:space="preserve">With reference to the example maps in ANNEX 2 we briefly review mapping approaches. </w:t>
      </w:r>
      <w:r w:rsidR="00015D5C">
        <w:rPr>
          <w:lang w:eastAsia="en-GB"/>
        </w:rPr>
        <w:t>It is not intended to rank approached from good to bad but to show what type of maps can be produced with different methodologies.  Interpretation is in all cases a necessary but risky activity, and background information is necessary to make informed assessments.</w:t>
      </w:r>
    </w:p>
    <w:p w:rsidR="005462E9" w:rsidRPr="005462E9" w:rsidRDefault="005462E9" w:rsidP="005D1B76">
      <w:pPr>
        <w:spacing w:line="240" w:lineRule="auto"/>
        <w:rPr>
          <w:b/>
          <w:lang w:eastAsia="en-GB"/>
        </w:rPr>
      </w:pPr>
      <w:r>
        <w:rPr>
          <w:b/>
          <w:lang w:eastAsia="en-GB"/>
        </w:rPr>
        <w:t>7.1</w:t>
      </w:r>
      <w:r>
        <w:rPr>
          <w:b/>
          <w:lang w:eastAsia="en-GB"/>
        </w:rPr>
        <w:tab/>
      </w:r>
      <w:r w:rsidRPr="005462E9">
        <w:rPr>
          <w:b/>
          <w:lang w:eastAsia="en-GB"/>
        </w:rPr>
        <w:t>Ecosystems</w:t>
      </w:r>
    </w:p>
    <w:p w:rsidR="00511CA0" w:rsidRPr="00511CA0" w:rsidRDefault="00511CA0" w:rsidP="00622218">
      <w:pPr>
        <w:pStyle w:val="Paragraphedeliste"/>
        <w:numPr>
          <w:ilvl w:val="0"/>
          <w:numId w:val="30"/>
        </w:numPr>
        <w:spacing w:after="0" w:line="240" w:lineRule="auto"/>
        <w:rPr>
          <w:b/>
          <w:bCs/>
          <w:lang w:eastAsia="en-GB"/>
        </w:rPr>
      </w:pPr>
      <w:r w:rsidRPr="00511CA0">
        <w:rPr>
          <w:bCs/>
          <w:lang w:eastAsia="en-GB"/>
        </w:rPr>
        <w:lastRenderedPageBreak/>
        <w:t>An</w:t>
      </w:r>
      <w:r w:rsidR="00015D5C" w:rsidRPr="00511CA0">
        <w:rPr>
          <w:bCs/>
          <w:lang w:eastAsia="en-GB"/>
        </w:rPr>
        <w:t xml:space="preserve"> example map of Wales illustrates a highly aggregate</w:t>
      </w:r>
      <w:r w:rsidR="0060463E">
        <w:rPr>
          <w:bCs/>
          <w:lang w:eastAsia="en-GB"/>
        </w:rPr>
        <w:t>d</w:t>
      </w:r>
      <w:r w:rsidR="00015D5C" w:rsidRPr="00511CA0">
        <w:rPr>
          <w:bCs/>
          <w:lang w:eastAsia="en-GB"/>
        </w:rPr>
        <w:t xml:space="preserve"> Ecosystems map. It depicts the location of a range of recognisable landscapes </w:t>
      </w:r>
      <w:r w:rsidR="0060463E">
        <w:rPr>
          <w:bCs/>
          <w:lang w:eastAsia="en-GB"/>
        </w:rPr>
        <w:t>and/or</w:t>
      </w:r>
      <w:r w:rsidR="00015D5C" w:rsidRPr="00511CA0">
        <w:rPr>
          <w:bCs/>
          <w:lang w:eastAsia="en-GB"/>
        </w:rPr>
        <w:t xml:space="preserve"> ecosystems. Since the UK-NEA was conducted before the MAES process had started</w:t>
      </w:r>
      <w:r w:rsidR="0060463E">
        <w:rPr>
          <w:bCs/>
          <w:lang w:eastAsia="en-GB"/>
        </w:rPr>
        <w:t>,</w:t>
      </w:r>
      <w:r w:rsidR="00015D5C" w:rsidRPr="00511CA0">
        <w:rPr>
          <w:bCs/>
          <w:lang w:eastAsia="en-GB"/>
        </w:rPr>
        <w:t xml:space="preserve"> it is logical that the classification chosen is not directly congruent with the Classification in</w:t>
      </w:r>
      <w:r w:rsidRPr="00511CA0">
        <w:rPr>
          <w:bCs/>
          <w:lang w:eastAsia="en-GB"/>
        </w:rPr>
        <w:t xml:space="preserve"> the MAES Analytical Framework</w:t>
      </w:r>
      <w:r w:rsidR="00015D5C" w:rsidRPr="00511CA0">
        <w:rPr>
          <w:bCs/>
          <w:lang w:eastAsia="en-GB"/>
        </w:rPr>
        <w:t>. A challenge would be to see to what extent the des-aggregated landscape / ecosystem classes could be matched with the</w:t>
      </w:r>
      <w:r w:rsidR="005462E9">
        <w:rPr>
          <w:bCs/>
          <w:lang w:eastAsia="en-GB"/>
        </w:rPr>
        <w:t xml:space="preserve"> MAESFramework</w:t>
      </w:r>
      <w:r w:rsidR="00015D5C" w:rsidRPr="00511CA0">
        <w:rPr>
          <w:bCs/>
          <w:lang w:eastAsia="en-GB"/>
        </w:rPr>
        <w:t xml:space="preserve"> classification</w:t>
      </w:r>
      <w:r>
        <w:rPr>
          <w:b/>
          <w:bCs/>
          <w:sz w:val="24"/>
          <w:szCs w:val="24"/>
          <w:lang w:eastAsia="en-GB"/>
        </w:rPr>
        <w:t>.</w:t>
      </w:r>
      <w:r w:rsidR="00015D5C" w:rsidRPr="00ED7B9E">
        <w:rPr>
          <w:bCs/>
          <w:lang w:eastAsia="en-GB"/>
        </w:rPr>
        <w:t xml:space="preserve">Similarly, the example from the Spanish Ecosystem Assessment, presents a wholly recognisable set of ecosystems, of which the matching could now be determined with the </w:t>
      </w:r>
      <w:r w:rsidR="005462E9">
        <w:rPr>
          <w:bCs/>
          <w:lang w:eastAsia="en-GB"/>
        </w:rPr>
        <w:t>MAES Framework</w:t>
      </w:r>
      <w:r w:rsidR="00015D5C" w:rsidRPr="00ED7B9E">
        <w:rPr>
          <w:bCs/>
          <w:lang w:eastAsia="en-GB"/>
        </w:rPr>
        <w:t xml:space="preserve"> classification.</w:t>
      </w:r>
    </w:p>
    <w:p w:rsidR="00015D5C" w:rsidRPr="00511CA0" w:rsidRDefault="00015D5C" w:rsidP="00622218">
      <w:pPr>
        <w:pStyle w:val="Paragraphedeliste"/>
        <w:numPr>
          <w:ilvl w:val="0"/>
          <w:numId w:val="30"/>
        </w:numPr>
        <w:spacing w:after="0" w:line="240" w:lineRule="auto"/>
        <w:rPr>
          <w:b/>
          <w:bCs/>
          <w:lang w:eastAsia="en-GB"/>
        </w:rPr>
      </w:pPr>
      <w:r>
        <w:rPr>
          <w:lang w:eastAsia="en-GB"/>
        </w:rPr>
        <w:t>The Wadden Sea area in the northern part of the Netherlands is to a large extent a Natura 2000 area, for which the Habitat Classification is available. This very detailed classification scheme is quite descriptive and of course EU standardised. It works well for mapping at regional and local scales. For National and European scales systematic “aggregates” can be used.</w:t>
      </w:r>
    </w:p>
    <w:p w:rsidR="00015D5C" w:rsidRPr="005462E9" w:rsidRDefault="00015D5C" w:rsidP="005D1B76">
      <w:pPr>
        <w:spacing w:line="240" w:lineRule="auto"/>
        <w:rPr>
          <w:lang w:eastAsia="en-GB"/>
        </w:rPr>
      </w:pPr>
      <w:r w:rsidRPr="00ED7B9E">
        <w:rPr>
          <w:lang w:eastAsia="en-GB"/>
        </w:rPr>
        <w:t xml:space="preserve">These few examples only illustrate, but do so usefully, that a EU wide classification (with a hierarchical structure) of Ecosystems is an absolute necessity to support applications of maps in Target 2, Action 5, Action 6 and Action 7. </w:t>
      </w:r>
      <w:r>
        <w:rPr>
          <w:lang w:eastAsia="en-GB"/>
        </w:rPr>
        <w:t>It would then be possible to redraw existing highly aggregated maps, if the original “base maps” are still available. It is currently being discussed (with EEA) how such a classification could lead to a harmonised EU Ecosystems Map.</w:t>
      </w:r>
    </w:p>
    <w:p w:rsidR="005462E9" w:rsidRPr="005462E9" w:rsidRDefault="005462E9" w:rsidP="0060463E">
      <w:pPr>
        <w:spacing w:after="0" w:line="240" w:lineRule="auto"/>
        <w:rPr>
          <w:b/>
          <w:lang w:eastAsia="en-GB"/>
        </w:rPr>
      </w:pPr>
      <w:r w:rsidRPr="005462E9">
        <w:rPr>
          <w:b/>
          <w:lang w:eastAsia="en-GB"/>
        </w:rPr>
        <w:t>7.2</w:t>
      </w:r>
      <w:r w:rsidRPr="005462E9">
        <w:rPr>
          <w:b/>
          <w:lang w:eastAsia="en-GB"/>
        </w:rPr>
        <w:tab/>
        <w:t>Ecosystem Services</w:t>
      </w:r>
    </w:p>
    <w:p w:rsidR="00015D5C" w:rsidRDefault="00015D5C" w:rsidP="005D1B76">
      <w:pPr>
        <w:spacing w:line="240" w:lineRule="auto"/>
        <w:rPr>
          <w:noProof/>
          <w:lang w:eastAsia="en-GB"/>
        </w:rPr>
      </w:pPr>
      <w:r>
        <w:rPr>
          <w:lang w:eastAsia="en-GB"/>
        </w:rPr>
        <w:t>The diversity of m</w:t>
      </w:r>
      <w:r w:rsidRPr="006B1100">
        <w:rPr>
          <w:lang w:eastAsia="en-GB"/>
        </w:rPr>
        <w:t>aps of ecosystem services</w:t>
      </w:r>
      <w:r>
        <w:rPr>
          <w:noProof/>
          <w:lang w:eastAsia="en-GB"/>
        </w:rPr>
        <w:t xml:space="preserve">is currently very large. The next few pages again only serve to illustrate some of the approaches and a larger set </w:t>
      </w:r>
      <w:r w:rsidR="005462E9">
        <w:rPr>
          <w:noProof/>
          <w:lang w:eastAsia="en-GB"/>
        </w:rPr>
        <w:t>to learn from is</w:t>
      </w:r>
      <w:r w:rsidR="0060463E">
        <w:rPr>
          <w:noProof/>
          <w:lang w:eastAsia="en-GB"/>
        </w:rPr>
        <w:t xml:space="preserve"> available</w:t>
      </w:r>
      <w:r>
        <w:rPr>
          <w:noProof/>
          <w:lang w:eastAsia="en-GB"/>
        </w:rPr>
        <w:t xml:space="preserve">in ANNEX 2. </w:t>
      </w:r>
      <w:r w:rsidRPr="00DA7D57">
        <w:rPr>
          <w:noProof/>
          <w:highlight w:val="yellow"/>
          <w:lang w:eastAsia="en-GB"/>
        </w:rPr>
        <w:t>Differences in mapping style originate, aside from technology,  from use of different types of indicators</w:t>
      </w:r>
      <w:r>
        <w:rPr>
          <w:noProof/>
          <w:lang w:eastAsia="en-GB"/>
        </w:rPr>
        <w:t xml:space="preserve"> (stocks, flows, point measurements, areas, mapped statistics) to represent the ecosystem service (sometimes in fact: the Natural Capital from which the service is derived) and the various quantification methods. Many maps still look similar because the various different data are put in clas</w:t>
      </w:r>
      <w:r w:rsidR="0060463E">
        <w:rPr>
          <w:noProof/>
          <w:lang w:eastAsia="en-GB"/>
        </w:rPr>
        <w:t>ses which are then represented</w:t>
      </w:r>
      <w:r>
        <w:rPr>
          <w:noProof/>
          <w:lang w:eastAsia="en-GB"/>
        </w:rPr>
        <w:t xml:space="preserve"> by a range of colours.</w:t>
      </w:r>
    </w:p>
    <w:p w:rsidR="005462E9" w:rsidRDefault="00E15E1B" w:rsidP="00622218">
      <w:pPr>
        <w:pStyle w:val="Paragraphedeliste"/>
        <w:numPr>
          <w:ilvl w:val="0"/>
          <w:numId w:val="31"/>
        </w:numPr>
        <w:spacing w:line="240" w:lineRule="auto"/>
        <w:rPr>
          <w:lang w:eastAsia="en-GB"/>
        </w:rPr>
      </w:pPr>
      <w:r w:rsidRPr="00E50705">
        <w:rPr>
          <w:lang w:eastAsia="en-GB"/>
        </w:rPr>
        <w:t>In TEEB 2010 the Habitat Service was introduced. In the Austria case a map is produced which shows nicely how (again using a ranking of data to produce classes / colours) a combination of species data (from monitoring, observations, inventories) and physical structure, together with expert judgement leads to a first approximation of a Habitat Service map. This approach illustrate</w:t>
      </w:r>
      <w:r w:rsidR="0060463E">
        <w:rPr>
          <w:lang w:eastAsia="en-GB"/>
        </w:rPr>
        <w:t>s the point</w:t>
      </w:r>
      <w:r w:rsidRPr="00E50705">
        <w:rPr>
          <w:lang w:eastAsia="en-GB"/>
        </w:rPr>
        <w:t xml:space="preserve"> that this type of map (combination of different indicators and datasets) requires a clear documentation of the relative contribution of field data and expert judgement.</w:t>
      </w:r>
    </w:p>
    <w:p w:rsidR="005462E9" w:rsidRDefault="00E15E1B" w:rsidP="00622218">
      <w:pPr>
        <w:pStyle w:val="Paragraphedeliste"/>
        <w:numPr>
          <w:ilvl w:val="0"/>
          <w:numId w:val="31"/>
        </w:numPr>
        <w:spacing w:line="240" w:lineRule="auto"/>
        <w:rPr>
          <w:lang w:eastAsia="en-GB"/>
        </w:rPr>
      </w:pPr>
      <w:r w:rsidRPr="00EE5B1D">
        <w:rPr>
          <w:lang w:eastAsia="en-GB"/>
        </w:rPr>
        <w:t xml:space="preserve">Cultural services include many different things but most often the maps represent recreation or landscape features. </w:t>
      </w:r>
      <w:r w:rsidR="0060463E">
        <w:rPr>
          <w:lang w:eastAsia="en-GB"/>
        </w:rPr>
        <w:t>A</w:t>
      </w:r>
      <w:r w:rsidRPr="00EE5B1D">
        <w:rPr>
          <w:lang w:eastAsia="en-GB"/>
        </w:rPr>
        <w:t xml:space="preserve"> map </w:t>
      </w:r>
      <w:r w:rsidR="0060463E">
        <w:rPr>
          <w:lang w:eastAsia="en-GB"/>
        </w:rPr>
        <w:t>of Wales</w:t>
      </w:r>
      <w:r w:rsidRPr="00EE5B1D">
        <w:rPr>
          <w:lang w:eastAsia="en-GB"/>
        </w:rPr>
        <w:t xml:space="preserve"> shows scenic value in different classes</w:t>
      </w:r>
      <w:r w:rsidR="005462E9">
        <w:rPr>
          <w:lang w:eastAsia="en-GB"/>
        </w:rPr>
        <w:t xml:space="preserve">. </w:t>
      </w:r>
      <w:r w:rsidR="0060463E">
        <w:rPr>
          <w:lang w:eastAsia="en-GB"/>
        </w:rPr>
        <w:t>A Dutch</w:t>
      </w:r>
      <w:r w:rsidRPr="005A5F79">
        <w:rPr>
          <w:lang w:eastAsia="en-GB"/>
        </w:rPr>
        <w:t xml:space="preserve">map shows very specific location data on people using the beach (actual recreation service) combined with a potential recreation indicator, the number of available harbour places. </w:t>
      </w:r>
      <w:r>
        <w:rPr>
          <w:lang w:eastAsia="en-GB"/>
        </w:rPr>
        <w:t>Such maps can be transformed into maps that look like the ranges maps (in fact the size of the circles are already classes), by smoothing the data of point locations to regional levels.</w:t>
      </w:r>
    </w:p>
    <w:p w:rsidR="00E15E1B" w:rsidRDefault="0060463E" w:rsidP="00622218">
      <w:pPr>
        <w:pStyle w:val="Paragraphedeliste"/>
        <w:numPr>
          <w:ilvl w:val="0"/>
          <w:numId w:val="31"/>
        </w:numPr>
        <w:spacing w:line="240" w:lineRule="auto"/>
        <w:rPr>
          <w:lang w:eastAsia="en-GB"/>
        </w:rPr>
      </w:pPr>
      <w:r>
        <w:rPr>
          <w:lang w:eastAsia="en-GB"/>
        </w:rPr>
        <w:t>A Swiss</w:t>
      </w:r>
      <w:r w:rsidR="00E15E1B" w:rsidRPr="005A5F79">
        <w:rPr>
          <w:lang w:eastAsia="en-GB"/>
        </w:rPr>
        <w:t xml:space="preserve"> map in this series of examples, illustrates (1) the important feature of “bundles”of ecosystems, as compared to most of the pr</w:t>
      </w:r>
      <w:r>
        <w:rPr>
          <w:lang w:eastAsia="en-GB"/>
        </w:rPr>
        <w:t>evious maps which show a single-</w:t>
      </w:r>
      <w:r w:rsidR="00E15E1B" w:rsidRPr="005A5F79">
        <w:rPr>
          <w:lang w:eastAsia="en-GB"/>
        </w:rPr>
        <w:t>service spatial distribution, and (2) a priority ranking wi</w:t>
      </w:r>
      <w:r>
        <w:rPr>
          <w:lang w:eastAsia="en-GB"/>
        </w:rPr>
        <w:t>thin the bund</w:t>
      </w:r>
      <w:r w:rsidR="00E15E1B" w:rsidRPr="005A5F79">
        <w:rPr>
          <w:lang w:eastAsia="en-GB"/>
        </w:rPr>
        <w:t>l</w:t>
      </w:r>
      <w:r>
        <w:rPr>
          <w:lang w:eastAsia="en-GB"/>
        </w:rPr>
        <w:t>e</w:t>
      </w:r>
      <w:r w:rsidR="00E15E1B" w:rsidRPr="005A5F79">
        <w:rPr>
          <w:lang w:eastAsia="en-GB"/>
        </w:rPr>
        <w:t>s, which is indicating the “valuation”</w:t>
      </w:r>
      <w:r w:rsidR="005462E9">
        <w:rPr>
          <w:lang w:eastAsia="en-GB"/>
        </w:rPr>
        <w:t xml:space="preserve"> through some political process (Switzerland). </w:t>
      </w:r>
      <w:r w:rsidR="00E15E1B" w:rsidRPr="005A5F79">
        <w:rPr>
          <w:lang w:eastAsia="en-GB"/>
        </w:rPr>
        <w:t xml:space="preserve">Some of the mapped forest areas in this Swiss case study have a top priority for avalanche protection, and other services are “synergistic”. In those areas </w:t>
      </w:r>
      <w:r w:rsidR="005462E9">
        <w:rPr>
          <w:lang w:eastAsia="en-GB"/>
        </w:rPr>
        <w:t>t</w:t>
      </w:r>
      <w:r w:rsidR="00E15E1B" w:rsidRPr="005A5F79">
        <w:rPr>
          <w:lang w:eastAsia="en-GB"/>
        </w:rPr>
        <w:t>imber production may happen by some selective harvesting but never by clear felling. Areas without risk can be top priority for recreation. Carbon sequestration is always synergistic, but loses relevance when timber is taken away.</w:t>
      </w:r>
    </w:p>
    <w:p w:rsidR="00E15E1B" w:rsidRPr="00D22AFA" w:rsidRDefault="00E15E1B" w:rsidP="00E15E1B">
      <w:pPr>
        <w:spacing w:after="0" w:line="240" w:lineRule="auto"/>
        <w:jc w:val="both"/>
      </w:pPr>
      <w:r w:rsidRPr="00D22AFA">
        <w:t>The approaches utilized among the country cases can be classified according to the details’ level of the assessment and mapping and to the amount of time and data demand. There is an obvious trade-</w:t>
      </w:r>
      <w:r w:rsidRPr="00D22AFA">
        <w:lastRenderedPageBreak/>
        <w:t>off between these two components. On the one hand, the experts’ judgment approaches are easy and fast to implement, but lack accuracy. On the other hand, quantitative, and thus more detailed assessments a</w:t>
      </w:r>
      <w:r w:rsidR="0060463E">
        <w:t>re time and resource intensive (See figure below).</w:t>
      </w:r>
    </w:p>
    <w:p w:rsidR="005462E9" w:rsidRDefault="005462E9" w:rsidP="00E15E1B">
      <w:pPr>
        <w:autoSpaceDE w:val="0"/>
        <w:autoSpaceDN w:val="0"/>
        <w:adjustRightInd w:val="0"/>
        <w:spacing w:after="0" w:line="240" w:lineRule="auto"/>
        <w:jc w:val="both"/>
      </w:pPr>
    </w:p>
    <w:p w:rsidR="005462E9" w:rsidRDefault="005462E9" w:rsidP="00E15E1B">
      <w:pPr>
        <w:autoSpaceDE w:val="0"/>
        <w:autoSpaceDN w:val="0"/>
        <w:adjustRightInd w:val="0"/>
        <w:spacing w:after="0" w:line="240" w:lineRule="auto"/>
        <w:jc w:val="both"/>
      </w:pPr>
    </w:p>
    <w:p w:rsidR="002E29E5" w:rsidRDefault="002E29E5" w:rsidP="0060463E">
      <w:pPr>
        <w:autoSpaceDE w:val="0"/>
        <w:autoSpaceDN w:val="0"/>
        <w:adjustRightInd w:val="0"/>
        <w:spacing w:after="0" w:line="240" w:lineRule="auto"/>
        <w:jc w:val="center"/>
      </w:pPr>
      <w:r>
        <w:rPr>
          <w:noProof/>
          <w:lang w:val="fr-BE" w:eastAsia="fr-BE"/>
        </w:rPr>
        <w:drawing>
          <wp:inline distT="0" distB="0" distL="0" distR="0">
            <wp:extent cx="3366655" cy="2405501"/>
            <wp:effectExtent l="0" t="0" r="571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3377450" cy="2413214"/>
                    </a:xfrm>
                    <a:prstGeom prst="rect">
                      <a:avLst/>
                    </a:prstGeom>
                    <a:noFill/>
                    <a:ln w="9525">
                      <a:noFill/>
                      <a:miter lim="800000"/>
                      <a:headEnd/>
                      <a:tailEnd/>
                    </a:ln>
                  </pic:spPr>
                </pic:pic>
              </a:graphicData>
            </a:graphic>
          </wp:inline>
        </w:drawing>
      </w:r>
    </w:p>
    <w:p w:rsidR="002E29E5" w:rsidRDefault="002E29E5" w:rsidP="002E29E5">
      <w:pPr>
        <w:tabs>
          <w:tab w:val="right" w:pos="9072"/>
        </w:tabs>
        <w:spacing w:after="0" w:line="240" w:lineRule="auto"/>
        <w:jc w:val="both"/>
      </w:pPr>
      <w:r w:rsidRPr="00D22AFA">
        <w:rPr>
          <w:i/>
        </w:rPr>
        <w:t>Qualitative illustration of the trade-off to assess and map ES. On the bottom left are the easy and fast methods which however lack accuracy. On the top right are more precise methods which are however more time and data consuming</w:t>
      </w:r>
      <w:r>
        <w:t>.</w:t>
      </w:r>
    </w:p>
    <w:p w:rsidR="002E29E5" w:rsidRDefault="002E29E5" w:rsidP="00E15E1B">
      <w:pPr>
        <w:autoSpaceDE w:val="0"/>
        <w:autoSpaceDN w:val="0"/>
        <w:adjustRightInd w:val="0"/>
        <w:spacing w:after="0" w:line="240" w:lineRule="auto"/>
        <w:jc w:val="both"/>
      </w:pPr>
    </w:p>
    <w:p w:rsidR="00E15E1B" w:rsidRPr="00D22AFA" w:rsidRDefault="00E15E1B" w:rsidP="00E15E1B">
      <w:pPr>
        <w:autoSpaceDE w:val="0"/>
        <w:autoSpaceDN w:val="0"/>
        <w:adjustRightInd w:val="0"/>
        <w:spacing w:after="0" w:line="240" w:lineRule="auto"/>
        <w:jc w:val="both"/>
      </w:pPr>
      <w:r w:rsidRPr="00D22AFA">
        <w:t>Wallonia and Flanders II lay at one side of this trade-off. The assessment is fast, but is highly inaccurate and lacks transparency. A slightly more detailed assessment is the one of Switzerland (Global) because including two more indicators: slope and elevation. The assessment of Austria and of Flanders I (identification) is clearly more detailed because relying on some quantitative data and a clear list of indicators allowing for transparency. The assessments of U.K. and Spain are more even detailed and are likely to be more accurate because they rely mainly on quantitative data. Switzerland (regional+local) uses process-based modelling which although being very detailed, is extremely time and data demanding (A. Grêt-Regamey 2013, personal comment)</w:t>
      </w:r>
      <w:r w:rsidRPr="00D22AFA">
        <w:rPr>
          <w:i/>
        </w:rPr>
        <w:t>.</w:t>
      </w:r>
    </w:p>
    <w:p w:rsidR="00E15E1B" w:rsidRPr="00D30071" w:rsidRDefault="00E15E1B" w:rsidP="00E15E1B">
      <w:pPr>
        <w:autoSpaceDE w:val="0"/>
        <w:autoSpaceDN w:val="0"/>
        <w:adjustRightInd w:val="0"/>
        <w:spacing w:after="0" w:line="240" w:lineRule="auto"/>
        <w:jc w:val="both"/>
        <w:rPr>
          <w:highlight w:val="yellow"/>
        </w:rPr>
      </w:pPr>
    </w:p>
    <w:p w:rsidR="00E15E1B" w:rsidRPr="00D22AFA" w:rsidRDefault="00E15E1B" w:rsidP="00E15E1B">
      <w:pPr>
        <w:spacing w:after="0" w:line="240" w:lineRule="auto"/>
        <w:jc w:val="both"/>
      </w:pPr>
      <w:r w:rsidRPr="00D22AFA">
        <w:t>Besides this trade-off between data demand and level of detail, there remains a problem of a map’s usefulness to spatial planners. Because trade-</w:t>
      </w:r>
      <w:r w:rsidR="0060463E">
        <w:t>offs exist between different ES,</w:t>
      </w:r>
      <w:r w:rsidRPr="00D22AFA">
        <w:t xml:space="preserve"> spatial planners need a holistic view of the existing ES in order to launch sustainable decisions. However, relying on quantitative data often leads to segregated ES maps hampering such decisions to be made. This is the case for UK and Spain who provide distinct maps for each ES, each with distinct scales and units. Within the quantitative assessments, only the example of Switzerland (regional and local) presents the possibility to aggregate all ES on one map and to highlight ES hotspots. Yet, as mentioned above, this approach relies on highly technical modelling and is by far not available to all Member States.</w:t>
      </w:r>
    </w:p>
    <w:p w:rsidR="00E15E1B" w:rsidRDefault="00E15E1B" w:rsidP="00E15E1B">
      <w:pPr>
        <w:autoSpaceDE w:val="0"/>
        <w:autoSpaceDN w:val="0"/>
        <w:adjustRightInd w:val="0"/>
        <w:spacing w:after="0"/>
        <w:jc w:val="both"/>
      </w:pPr>
    </w:p>
    <w:p w:rsidR="00E15E1B" w:rsidRDefault="00E15E1B" w:rsidP="00E15E1B">
      <w:pPr>
        <w:autoSpaceDE w:val="0"/>
        <w:autoSpaceDN w:val="0"/>
        <w:adjustRightInd w:val="0"/>
        <w:spacing w:after="0" w:line="240" w:lineRule="auto"/>
        <w:jc w:val="both"/>
      </w:pPr>
      <w:r w:rsidRPr="00D22AFA">
        <w:t>In general, precision and accuracy of the assessment depend on the goal of the study. Among the cases compared, the one of Austria seems to offer an interesting compromise. It offers the simplicity of the experts’ judgment approach while relying on a clear list of indicators, some of them being quantitative. It moreover allows for aggregation in order to provide maps including all</w:t>
      </w:r>
      <w:r>
        <w:t xml:space="preserve"> ES (Peterseil, J. 2013, persona</w:t>
      </w:r>
      <w:r w:rsidRPr="00D22AFA">
        <w:t>l comment). The limitations of the approach are however to be kept in mind: (i) it is limited by the data availability with sufficient spatial resolution, (ii) it describes the ES potential rather than the actual stock and (iii) as a basic grid cell is 1 ha, some of the data has to be disaggregated to the target grid cells.</w:t>
      </w:r>
    </w:p>
    <w:p w:rsidR="00E15E1B" w:rsidRDefault="00E15E1B" w:rsidP="00E15E1B"/>
    <w:p w:rsidR="00E15E1B" w:rsidRPr="007A6E46" w:rsidRDefault="00E15E1B" w:rsidP="00E15E1B">
      <w:pPr>
        <w:autoSpaceDE w:val="0"/>
        <w:autoSpaceDN w:val="0"/>
        <w:adjustRightInd w:val="0"/>
        <w:spacing w:after="0" w:line="240" w:lineRule="auto"/>
        <w:rPr>
          <w:rFonts w:eastAsia="Malgun Gothic" w:cs="Malgun Gothic"/>
          <w:color w:val="000000"/>
        </w:rPr>
      </w:pPr>
      <w:r w:rsidRPr="007A6E46">
        <w:rPr>
          <w:rFonts w:eastAsia="Malgun Gothic" w:cs="Malgun Gothic"/>
          <w:color w:val="000000"/>
        </w:rPr>
        <w:lastRenderedPageBreak/>
        <w:t xml:space="preserve">Based on knowledge acquired in different projects realized at different national and international levels, ETH Zürich suggests the following tiered process in order to make ecosystem services maps comparable across Europe and to support the Member States in mapping ecosystem services as defined under Target 2, Action 5 of the Biodiversity Strategy. The level of detail of input data and the complexity of the analysis increase from Tier 1 to Tier 3 as illustrated for the two ecosystem services, timber production and microclimate regulation. </w:t>
      </w:r>
    </w:p>
    <w:p w:rsidR="00E15E1B" w:rsidRDefault="00E15E1B" w:rsidP="00E15E1B">
      <w:pPr>
        <w:autoSpaceDE w:val="0"/>
        <w:autoSpaceDN w:val="0"/>
        <w:adjustRightInd w:val="0"/>
        <w:spacing w:after="0" w:line="240" w:lineRule="auto"/>
        <w:jc w:val="both"/>
        <w:rPr>
          <w:rFonts w:eastAsia="Malgun Gothic" w:cs="Malgun Gothic"/>
          <w:b/>
          <w:color w:val="000000"/>
        </w:rPr>
      </w:pPr>
    </w:p>
    <w:p w:rsidR="00E15E1B" w:rsidRPr="009552BF" w:rsidRDefault="00E15E1B" w:rsidP="00E15E1B">
      <w:pPr>
        <w:autoSpaceDE w:val="0"/>
        <w:autoSpaceDN w:val="0"/>
        <w:adjustRightInd w:val="0"/>
        <w:spacing w:after="0" w:line="240" w:lineRule="auto"/>
        <w:jc w:val="both"/>
        <w:rPr>
          <w:rFonts w:eastAsia="Malgun Gothic" w:cs="Malgun Gothic"/>
          <w:b/>
          <w:color w:val="000000"/>
        </w:rPr>
      </w:pPr>
      <w:r w:rsidRPr="009552BF">
        <w:rPr>
          <w:rFonts w:eastAsia="Malgun Gothic" w:cs="Malgun Gothic"/>
          <w:b/>
          <w:color w:val="000000"/>
        </w:rPr>
        <w:t xml:space="preserve">Tier 1 - ES mapping using available indicators </w:t>
      </w:r>
    </w:p>
    <w:p w:rsidR="00E15E1B" w:rsidRDefault="00E15E1B" w:rsidP="00EF3324">
      <w:pPr>
        <w:spacing w:line="240" w:lineRule="auto"/>
        <w:rPr>
          <w:rFonts w:eastAsia="Malgun Gothic" w:cs="Malgun Gothic"/>
          <w:color w:val="000000"/>
        </w:rPr>
      </w:pPr>
      <w:r w:rsidRPr="007A6E46">
        <w:rPr>
          <w:rFonts w:eastAsia="Malgun Gothic" w:cs="Malgun Gothic"/>
          <w:color w:val="000000"/>
        </w:rPr>
        <w:t>The simplest form of an ecosystem services assessment uses data available for most of the European countries (for example CORINE). Most indicators can directly be derived from land use and land cover data, biodiversity monitoring maps, etc..and thus represent proxies for a certain ecosystem service. As an example, micro-climate regulation is defined as the percentage of green space within urban areas. Similarly, timber production is defined as percentage of forest. For Switzerland, a national inventory of 23 indicators for assessing ecosystem services was developed. It is currently being modified for the natural ca</w:t>
      </w:r>
      <w:r w:rsidR="0060463E">
        <w:rPr>
          <w:rFonts w:eastAsia="Malgun Gothic" w:cs="Malgun Gothic"/>
          <w:color w:val="000000"/>
        </w:rPr>
        <w:t>pital TEEB project for Germany</w:t>
      </w:r>
      <w:r w:rsidRPr="007A6E46">
        <w:rPr>
          <w:rFonts w:eastAsia="Malgun Gothic" w:cs="Malgun Gothic"/>
          <w:color w:val="000000"/>
        </w:rPr>
        <w:t xml:space="preserve"> and applied for mapping ESS at the national scale</w:t>
      </w:r>
    </w:p>
    <w:p w:rsidR="00E15E1B" w:rsidRPr="009552BF" w:rsidRDefault="00E15E1B" w:rsidP="00E15E1B">
      <w:pPr>
        <w:autoSpaceDE w:val="0"/>
        <w:autoSpaceDN w:val="0"/>
        <w:adjustRightInd w:val="0"/>
        <w:spacing w:after="0" w:line="240" w:lineRule="auto"/>
        <w:rPr>
          <w:rFonts w:eastAsia="Malgun Gothic" w:cs="Malgun Gothic"/>
          <w:b/>
          <w:color w:val="000000"/>
        </w:rPr>
      </w:pPr>
      <w:r w:rsidRPr="009552BF">
        <w:rPr>
          <w:rFonts w:eastAsia="Malgun Gothic" w:cs="Malgun Gothic"/>
          <w:b/>
          <w:color w:val="000000"/>
        </w:rPr>
        <w:t xml:space="preserve">Tier 2 ES mapping linking different indicators with land use data </w:t>
      </w:r>
    </w:p>
    <w:p w:rsidR="00E15E1B" w:rsidRDefault="00E15E1B" w:rsidP="00EF3324">
      <w:pPr>
        <w:autoSpaceDE w:val="0"/>
        <w:autoSpaceDN w:val="0"/>
        <w:adjustRightInd w:val="0"/>
        <w:spacing w:after="0" w:line="240" w:lineRule="auto"/>
        <w:rPr>
          <w:rFonts w:eastAsia="Malgun Gothic" w:cs="Malgun Gothic"/>
          <w:color w:val="000000"/>
        </w:rPr>
      </w:pPr>
      <w:r w:rsidRPr="009552BF">
        <w:rPr>
          <w:rFonts w:eastAsia="Malgun Gothic" w:cs="Malgun Gothic"/>
          <w:color w:val="000000"/>
        </w:rPr>
        <w:t>The Tier 1 approach can be further improved if data at the EU level are used as a base to derive more complex indicators, which are combined to estimate ecosystem services. Land use data is linked to different datasets according to known relationships between land use, locational-based information and ecosystem services provision from the literature. Based on these relationships, the capacities of different land uses to provide ecosystem services can be quantified at different locations and aggregated at different scales. For example, in order to estimate timber production, literature data on timber production at a certain elevation can be linked to a Digital Elevation Model and mapped at the country scale. Or in order to refine the percentage of green space in a city as an indicator for micro-climate-regulation, the green area can be assessed in higher precision using remote sensing data. The output maps provide ecosystem services quantities or values per area (for example timber production per hectare and year or cooling effect in cubic meters per hectare).</w:t>
      </w:r>
    </w:p>
    <w:p w:rsidR="00EF3324" w:rsidRPr="00EF3324" w:rsidRDefault="00EF3324" w:rsidP="00EF3324">
      <w:pPr>
        <w:autoSpaceDE w:val="0"/>
        <w:autoSpaceDN w:val="0"/>
        <w:adjustRightInd w:val="0"/>
        <w:spacing w:after="0" w:line="240" w:lineRule="auto"/>
        <w:rPr>
          <w:rFonts w:eastAsia="Malgun Gothic" w:cs="Malgun Gothic"/>
          <w:color w:val="000000"/>
        </w:rPr>
      </w:pPr>
    </w:p>
    <w:p w:rsidR="00E15E1B" w:rsidRPr="0060527B" w:rsidRDefault="00E15E1B" w:rsidP="00E15E1B">
      <w:pPr>
        <w:autoSpaceDE w:val="0"/>
        <w:autoSpaceDN w:val="0"/>
        <w:adjustRightInd w:val="0"/>
        <w:spacing w:after="0" w:line="240" w:lineRule="auto"/>
        <w:rPr>
          <w:b/>
          <w:bCs/>
        </w:rPr>
      </w:pPr>
      <w:r w:rsidRPr="0060527B">
        <w:rPr>
          <w:b/>
        </w:rPr>
        <w:t xml:space="preserve">Tier 3 </w:t>
      </w:r>
      <w:r w:rsidRPr="0060527B">
        <w:rPr>
          <w:b/>
          <w:bCs/>
        </w:rPr>
        <w:t xml:space="preserve">Model-based approach </w:t>
      </w:r>
    </w:p>
    <w:p w:rsidR="00E15E1B" w:rsidRDefault="00E15E1B" w:rsidP="00E15E1B">
      <w:pPr>
        <w:autoSpaceDE w:val="0"/>
        <w:autoSpaceDN w:val="0"/>
        <w:adjustRightInd w:val="0"/>
        <w:spacing w:after="0" w:line="240" w:lineRule="auto"/>
        <w:rPr>
          <w:rFonts w:eastAsia="Malgun Gothic" w:cs="Malgun Gothic"/>
          <w:color w:val="000000"/>
        </w:rPr>
      </w:pPr>
      <w:r>
        <w:t>The Tier 2 approach can be further refined by mode</w:t>
      </w:r>
      <w:r w:rsidR="00EF3324">
        <w:t>l</w:t>
      </w:r>
      <w:r>
        <w:t>ling biophysical processes in ArcGIS instead of using linking indicator data through simple relationships. For example, timber production is assessed using a forest growth model instead of quantifying production with literature data. This requires more detailed input which might not be available in all European countries. The model calculates automatically ecosystem services and spits out ecosystem services maps for the specified area. Constructing a model is time consuming and requires expert knowledge on model</w:t>
      </w:r>
      <w:r w:rsidR="00057BF9">
        <w:t>l</w:t>
      </w:r>
      <w:r>
        <w:t xml:space="preserve">ing. Adjusting an existing model to local conditions on the other hand is much easier. Models can be extended by integrating expert knowledge (for example using Bayesian networks), and can be used to assess uncertainty in quantification and valuation. </w:t>
      </w:r>
    </w:p>
    <w:p w:rsidR="00E15E1B" w:rsidRDefault="00E15E1B" w:rsidP="00E15E1B">
      <w:pPr>
        <w:autoSpaceDE w:val="0"/>
        <w:autoSpaceDN w:val="0"/>
        <w:adjustRightInd w:val="0"/>
        <w:spacing w:after="0" w:line="240" w:lineRule="auto"/>
        <w:rPr>
          <w:rFonts w:eastAsia="Malgun Gothic" w:cs="Malgun Gothic"/>
          <w:color w:val="000000"/>
        </w:rPr>
      </w:pPr>
    </w:p>
    <w:p w:rsidR="003E4FC4" w:rsidRDefault="003E4FC4" w:rsidP="00E15E1B">
      <w:pPr>
        <w:rPr>
          <w:rFonts w:cstheme="minorHAnsi"/>
          <w:b/>
          <w:sz w:val="24"/>
          <w:szCs w:val="24"/>
        </w:rPr>
      </w:pPr>
      <w:r>
        <w:rPr>
          <w:rFonts w:cstheme="minorHAnsi"/>
          <w:b/>
          <w:sz w:val="24"/>
          <w:szCs w:val="24"/>
        </w:rPr>
        <w:br w:type="page"/>
      </w:r>
    </w:p>
    <w:p w:rsidR="00326212" w:rsidRPr="00ED17A3" w:rsidRDefault="005C2072" w:rsidP="005C2072">
      <w:pPr>
        <w:pStyle w:val="Titre1"/>
      </w:pPr>
      <w:r>
        <w:lastRenderedPageBreak/>
        <w:t>3.2</w:t>
      </w:r>
      <w:r>
        <w:tab/>
        <w:t>SUMMARY TASK 2</w:t>
      </w:r>
    </w:p>
    <w:p w:rsidR="00ED17A3" w:rsidRDefault="00ED17A3" w:rsidP="00326212">
      <w:pPr>
        <w:autoSpaceDE w:val="0"/>
        <w:autoSpaceDN w:val="0"/>
        <w:adjustRightInd w:val="0"/>
        <w:spacing w:after="0" w:line="240" w:lineRule="auto"/>
        <w:jc w:val="both"/>
        <w:rPr>
          <w:rFonts w:cstheme="minorHAnsi"/>
          <w:b/>
          <w:sz w:val="24"/>
          <w:szCs w:val="24"/>
          <w:highlight w:val="yellow"/>
        </w:rPr>
      </w:pPr>
    </w:p>
    <w:p w:rsidR="00326212" w:rsidRPr="00835B77" w:rsidRDefault="00326212" w:rsidP="00326212">
      <w:pPr>
        <w:autoSpaceDE w:val="0"/>
        <w:autoSpaceDN w:val="0"/>
        <w:adjustRightInd w:val="0"/>
        <w:spacing w:after="0" w:line="240" w:lineRule="auto"/>
        <w:jc w:val="both"/>
        <w:rPr>
          <w:rFonts w:cstheme="minorHAnsi"/>
          <w:b/>
          <w:sz w:val="24"/>
          <w:szCs w:val="24"/>
        </w:rPr>
      </w:pPr>
      <w:r w:rsidRPr="00835B77">
        <w:rPr>
          <w:rFonts w:cstheme="minorHAnsi"/>
          <w:b/>
          <w:sz w:val="24"/>
          <w:szCs w:val="24"/>
        </w:rPr>
        <w:t>Deliverables Task 2</w:t>
      </w:r>
    </w:p>
    <w:p w:rsidR="00057BF9" w:rsidRPr="00057BF9" w:rsidRDefault="00057BF9" w:rsidP="00622218">
      <w:pPr>
        <w:pStyle w:val="Paragraphedeliste"/>
        <w:numPr>
          <w:ilvl w:val="0"/>
          <w:numId w:val="17"/>
        </w:numPr>
        <w:spacing w:after="0" w:line="240" w:lineRule="auto"/>
        <w:rPr>
          <w:rFonts w:cstheme="minorHAnsi"/>
          <w:b/>
          <w:sz w:val="24"/>
          <w:szCs w:val="24"/>
        </w:rPr>
      </w:pPr>
      <w:r w:rsidRPr="00057BF9">
        <w:rPr>
          <w:rFonts w:cstheme="minorHAnsi"/>
          <w:b/>
          <w:sz w:val="24"/>
          <w:szCs w:val="24"/>
        </w:rPr>
        <w:t>Completed section(s) on Task 2 in the Fact Sheets for Spain, the Netherlands and optionally : Flanders .</w:t>
      </w:r>
    </w:p>
    <w:p w:rsidR="00326212" w:rsidRPr="00835B77" w:rsidRDefault="00326212" w:rsidP="00622218">
      <w:pPr>
        <w:numPr>
          <w:ilvl w:val="0"/>
          <w:numId w:val="17"/>
        </w:numPr>
        <w:autoSpaceDE w:val="0"/>
        <w:autoSpaceDN w:val="0"/>
        <w:adjustRightInd w:val="0"/>
        <w:spacing w:after="0" w:line="240" w:lineRule="auto"/>
        <w:contextualSpacing/>
        <w:jc w:val="both"/>
        <w:rPr>
          <w:rFonts w:cstheme="minorHAnsi"/>
          <w:b/>
          <w:sz w:val="24"/>
          <w:szCs w:val="24"/>
        </w:rPr>
      </w:pPr>
      <w:r w:rsidRPr="00835B77">
        <w:rPr>
          <w:rFonts w:cstheme="minorHAnsi"/>
          <w:b/>
          <w:sz w:val="24"/>
          <w:szCs w:val="24"/>
        </w:rPr>
        <w:t xml:space="preserve">An analysis of the results presented in the fact-sheets in the </w:t>
      </w:r>
      <w:r w:rsidR="00835B77">
        <w:rPr>
          <w:rFonts w:cstheme="minorHAnsi"/>
          <w:b/>
          <w:sz w:val="24"/>
          <w:szCs w:val="24"/>
        </w:rPr>
        <w:t>(</w:t>
      </w:r>
      <w:r w:rsidRPr="00835B77">
        <w:rPr>
          <w:rFonts w:cstheme="minorHAnsi"/>
          <w:b/>
          <w:sz w:val="24"/>
          <w:szCs w:val="24"/>
        </w:rPr>
        <w:t>draft Interim</w:t>
      </w:r>
      <w:r w:rsidR="00835B77">
        <w:rPr>
          <w:rFonts w:cstheme="minorHAnsi"/>
          <w:b/>
          <w:sz w:val="24"/>
          <w:szCs w:val="24"/>
        </w:rPr>
        <w:t>)</w:t>
      </w:r>
      <w:r w:rsidRPr="00835B77">
        <w:rPr>
          <w:rFonts w:cstheme="minorHAnsi"/>
          <w:b/>
          <w:sz w:val="24"/>
          <w:szCs w:val="24"/>
        </w:rPr>
        <w:t xml:space="preserve"> Report </w:t>
      </w:r>
    </w:p>
    <w:p w:rsidR="00326212" w:rsidRPr="00835B77" w:rsidRDefault="00326212" w:rsidP="00622218">
      <w:pPr>
        <w:numPr>
          <w:ilvl w:val="0"/>
          <w:numId w:val="17"/>
        </w:numPr>
        <w:autoSpaceDE w:val="0"/>
        <w:autoSpaceDN w:val="0"/>
        <w:adjustRightInd w:val="0"/>
        <w:spacing w:after="0" w:line="240" w:lineRule="auto"/>
        <w:contextualSpacing/>
        <w:jc w:val="both"/>
        <w:rPr>
          <w:rFonts w:cstheme="minorHAnsi"/>
          <w:b/>
          <w:sz w:val="24"/>
          <w:szCs w:val="24"/>
        </w:rPr>
      </w:pPr>
      <w:r w:rsidRPr="00835B77">
        <w:rPr>
          <w:rFonts w:cstheme="minorHAnsi"/>
          <w:b/>
          <w:sz w:val="24"/>
          <w:szCs w:val="24"/>
        </w:rPr>
        <w:t xml:space="preserve">A section in the </w:t>
      </w:r>
      <w:r w:rsidR="00835B77">
        <w:rPr>
          <w:rFonts w:cstheme="minorHAnsi"/>
          <w:b/>
          <w:sz w:val="24"/>
          <w:szCs w:val="24"/>
        </w:rPr>
        <w:t>(</w:t>
      </w:r>
      <w:r w:rsidRPr="00835B77">
        <w:rPr>
          <w:rFonts w:cstheme="minorHAnsi"/>
          <w:b/>
          <w:sz w:val="24"/>
          <w:szCs w:val="24"/>
        </w:rPr>
        <w:t>draft Interim</w:t>
      </w:r>
      <w:r w:rsidR="00835B77">
        <w:rPr>
          <w:rFonts w:cstheme="minorHAnsi"/>
          <w:b/>
          <w:sz w:val="24"/>
          <w:szCs w:val="24"/>
        </w:rPr>
        <w:t xml:space="preserve">) report </w:t>
      </w:r>
      <w:r w:rsidRPr="00835B77">
        <w:rPr>
          <w:rFonts w:cstheme="minorHAnsi"/>
          <w:b/>
          <w:sz w:val="24"/>
          <w:szCs w:val="24"/>
        </w:rPr>
        <w:t xml:space="preserve">regarding advice on the basis of the assessment with  examples of how countries can use the existing EU obligations in national ecosystem assessments and national ecosystem services assessments. </w:t>
      </w:r>
    </w:p>
    <w:p w:rsidR="00326212" w:rsidRPr="00835B77" w:rsidRDefault="00326212" w:rsidP="00622218">
      <w:pPr>
        <w:numPr>
          <w:ilvl w:val="0"/>
          <w:numId w:val="17"/>
        </w:numPr>
        <w:spacing w:line="240" w:lineRule="auto"/>
        <w:rPr>
          <w:b/>
          <w:sz w:val="24"/>
          <w:szCs w:val="24"/>
        </w:rPr>
      </w:pPr>
      <w:r w:rsidRPr="00835B77">
        <w:rPr>
          <w:b/>
          <w:sz w:val="24"/>
          <w:szCs w:val="24"/>
        </w:rPr>
        <w:t xml:space="preserve">A section in the </w:t>
      </w:r>
      <w:r w:rsidR="00835B77">
        <w:rPr>
          <w:b/>
          <w:sz w:val="24"/>
          <w:szCs w:val="24"/>
        </w:rPr>
        <w:t>(</w:t>
      </w:r>
      <w:r w:rsidRPr="00835B77">
        <w:rPr>
          <w:b/>
          <w:sz w:val="24"/>
          <w:szCs w:val="24"/>
        </w:rPr>
        <w:t>draft</w:t>
      </w:r>
      <w:r w:rsidR="00835B77">
        <w:rPr>
          <w:b/>
          <w:sz w:val="24"/>
          <w:szCs w:val="24"/>
        </w:rPr>
        <w:t>)</w:t>
      </w:r>
      <w:r w:rsidRPr="00835B77">
        <w:rPr>
          <w:b/>
          <w:sz w:val="24"/>
          <w:szCs w:val="24"/>
        </w:rPr>
        <w:t xml:space="preserve"> final report compiling the key findings from Task 2</w:t>
      </w:r>
    </w:p>
    <w:p w:rsidR="00326212" w:rsidRPr="00365C04" w:rsidRDefault="00326212" w:rsidP="00326212">
      <w:pPr>
        <w:autoSpaceDE w:val="0"/>
        <w:autoSpaceDN w:val="0"/>
        <w:adjustRightInd w:val="0"/>
        <w:spacing w:after="0" w:line="240" w:lineRule="auto"/>
        <w:contextualSpacing/>
        <w:jc w:val="both"/>
        <w:rPr>
          <w:rFonts w:cstheme="minorHAnsi"/>
          <w:b/>
          <w:sz w:val="24"/>
          <w:szCs w:val="24"/>
        </w:rPr>
      </w:pPr>
    </w:p>
    <w:p w:rsidR="00835B77" w:rsidRDefault="00A57A29" w:rsidP="00A57A29">
      <w:pPr>
        <w:spacing w:line="240" w:lineRule="auto"/>
      </w:pPr>
      <w:r w:rsidRPr="00791F2D">
        <w:t>In the context of the MAES-process, one of the questions raised was how the information currently gathered on the state of biodiversity in Europe could assist in the process of mapping ecosystem services. As a first step this report review</w:t>
      </w:r>
      <w:r w:rsidR="00835B77">
        <w:t>s</w:t>
      </w:r>
      <w:r w:rsidRPr="00791F2D">
        <w:t xml:space="preserve">: which information on biodiversity is collected as part of the reporting under four Directives; as well as the information collected in four Member States in the framework of national or regional assessments and monitoring programs. </w:t>
      </w:r>
    </w:p>
    <w:p w:rsidR="00A57A29" w:rsidRPr="00791F2D" w:rsidRDefault="00835B77" w:rsidP="00A57A29">
      <w:pPr>
        <w:spacing w:line="240" w:lineRule="auto"/>
      </w:pPr>
      <w:r>
        <w:t>The review pays</w:t>
      </w:r>
      <w:r w:rsidR="00A57A29" w:rsidRPr="00791F2D">
        <w:t xml:space="preserve"> specific attention to indicator species and habitats used in national assessment and not covered by the Nature Directives and the representativeness of indicator species and habitats for each ecosystem group derived from reporting under EU Directives compared to alternatives used in national assessments. In this chapter the conclusions and lessons learned</w:t>
      </w:r>
      <w:r w:rsidR="00057BF9">
        <w:t>, and recommendations</w:t>
      </w:r>
      <w:r w:rsidR="00A57A29" w:rsidRPr="00791F2D">
        <w:t xml:space="preserve"> are summarised. </w:t>
      </w:r>
    </w:p>
    <w:p w:rsidR="00A57A29" w:rsidRPr="00057BF9" w:rsidRDefault="00A57A29" w:rsidP="00622218">
      <w:pPr>
        <w:pStyle w:val="Paragraphedeliste"/>
        <w:numPr>
          <w:ilvl w:val="0"/>
          <w:numId w:val="36"/>
        </w:numPr>
        <w:spacing w:after="0" w:line="240" w:lineRule="auto"/>
        <w:rPr>
          <w:b/>
          <w:sz w:val="24"/>
          <w:szCs w:val="24"/>
        </w:rPr>
      </w:pPr>
      <w:r w:rsidRPr="00057BF9">
        <w:rPr>
          <w:b/>
          <w:sz w:val="24"/>
          <w:szCs w:val="24"/>
        </w:rPr>
        <w:t xml:space="preserve">Additional information on the state of biodiversity </w:t>
      </w:r>
    </w:p>
    <w:p w:rsidR="00835B77" w:rsidRDefault="00835B77" w:rsidP="00835B77">
      <w:pPr>
        <w:spacing w:after="0" w:line="240" w:lineRule="auto"/>
      </w:pPr>
    </w:p>
    <w:p w:rsidR="00835B77" w:rsidRDefault="00A57A29" w:rsidP="00CE4BBA">
      <w:pPr>
        <w:spacing w:after="0" w:line="240" w:lineRule="auto"/>
      </w:pPr>
      <w:r w:rsidRPr="00791F2D">
        <w:t xml:space="preserve">In the four cases reviewed </w:t>
      </w:r>
      <w:r w:rsidRPr="00835B77">
        <w:rPr>
          <w:b/>
          <w:i/>
        </w:rPr>
        <w:t>most indicators used to assess the state of biodiversity in national assessments and the underlying existing monitoring programs are based on species information</w:t>
      </w:r>
      <w:r w:rsidRPr="00791F2D">
        <w:t xml:space="preserve">. </w:t>
      </w:r>
    </w:p>
    <w:p w:rsidR="00835B77" w:rsidRDefault="00A57A29" w:rsidP="00622218">
      <w:pPr>
        <w:pStyle w:val="Paragraphedeliste"/>
        <w:numPr>
          <w:ilvl w:val="0"/>
          <w:numId w:val="32"/>
        </w:numPr>
        <w:spacing w:line="240" w:lineRule="auto"/>
      </w:pPr>
      <w:r w:rsidRPr="00791F2D">
        <w:t xml:space="preserve">Besides the information gathered in the framework of the obligatory monitoring of habitats under the Habitats Directive only Flanders has a running program which provides information on the occurrence of habitats in the entire region. However in the future this program will focus on specific areas. </w:t>
      </w:r>
    </w:p>
    <w:p w:rsidR="00835B77" w:rsidRDefault="00A57A29" w:rsidP="00622218">
      <w:pPr>
        <w:pStyle w:val="Paragraphedeliste"/>
        <w:numPr>
          <w:ilvl w:val="0"/>
          <w:numId w:val="32"/>
        </w:numPr>
        <w:spacing w:line="240" w:lineRule="auto"/>
      </w:pPr>
      <w:r w:rsidRPr="00791F2D">
        <w:t xml:space="preserve">In Austria information is available for the most important biotopes. </w:t>
      </w:r>
    </w:p>
    <w:p w:rsidR="00835B77" w:rsidRDefault="00A57A29" w:rsidP="00622218">
      <w:pPr>
        <w:pStyle w:val="Paragraphedeliste"/>
        <w:numPr>
          <w:ilvl w:val="0"/>
          <w:numId w:val="32"/>
        </w:numPr>
        <w:spacing w:line="240" w:lineRule="auto"/>
      </w:pPr>
      <w:r w:rsidRPr="00791F2D">
        <w:t xml:space="preserve">In Spain and the Netherlands the system is currently under development. </w:t>
      </w:r>
    </w:p>
    <w:p w:rsidR="00A57A29" w:rsidRPr="00791F2D" w:rsidRDefault="00835B77" w:rsidP="00622218">
      <w:pPr>
        <w:pStyle w:val="Paragraphedeliste"/>
        <w:numPr>
          <w:ilvl w:val="0"/>
          <w:numId w:val="32"/>
        </w:numPr>
        <w:spacing w:line="240" w:lineRule="auto"/>
      </w:pPr>
      <w:r>
        <w:t>An exce</w:t>
      </w:r>
      <w:r w:rsidR="00A57A29" w:rsidRPr="00791F2D">
        <w:t>ption are the forest  habitats for which separate programs already exist (in Austria, Spain and Flanders).</w:t>
      </w:r>
    </w:p>
    <w:p w:rsidR="00835B77" w:rsidRDefault="00A57A29" w:rsidP="00835B77">
      <w:pPr>
        <w:spacing w:after="0" w:line="240" w:lineRule="auto"/>
      </w:pPr>
      <w:r w:rsidRPr="00835B77">
        <w:rPr>
          <w:b/>
        </w:rPr>
        <w:t>The state of ecosystems at the national level is either not determined in the framework of national assessments</w:t>
      </w:r>
      <w:r w:rsidRPr="00791F2D">
        <w:t xml:space="preserve"> (Austria and Flanders) </w:t>
      </w:r>
      <w:r w:rsidRPr="00835B77">
        <w:rPr>
          <w:b/>
        </w:rPr>
        <w:t>or is based on the abundance or presence of indicator species</w:t>
      </w:r>
      <w:r w:rsidRPr="00791F2D">
        <w:t xml:space="preserve"> (Netherlands). </w:t>
      </w:r>
    </w:p>
    <w:p w:rsidR="00835B77" w:rsidRDefault="00A57A29" w:rsidP="00622218">
      <w:pPr>
        <w:pStyle w:val="Paragraphedeliste"/>
        <w:numPr>
          <w:ilvl w:val="0"/>
          <w:numId w:val="33"/>
        </w:numPr>
        <w:spacing w:line="240" w:lineRule="auto"/>
      </w:pPr>
      <w:r w:rsidRPr="00791F2D">
        <w:t>A similar approach is followed under the reporting of the WFD, MSFD and in several of the SEBI2010 indicators.</w:t>
      </w:r>
    </w:p>
    <w:p w:rsidR="00835B77" w:rsidRDefault="00A57A29" w:rsidP="00622218">
      <w:pPr>
        <w:pStyle w:val="Paragraphedeliste"/>
        <w:numPr>
          <w:ilvl w:val="0"/>
          <w:numId w:val="33"/>
        </w:numPr>
        <w:spacing w:line="240" w:lineRule="auto"/>
      </w:pPr>
      <w:r w:rsidRPr="00791F2D">
        <w:t xml:space="preserve">A review of which species (groups) information in the national/regional assessments complements the information gathered in the framework of EU reporting provides a rather variable picture. In all 4 cases information on national red list species is gathered. In Spain extra information on all vertebrates is gathered, in the Netherlands and Flanders additional information is also gathered for invertebrates. </w:t>
      </w:r>
    </w:p>
    <w:p w:rsidR="00A57A29" w:rsidRPr="00791F2D" w:rsidRDefault="00A57A29" w:rsidP="00835B77">
      <w:pPr>
        <w:spacing w:line="240" w:lineRule="auto"/>
      </w:pPr>
      <w:r w:rsidRPr="00791F2D">
        <w:t xml:space="preserve">Both in national and EU assessment, </w:t>
      </w:r>
      <w:r w:rsidRPr="00835B77">
        <w:rPr>
          <w:b/>
        </w:rPr>
        <w:t>the majority of the indicator species used are vertebrates</w:t>
      </w:r>
      <w:r w:rsidRPr="00791F2D">
        <w:t xml:space="preserve">; some invertebrates and plants are also used. In general the coverage is relatively good for vertebrates and poor to negligible for invertebrates, plants and other species groups. </w:t>
      </w:r>
    </w:p>
    <w:p w:rsidR="00835B77" w:rsidRDefault="00A57A29" w:rsidP="00835B77">
      <w:pPr>
        <w:spacing w:after="0" w:line="240" w:lineRule="auto"/>
      </w:pPr>
      <w:r w:rsidRPr="00835B77">
        <w:rPr>
          <w:b/>
        </w:rPr>
        <w:lastRenderedPageBreak/>
        <w:t>As the aims of assessment are different, the methodology and parameters developed for indicator species vary considerably</w:t>
      </w:r>
      <w:r w:rsidRPr="00791F2D">
        <w:t xml:space="preserve">. </w:t>
      </w:r>
    </w:p>
    <w:p w:rsidR="00835B77" w:rsidRDefault="00A57A29" w:rsidP="00622218">
      <w:pPr>
        <w:pStyle w:val="Paragraphedeliste"/>
        <w:numPr>
          <w:ilvl w:val="0"/>
          <w:numId w:val="34"/>
        </w:numPr>
        <w:spacing w:line="240" w:lineRule="auto"/>
      </w:pPr>
      <w:r w:rsidRPr="00791F2D">
        <w:t xml:space="preserve">The four country case studies primarily use parameters reflecting trends in abundance of specific groups (Austria, Flanders, Netherlands)  or red list species (Austria, Flanders, Netherlands) or species richness of specific groups / red listed species (Spain). </w:t>
      </w:r>
    </w:p>
    <w:p w:rsidR="00835B77" w:rsidRPr="00835B77" w:rsidRDefault="00A57A29" w:rsidP="00622218">
      <w:pPr>
        <w:pStyle w:val="Paragraphedeliste"/>
        <w:numPr>
          <w:ilvl w:val="0"/>
          <w:numId w:val="34"/>
        </w:numPr>
        <w:spacing w:line="240" w:lineRule="auto"/>
      </w:pPr>
      <w:r w:rsidRPr="00791F2D">
        <w:t xml:space="preserve">In the EU reporting a much broader range of parameters is used that also </w:t>
      </w:r>
      <w:r w:rsidRPr="00835B77">
        <w:rPr>
          <w:shd w:val="clear" w:color="auto" w:fill="FFFFFF" w:themeFill="background1"/>
        </w:rPr>
        <w:t xml:space="preserve">consider range, habitat for the species, population and future prospects,  composition, abundance, presence and even species characteristics. </w:t>
      </w:r>
    </w:p>
    <w:p w:rsidR="00835B77" w:rsidRPr="00835B77" w:rsidRDefault="00A57A29" w:rsidP="00622218">
      <w:pPr>
        <w:pStyle w:val="Paragraphedeliste"/>
        <w:numPr>
          <w:ilvl w:val="0"/>
          <w:numId w:val="34"/>
        </w:numPr>
        <w:spacing w:line="240" w:lineRule="auto"/>
      </w:pPr>
      <w:r w:rsidRPr="00835B77">
        <w:rPr>
          <w:shd w:val="clear" w:color="auto" w:fill="FFFFFF" w:themeFill="background1"/>
        </w:rPr>
        <w:t xml:space="preserve">This difference in methodological approach might find its origin in the stage of development of the national monitoring system. For countries with an elaborate monitoring system and a short reporting cycle, trends in abundance of species are a better source of information for national assessments. </w:t>
      </w:r>
    </w:p>
    <w:p w:rsidR="00835B77" w:rsidRDefault="00A57A29" w:rsidP="00622218">
      <w:pPr>
        <w:pStyle w:val="Paragraphedeliste"/>
        <w:numPr>
          <w:ilvl w:val="0"/>
          <w:numId w:val="34"/>
        </w:numPr>
        <w:spacing w:line="240" w:lineRule="auto"/>
      </w:pPr>
      <w:r w:rsidRPr="00791F2D">
        <w:t xml:space="preserve">Information on range and presence is less used.  </w:t>
      </w:r>
    </w:p>
    <w:p w:rsidR="00A57A29" w:rsidRPr="00791F2D" w:rsidRDefault="00A57A29" w:rsidP="00622218">
      <w:pPr>
        <w:pStyle w:val="Paragraphedeliste"/>
        <w:numPr>
          <w:ilvl w:val="0"/>
          <w:numId w:val="34"/>
        </w:numPr>
        <w:spacing w:line="240" w:lineRule="auto"/>
      </w:pPr>
      <w:r w:rsidRPr="00791F2D">
        <w:t xml:space="preserve">For countries where data availability is limited species richness and  number of red list species are often important sources of information; trends in abundance can often not be assessed due to lack of data. </w:t>
      </w:r>
    </w:p>
    <w:p w:rsidR="00835B77" w:rsidRDefault="00A57A29" w:rsidP="00835B77">
      <w:pPr>
        <w:spacing w:after="0" w:line="240" w:lineRule="auto"/>
      </w:pPr>
      <w:r w:rsidRPr="00835B77">
        <w:rPr>
          <w:b/>
        </w:rPr>
        <w:t>The overlap between indicator species used for national assessments and EU reporting shows a high variation depending on the species groups</w:t>
      </w:r>
      <w:r w:rsidRPr="00791F2D">
        <w:t xml:space="preserve">. </w:t>
      </w:r>
    </w:p>
    <w:p w:rsidR="00A57A29" w:rsidRPr="00791F2D" w:rsidRDefault="00A57A29" w:rsidP="00622218">
      <w:pPr>
        <w:pStyle w:val="Paragraphedeliste"/>
        <w:numPr>
          <w:ilvl w:val="0"/>
          <w:numId w:val="35"/>
        </w:numPr>
        <w:spacing w:after="0" w:line="240" w:lineRule="auto"/>
      </w:pPr>
      <w:r w:rsidRPr="00791F2D">
        <w:t>For amphibians and reptiles the overlap is generally high (between 100-80 %), medium for birds and mammals and low for invertebrates and plants. Reasons for this lack of overlap are threefold:</w:t>
      </w:r>
    </w:p>
    <w:p w:rsidR="00A57A29" w:rsidRPr="00791F2D" w:rsidRDefault="00A57A29" w:rsidP="00835B77">
      <w:pPr>
        <w:spacing w:after="0" w:line="240" w:lineRule="auto"/>
        <w:ind w:left="720"/>
      </w:pPr>
      <w:r w:rsidRPr="00791F2D">
        <w:t xml:space="preserve">1) The </w:t>
      </w:r>
      <w:r w:rsidRPr="00791F2D">
        <w:rPr>
          <w:i/>
        </w:rPr>
        <w:t>rareness</w:t>
      </w:r>
      <w:r w:rsidRPr="00791F2D">
        <w:t xml:space="preserve"> of some of the Directive species makes them poor indicators for monitoring overall change (e.g. three of the Dutch butterfly species in the Netherlands only occur in three restricted areas and there are many endemic plant species listed on the Directive).  </w:t>
      </w:r>
    </w:p>
    <w:p w:rsidR="00A57A29" w:rsidRDefault="00A57A29" w:rsidP="00835B77">
      <w:pPr>
        <w:spacing w:after="0" w:line="240" w:lineRule="auto"/>
        <w:ind w:left="720"/>
      </w:pPr>
      <w:r w:rsidRPr="00791F2D">
        <w:t xml:space="preserve">2) Their limited </w:t>
      </w:r>
      <w:r w:rsidRPr="00791F2D">
        <w:rPr>
          <w:i/>
        </w:rPr>
        <w:t>sensitivity</w:t>
      </w:r>
      <w:r w:rsidRPr="00791F2D">
        <w:t xml:space="preserve"> to </w:t>
      </w:r>
      <w:r w:rsidRPr="00791F2D">
        <w:rPr>
          <w:i/>
        </w:rPr>
        <w:t>pressures</w:t>
      </w:r>
      <w:r w:rsidRPr="00791F2D">
        <w:t xml:space="preserve"> which are important in national poli</w:t>
      </w:r>
      <w:r>
        <w:t>cies or</w:t>
      </w:r>
    </w:p>
    <w:p w:rsidR="00A57A29" w:rsidRPr="00791F2D" w:rsidRDefault="00A57A29" w:rsidP="00835B77">
      <w:pPr>
        <w:spacing w:after="0" w:line="240" w:lineRule="auto"/>
        <w:ind w:left="720"/>
      </w:pPr>
      <w:r w:rsidRPr="00791F2D">
        <w:t xml:space="preserve">3) the existence of additional </w:t>
      </w:r>
      <w:r w:rsidRPr="00791F2D">
        <w:rPr>
          <w:i/>
        </w:rPr>
        <w:t>policy goals</w:t>
      </w:r>
      <w:r w:rsidRPr="00791F2D">
        <w:t xml:space="preserve"> for species of national interest ( e.g Red list species). </w:t>
      </w:r>
    </w:p>
    <w:p w:rsidR="00A57A29" w:rsidRPr="00791F2D" w:rsidRDefault="00A57A29" w:rsidP="00835B77">
      <w:pPr>
        <w:spacing w:line="240" w:lineRule="auto"/>
        <w:ind w:left="720"/>
      </w:pPr>
      <w:r w:rsidRPr="00791F2D">
        <w:t xml:space="preserve">Based on the four reviewed cases we expect that only limited information on habitats will be available at the national level to complement the information gathered in the framework of EU reporting. </w:t>
      </w:r>
    </w:p>
    <w:p w:rsidR="0014347E" w:rsidRDefault="00A57A29" w:rsidP="0014347E">
      <w:pPr>
        <w:spacing w:after="0" w:line="240" w:lineRule="auto"/>
      </w:pPr>
      <w:r w:rsidRPr="00903580">
        <w:t>We therefore conclude that</w:t>
      </w:r>
      <w:r w:rsidRPr="00903580">
        <w:rPr>
          <w:b/>
        </w:rPr>
        <w:t>given the current level of information both at the level of the EU as well as in the country case studies the use of indicator species in order to assess the state of terrestrial ecosystems belonging to the following species groups could be feasible: birds, butterflies, mammals, reptiles and amphibians.</w:t>
      </w:r>
    </w:p>
    <w:p w:rsidR="00A57A29" w:rsidRDefault="00A57A29" w:rsidP="00622218">
      <w:pPr>
        <w:pStyle w:val="Paragraphedeliste"/>
        <w:numPr>
          <w:ilvl w:val="0"/>
          <w:numId w:val="35"/>
        </w:numPr>
        <w:spacing w:line="240" w:lineRule="auto"/>
      </w:pPr>
      <w:r w:rsidRPr="00791F2D">
        <w:t xml:space="preserve">For the first three groups national assessments can complement the list of species reported on under the EU directives. The existing bias of the Habitats Directive which focusses primarily on the protection of vertebrates is also present in national policies, therefore the information from national assessments will not assist in correcting this </w:t>
      </w:r>
      <w:r w:rsidRPr="0014347E">
        <w:rPr>
          <w:b/>
          <w:i/>
        </w:rPr>
        <w:t>bias in species groups</w:t>
      </w:r>
      <w:r w:rsidRPr="00791F2D">
        <w:t xml:space="preserve"> used to asses ecosystem state.</w:t>
      </w:r>
    </w:p>
    <w:p w:rsidR="00CE4BBA" w:rsidRPr="00791F2D" w:rsidRDefault="00CE4BBA" w:rsidP="00CE4BBA">
      <w:pPr>
        <w:pStyle w:val="Paragraphedeliste"/>
        <w:spacing w:line="240" w:lineRule="auto"/>
      </w:pPr>
    </w:p>
    <w:p w:rsidR="00A57A29" w:rsidRPr="00CE4BBA" w:rsidRDefault="00A57A29" w:rsidP="00622218">
      <w:pPr>
        <w:pStyle w:val="Paragraphedeliste"/>
        <w:numPr>
          <w:ilvl w:val="0"/>
          <w:numId w:val="36"/>
        </w:numPr>
        <w:spacing w:after="0" w:line="240" w:lineRule="auto"/>
        <w:rPr>
          <w:b/>
        </w:rPr>
      </w:pPr>
      <w:r w:rsidRPr="00CE4BBA">
        <w:rPr>
          <w:b/>
        </w:rPr>
        <w:t>Representativeness of indicator species for ecosystems</w:t>
      </w:r>
    </w:p>
    <w:p w:rsidR="00A57A29" w:rsidRPr="00791F2D" w:rsidRDefault="00A57A29" w:rsidP="00A57A29">
      <w:pPr>
        <w:spacing w:line="240" w:lineRule="auto"/>
      </w:pPr>
      <w:r w:rsidRPr="00791F2D">
        <w:t xml:space="preserve">If we review for which ecosystems these species might function as indicator species to determine the state of the ecosystem, </w:t>
      </w:r>
      <w:r w:rsidRPr="00CE4BBA">
        <w:rPr>
          <w:b/>
        </w:rPr>
        <w:t>no information could be found in the framework of this review about the relationship between the species on the red lists of Spain, Austria and Flanders and the allocation to various ecosystems.</w:t>
      </w:r>
      <w:r w:rsidRPr="00791F2D">
        <w:t xml:space="preserve"> If and how well these species groups represent the various ecosystems is therefore not yet known. In the Netherlands an elaborate system of indicator species has been developed in order to assess the state of various ecosystems. </w:t>
      </w:r>
    </w:p>
    <w:p w:rsidR="00A57A29" w:rsidRPr="00CE4BBA" w:rsidRDefault="00A57A29" w:rsidP="00622218">
      <w:pPr>
        <w:pStyle w:val="Paragraphedeliste"/>
        <w:numPr>
          <w:ilvl w:val="0"/>
          <w:numId w:val="36"/>
        </w:numPr>
        <w:spacing w:after="0" w:line="240" w:lineRule="auto"/>
        <w:rPr>
          <w:b/>
        </w:rPr>
      </w:pPr>
      <w:r w:rsidRPr="00CE4BBA">
        <w:rPr>
          <w:b/>
        </w:rPr>
        <w:t xml:space="preserve">Bottlenecks experienced &amp; opportunities to improve use of data </w:t>
      </w:r>
    </w:p>
    <w:p w:rsidR="00A57A29" w:rsidRPr="00791F2D" w:rsidRDefault="00A57A29" w:rsidP="00A57A29">
      <w:pPr>
        <w:spacing w:line="240" w:lineRule="auto"/>
      </w:pPr>
      <w:r w:rsidRPr="00791F2D">
        <w:lastRenderedPageBreak/>
        <w:t xml:space="preserve">The four cases show that there are various bottlenecks in the use of data and indicators gathered for national assessments for EU reporting and </w:t>
      </w:r>
      <w:r w:rsidRPr="00791F2D">
        <w:rPr>
          <w:i/>
        </w:rPr>
        <w:t>vice versa</w:t>
      </w:r>
      <w:r w:rsidRPr="00791F2D">
        <w:t xml:space="preserve">. The first of these relates to </w:t>
      </w:r>
      <w:r w:rsidRPr="00791F2D">
        <w:rPr>
          <w:b/>
        </w:rPr>
        <w:t>data quality/requirements</w:t>
      </w:r>
      <w:r w:rsidRPr="00791F2D">
        <w:t>. In one of the reviewed countries (eg the Netherlands) the data availability is much better than required for the EU reporting (timespan, number of species covered, spatial detail). As a result the national assessments are relying on these better data for their assessments. In the three other countries the data available for national assessments is less elaborate, and is not providing the detail required by the EU reporting (often only presence, time span too long) and additional systems are needed.  Often in these countries the resources are lacking to develop more elaborate monitoring and reporting systems.</w:t>
      </w:r>
    </w:p>
    <w:p w:rsidR="00A57A29" w:rsidRPr="00791F2D" w:rsidRDefault="00A57A29" w:rsidP="00A57A29">
      <w:pPr>
        <w:spacing w:line="240" w:lineRule="auto"/>
      </w:pPr>
      <w:r w:rsidRPr="00791F2D">
        <w:t>In addition</w:t>
      </w:r>
      <w:r w:rsidR="00CE4BBA">
        <w:t>,</w:t>
      </w:r>
      <w:r w:rsidRPr="00791F2D">
        <w:t xml:space="preserve"> national policies also focus on </w:t>
      </w:r>
      <w:r w:rsidRPr="00791F2D">
        <w:rPr>
          <w:b/>
        </w:rPr>
        <w:t>other species or habitats than those of European importance</w:t>
      </w:r>
      <w:r w:rsidRPr="00791F2D">
        <w:t xml:space="preserve">. In all four countries red lists exist that feature species that are the target of national policies. As this report shows, the overlap for several of the species groups on the red lists is rather low. Additionally in the reporting for the WFD and MSFD species groups are used (e.g. benthic invertebrates and phytoplankton) that are not target species for national policies. The same situation occurs in Austria and in Flanders where at the national level additional habitat types are distinguished. </w:t>
      </w:r>
    </w:p>
    <w:p w:rsidR="00A57A29" w:rsidRPr="00791F2D" w:rsidRDefault="00A57A29" w:rsidP="00A57A29">
      <w:pPr>
        <w:spacing w:line="240" w:lineRule="auto"/>
      </w:pPr>
      <w:r w:rsidRPr="00791F2D">
        <w:t xml:space="preserve">A last issue noticed is that often the </w:t>
      </w:r>
      <w:r w:rsidRPr="00791F2D">
        <w:rPr>
          <w:b/>
        </w:rPr>
        <w:t>methods used in the terrestrial and aquatic environment are very different as well as the organisations involved in the research</w:t>
      </w:r>
      <w:r w:rsidRPr="00791F2D">
        <w:t xml:space="preserve">. This might be the result of  historical reasons as the research fields have evolved differently over time but also pragmatic as some of the methods applied are not feasible both in the aquatic as well as the marine. </w:t>
      </w:r>
    </w:p>
    <w:p w:rsidR="00A57A29" w:rsidRDefault="00A57A29" w:rsidP="00CE4BBA">
      <w:pPr>
        <w:spacing w:line="240" w:lineRule="auto"/>
      </w:pPr>
      <w:r w:rsidRPr="00791F2D">
        <w:t xml:space="preserve">In addition, in three of the countries considered, the level for reporting has been delegated to below-national (e.g. provincial/regional) level. This has consequences for the standardisation of approaches and the requirement to apply a level of pragmatism in requiring a defined approach at national level – and links to the issue of methodology mentioned </w:t>
      </w:r>
      <w:r w:rsidR="00CE4BBA">
        <w:t xml:space="preserve">in the third point above. Thus: </w:t>
      </w:r>
      <w:r w:rsidRPr="00791F2D">
        <w:t>Ensure that flexibility of approach is acknowledged in the provision of advice, guidance and/or regulation delivered to the Member States.</w:t>
      </w:r>
    </w:p>
    <w:p w:rsidR="00F06CFC" w:rsidRDefault="005C2072" w:rsidP="005C2072">
      <w:pPr>
        <w:pStyle w:val="Titre1"/>
      </w:pPr>
      <w:r>
        <w:t>3.3</w:t>
      </w:r>
      <w:r>
        <w:tab/>
        <w:t>SUMMARY TASK 3</w:t>
      </w:r>
    </w:p>
    <w:p w:rsidR="004273AE" w:rsidRDefault="004273AE" w:rsidP="004273AE">
      <w:pPr>
        <w:pStyle w:val="Titre3"/>
        <w:spacing w:before="0" w:after="0"/>
        <w:rPr>
          <w:rFonts w:asciiTheme="minorHAnsi" w:hAnsiTheme="minorHAnsi"/>
          <w:sz w:val="22"/>
          <w:szCs w:val="22"/>
        </w:rPr>
      </w:pPr>
      <w:bookmarkStart w:id="1" w:name="_Toc357018616"/>
      <w:bookmarkStart w:id="2" w:name="_Toc358300101"/>
    </w:p>
    <w:p w:rsidR="006E37DE" w:rsidRPr="00970638" w:rsidRDefault="006E37DE" w:rsidP="006E37DE">
      <w:pPr>
        <w:autoSpaceDE w:val="0"/>
        <w:autoSpaceDN w:val="0"/>
        <w:adjustRightInd w:val="0"/>
        <w:spacing w:after="0" w:line="240" w:lineRule="auto"/>
        <w:jc w:val="both"/>
        <w:rPr>
          <w:rFonts w:cstheme="minorHAnsi"/>
          <w:b/>
          <w:sz w:val="24"/>
          <w:szCs w:val="24"/>
        </w:rPr>
      </w:pPr>
      <w:r w:rsidRPr="00970638">
        <w:rPr>
          <w:rFonts w:cstheme="minorHAnsi"/>
          <w:b/>
          <w:sz w:val="24"/>
          <w:szCs w:val="24"/>
        </w:rPr>
        <w:t>Deliverables Task 3</w:t>
      </w:r>
    </w:p>
    <w:p w:rsidR="006E37DE" w:rsidRPr="00970638" w:rsidRDefault="006E37DE" w:rsidP="006E37DE">
      <w:pPr>
        <w:numPr>
          <w:ilvl w:val="0"/>
          <w:numId w:val="8"/>
        </w:numPr>
        <w:autoSpaceDE w:val="0"/>
        <w:autoSpaceDN w:val="0"/>
        <w:adjustRightInd w:val="0"/>
        <w:spacing w:after="0" w:line="240" w:lineRule="auto"/>
        <w:contextualSpacing/>
        <w:jc w:val="both"/>
        <w:rPr>
          <w:rFonts w:cstheme="minorHAnsi"/>
          <w:b/>
          <w:bCs/>
          <w:sz w:val="24"/>
          <w:szCs w:val="24"/>
        </w:rPr>
      </w:pPr>
      <w:r w:rsidRPr="00970638">
        <w:rPr>
          <w:rFonts w:cstheme="minorHAnsi"/>
          <w:b/>
          <w:bCs/>
          <w:sz w:val="24"/>
          <w:szCs w:val="24"/>
        </w:rPr>
        <w:t>Revised version of the Draft Interim Report, including the results of the two-Day workshop</w:t>
      </w:r>
    </w:p>
    <w:p w:rsidR="006E37DE" w:rsidRDefault="006E37DE" w:rsidP="006E37DE">
      <w:pPr>
        <w:numPr>
          <w:ilvl w:val="0"/>
          <w:numId w:val="8"/>
        </w:numPr>
        <w:autoSpaceDE w:val="0"/>
        <w:autoSpaceDN w:val="0"/>
        <w:adjustRightInd w:val="0"/>
        <w:spacing w:after="0" w:line="240" w:lineRule="auto"/>
        <w:contextualSpacing/>
        <w:jc w:val="both"/>
        <w:rPr>
          <w:rFonts w:cstheme="minorHAnsi"/>
          <w:b/>
          <w:bCs/>
          <w:sz w:val="24"/>
          <w:szCs w:val="24"/>
        </w:rPr>
      </w:pPr>
      <w:r w:rsidRPr="00970638">
        <w:rPr>
          <w:rFonts w:cstheme="minorHAnsi"/>
          <w:b/>
          <w:bCs/>
          <w:sz w:val="24"/>
          <w:szCs w:val="24"/>
        </w:rPr>
        <w:t>Overview of gaps and  of recommendations to overcome the gaps</w:t>
      </w:r>
    </w:p>
    <w:p w:rsidR="006E37DE" w:rsidRDefault="006E37DE" w:rsidP="004273AE">
      <w:pPr>
        <w:pStyle w:val="Titre3"/>
        <w:spacing w:before="0" w:after="0"/>
        <w:rPr>
          <w:rFonts w:asciiTheme="minorHAnsi" w:hAnsiTheme="minorHAnsi"/>
          <w:i w:val="0"/>
          <w:sz w:val="22"/>
          <w:szCs w:val="22"/>
        </w:rPr>
      </w:pPr>
    </w:p>
    <w:p w:rsidR="004273AE" w:rsidRPr="00057BF9" w:rsidRDefault="004273AE" w:rsidP="00622218">
      <w:pPr>
        <w:pStyle w:val="Titre3"/>
        <w:numPr>
          <w:ilvl w:val="0"/>
          <w:numId w:val="57"/>
        </w:numPr>
        <w:spacing w:before="0" w:after="0"/>
        <w:rPr>
          <w:rFonts w:asciiTheme="minorHAnsi" w:hAnsiTheme="minorHAnsi"/>
          <w:i w:val="0"/>
          <w:szCs w:val="24"/>
        </w:rPr>
      </w:pPr>
      <w:r w:rsidRPr="00057BF9">
        <w:rPr>
          <w:rFonts w:asciiTheme="minorHAnsi" w:hAnsiTheme="minorHAnsi"/>
          <w:i w:val="0"/>
          <w:szCs w:val="24"/>
        </w:rPr>
        <w:t>Policy</w:t>
      </w:r>
      <w:bookmarkEnd w:id="1"/>
      <w:bookmarkEnd w:id="2"/>
    </w:p>
    <w:p w:rsidR="004273AE" w:rsidRDefault="004273AE" w:rsidP="00C04E59">
      <w:pPr>
        <w:spacing w:after="0" w:line="240" w:lineRule="auto"/>
      </w:pPr>
      <w:r>
        <w:t>T</w:t>
      </w:r>
      <w:r w:rsidRPr="00DD675F">
        <w:t xml:space="preserve">he main gap appeared to be a general lack of communication and understanding. This occurs </w:t>
      </w:r>
      <w:r>
        <w:t xml:space="preserve">both </w:t>
      </w:r>
      <w:r w:rsidRPr="00DD675F">
        <w:t xml:space="preserve">between the distinct levels of policy and between the policy and the science side. </w:t>
      </w:r>
    </w:p>
    <w:p w:rsidR="00057BF9" w:rsidRDefault="004273AE" w:rsidP="00622218">
      <w:pPr>
        <w:pStyle w:val="Paragraphedeliste"/>
        <w:numPr>
          <w:ilvl w:val="0"/>
          <w:numId w:val="35"/>
        </w:numPr>
        <w:spacing w:after="0" w:line="240" w:lineRule="auto"/>
      </w:pPr>
      <w:r>
        <w:t>It was suggested</w:t>
      </w:r>
      <w:r w:rsidRPr="00DD675F">
        <w:t xml:space="preserve"> that the EC should develop a schematic, under the form of a website or a leaflet, answering those questions. </w:t>
      </w:r>
    </w:p>
    <w:p w:rsidR="00057BF9" w:rsidRDefault="004273AE" w:rsidP="00622218">
      <w:pPr>
        <w:pStyle w:val="Paragraphedeliste"/>
        <w:numPr>
          <w:ilvl w:val="0"/>
          <w:numId w:val="35"/>
        </w:numPr>
        <w:spacing w:after="0" w:line="240" w:lineRule="auto"/>
      </w:pPr>
      <w:r w:rsidRPr="00DD675F">
        <w:t xml:space="preserve">It was </w:t>
      </w:r>
      <w:r>
        <w:t xml:space="preserve">further </w:t>
      </w:r>
      <w:r w:rsidRPr="00DD675F">
        <w:t xml:space="preserve">suggested to arrange workshops at the EU level to promote reporting on MAES. </w:t>
      </w:r>
      <w:r>
        <w:t xml:space="preserve">This is in fact happening already. </w:t>
      </w:r>
      <w:r w:rsidRPr="00DD675F">
        <w:t xml:space="preserve">Efforts are </w:t>
      </w:r>
      <w:r>
        <w:t>developed</w:t>
      </w:r>
      <w:r w:rsidRPr="00DD675F">
        <w:t xml:space="preserve"> to collaborate with the scientific societies and networks (</w:t>
      </w:r>
      <w:r>
        <w:t>ALTER-Net and the</w:t>
      </w:r>
      <w:r w:rsidRPr="00DD675F">
        <w:t xml:space="preserve"> Ecosystem Services Par</w:t>
      </w:r>
      <w:r>
        <w:t xml:space="preserve">tnership). </w:t>
      </w:r>
    </w:p>
    <w:p w:rsidR="004273AE" w:rsidRPr="00DD675F" w:rsidRDefault="004273AE" w:rsidP="00622218">
      <w:pPr>
        <w:pStyle w:val="Paragraphedeliste"/>
        <w:numPr>
          <w:ilvl w:val="0"/>
          <w:numId w:val="35"/>
        </w:numPr>
        <w:spacing w:after="0" w:line="240" w:lineRule="auto"/>
      </w:pPr>
      <w:r w:rsidRPr="00DD675F">
        <w:t xml:space="preserve">In addition to this </w:t>
      </w:r>
      <w:r>
        <w:t>top</w:t>
      </w:r>
      <w:r w:rsidRPr="00DD675F">
        <w:t xml:space="preserve">-down approach, up-scaling work from national and local initiatives </w:t>
      </w:r>
      <w:r>
        <w:t>was suggested</w:t>
      </w:r>
      <w:r w:rsidRPr="00DD675F">
        <w:t>. This is supported by the MAES analytical framework that states that a wealth of knowledge is available at the Member State and sta</w:t>
      </w:r>
      <w:r w:rsidR="00057BF9">
        <w:t>keholder level.</w:t>
      </w:r>
    </w:p>
    <w:p w:rsidR="004273AE" w:rsidRDefault="004273AE" w:rsidP="00C04E59">
      <w:pPr>
        <w:spacing w:after="0" w:line="240" w:lineRule="auto"/>
        <w:rPr>
          <w:b/>
          <w:i/>
        </w:rPr>
      </w:pPr>
    </w:p>
    <w:p w:rsidR="006E37DE" w:rsidRDefault="004273AE" w:rsidP="00C04E59">
      <w:pPr>
        <w:spacing w:after="0" w:line="240" w:lineRule="auto"/>
      </w:pPr>
      <w:r>
        <w:t xml:space="preserve">Miscommunication between policy makers(DG ENV possibly excluded) </w:t>
      </w:r>
      <w:r w:rsidRPr="00DD675F">
        <w:t xml:space="preserve">and scientists </w:t>
      </w:r>
      <w:r>
        <w:t>is observed to lead (at all geographical levels)</w:t>
      </w:r>
      <w:r w:rsidRPr="00DD675F">
        <w:t xml:space="preserve"> to a lack of understanding from the policy side </w:t>
      </w:r>
      <w:r w:rsidR="00057BF9">
        <w:t xml:space="preserve">at Member state and </w:t>
      </w:r>
      <w:r w:rsidR="00057BF9">
        <w:lastRenderedPageBreak/>
        <w:t xml:space="preserve">regional levels </w:t>
      </w:r>
      <w:r w:rsidRPr="00DD675F">
        <w:t>of the usefulness of mapping and assessing ES. This hampers the implementation of assessment and mapping of ES, mainly due to cutbacks</w:t>
      </w:r>
      <w:r>
        <w:t xml:space="preserve"> in funding</w:t>
      </w:r>
      <w:r w:rsidRPr="00DD675F">
        <w:t xml:space="preserve">. As a second consequence of </w:t>
      </w:r>
      <w:r>
        <w:t>the observed</w:t>
      </w:r>
      <w:r w:rsidRPr="00DD675F">
        <w:t xml:space="preserve"> lack of communication, scien</w:t>
      </w:r>
      <w:r>
        <w:t xml:space="preserve">tistssometimes </w:t>
      </w:r>
      <w:r w:rsidRPr="00DD675F">
        <w:t>finds</w:t>
      </w:r>
      <w:r>
        <w:t>themselves</w:t>
      </w:r>
      <w:r w:rsidRPr="00DD675F">
        <w:t xml:space="preserve"> to be the only responsible for a task that should include stakeholde</w:t>
      </w:r>
      <w:r>
        <w:t>rs from many fields</w:t>
      </w:r>
      <w:r w:rsidRPr="00DD675F">
        <w:t>. Involvement of stakeholders wou</w:t>
      </w:r>
      <w:r>
        <w:t>ld possibly be more frequent and effective if politicians</w:t>
      </w:r>
      <w:r w:rsidRPr="00DD675F">
        <w:t xml:space="preserve"> were giving incentives to the stakeholders. </w:t>
      </w:r>
    </w:p>
    <w:p w:rsidR="004273AE" w:rsidRDefault="004273AE" w:rsidP="00622218">
      <w:pPr>
        <w:pStyle w:val="Paragraphedeliste"/>
        <w:numPr>
          <w:ilvl w:val="0"/>
          <w:numId w:val="35"/>
        </w:numPr>
        <w:spacing w:after="0" w:line="240" w:lineRule="auto"/>
      </w:pPr>
      <w:r w:rsidRPr="00DD675F">
        <w:t xml:space="preserve">It </w:t>
      </w:r>
      <w:r>
        <w:t>is generally</w:t>
      </w:r>
      <w:r w:rsidRPr="00DD675F">
        <w:t xml:space="preserve"> recommended to get </w:t>
      </w:r>
      <w:r w:rsidR="00057BF9">
        <w:t>stakeholders</w:t>
      </w:r>
      <w:r w:rsidRPr="00DD675F">
        <w:t xml:space="preserve"> involved from the beginning. The first step of involving stakeholder</w:t>
      </w:r>
      <w:r>
        <w:t>s</w:t>
      </w:r>
      <w:r w:rsidRPr="00DD675F">
        <w:t xml:space="preserve"> is to identify them. </w:t>
      </w:r>
      <w:bookmarkStart w:id="3" w:name="_Toc357018617"/>
      <w:bookmarkStart w:id="4" w:name="_Toc358300102"/>
    </w:p>
    <w:p w:rsidR="006E37DE" w:rsidRPr="006E37DE" w:rsidRDefault="006E37DE" w:rsidP="00C04E59">
      <w:pPr>
        <w:pStyle w:val="Paragraphedeliste"/>
        <w:spacing w:after="0" w:line="240" w:lineRule="auto"/>
      </w:pPr>
    </w:p>
    <w:p w:rsidR="004273AE" w:rsidRPr="00057BF9" w:rsidRDefault="004273AE" w:rsidP="00622218">
      <w:pPr>
        <w:pStyle w:val="Titre3"/>
        <w:numPr>
          <w:ilvl w:val="0"/>
          <w:numId w:val="57"/>
        </w:numPr>
        <w:spacing w:before="0" w:after="0"/>
        <w:jc w:val="left"/>
        <w:rPr>
          <w:rFonts w:asciiTheme="minorHAnsi" w:hAnsiTheme="minorHAnsi"/>
          <w:i w:val="0"/>
          <w:szCs w:val="24"/>
        </w:rPr>
      </w:pPr>
      <w:r w:rsidRPr="00057BF9">
        <w:rPr>
          <w:rFonts w:asciiTheme="minorHAnsi" w:hAnsiTheme="minorHAnsi"/>
          <w:i w:val="0"/>
          <w:szCs w:val="24"/>
        </w:rPr>
        <w:t>Methodology</w:t>
      </w:r>
      <w:bookmarkEnd w:id="3"/>
      <w:bookmarkEnd w:id="4"/>
    </w:p>
    <w:p w:rsidR="004273AE" w:rsidRPr="00DD675F" w:rsidRDefault="004273AE" w:rsidP="00C04E59">
      <w:pPr>
        <w:spacing w:after="0" w:line="240" w:lineRule="auto"/>
      </w:pPr>
      <w:r w:rsidRPr="00DD675F">
        <w:t>With respects to the methodology, two main gaps were identified: the lack of harmonization and the lack of knowledge on how to integrate some aspects.</w:t>
      </w:r>
    </w:p>
    <w:p w:rsidR="004273AE" w:rsidRDefault="004273AE" w:rsidP="00C04E59">
      <w:pPr>
        <w:spacing w:after="0" w:line="240" w:lineRule="auto"/>
        <w:rPr>
          <w:b/>
          <w:i/>
        </w:rPr>
      </w:pPr>
    </w:p>
    <w:p w:rsidR="004273AE" w:rsidRPr="00DD675F" w:rsidRDefault="004273AE" w:rsidP="00C04E59">
      <w:pPr>
        <w:spacing w:after="0" w:line="240" w:lineRule="auto"/>
        <w:rPr>
          <w:b/>
          <w:i/>
        </w:rPr>
      </w:pPr>
      <w:r w:rsidRPr="00DD675F">
        <w:rPr>
          <w:b/>
          <w:i/>
        </w:rPr>
        <w:t>The lack of harmonization</w:t>
      </w:r>
    </w:p>
    <w:p w:rsidR="00335E73" w:rsidRDefault="004273AE" w:rsidP="00C04E59">
      <w:pPr>
        <w:spacing w:after="0" w:line="240" w:lineRule="auto"/>
      </w:pPr>
      <w:r w:rsidRPr="00DD675F">
        <w:t xml:space="preserve">The first barrier identified is a lack of standardization of the existing nomenclature, typologies and classifications. A wide range of classifications and definitions for ecosystem functions and services is available </w:t>
      </w:r>
    </w:p>
    <w:p w:rsidR="00335E73" w:rsidRDefault="004273AE" w:rsidP="00622218">
      <w:pPr>
        <w:pStyle w:val="Paragraphedeliste"/>
        <w:numPr>
          <w:ilvl w:val="0"/>
          <w:numId w:val="35"/>
        </w:numPr>
        <w:spacing w:after="0" w:line="240" w:lineRule="auto"/>
      </w:pPr>
      <w:r w:rsidRPr="00DD675F">
        <w:t xml:space="preserve">Recommendations were formulated at the workshop to relate classifications of the MAES framework to the ones of specific sectors such as forestry or fisheries to determine commonalities and differences. From there, conversion tables would be provided. </w:t>
      </w:r>
    </w:p>
    <w:p w:rsidR="004273AE" w:rsidRPr="00DD675F" w:rsidRDefault="004273AE" w:rsidP="00622218">
      <w:pPr>
        <w:pStyle w:val="Paragraphedeliste"/>
        <w:numPr>
          <w:ilvl w:val="0"/>
          <w:numId w:val="35"/>
        </w:numPr>
        <w:spacing w:after="0" w:line="240" w:lineRule="auto"/>
      </w:pPr>
      <w:r w:rsidRPr="00DD675F">
        <w:t xml:space="preserve">Moreover, it was suggested to apply the </w:t>
      </w:r>
      <w:r>
        <w:t xml:space="preserve">MAES </w:t>
      </w:r>
      <w:r w:rsidRPr="00DD675F">
        <w:t xml:space="preserve">analytical framework to the country cases of the MESEU project to check its adequacy. </w:t>
      </w:r>
    </w:p>
    <w:p w:rsidR="004273AE" w:rsidRDefault="004273AE" w:rsidP="00C04E59">
      <w:pPr>
        <w:spacing w:after="0" w:line="240" w:lineRule="auto"/>
      </w:pPr>
    </w:p>
    <w:p w:rsidR="00335E73" w:rsidRDefault="004273AE" w:rsidP="00C04E59">
      <w:pPr>
        <w:spacing w:after="0" w:line="240" w:lineRule="auto"/>
      </w:pPr>
      <w:r w:rsidRPr="00DD675F">
        <w:t>Moreover, there exists a lack of ha</w:t>
      </w:r>
      <w:r>
        <w:t>rmonization between assessments. This observation in the workshop is clearly supported by the material from the Country Case studies.</w:t>
      </w:r>
      <w:r w:rsidRPr="00DD675F">
        <w:t xml:space="preserve"> A broad range of methodologies and approaches are being used to assess and map ES. Methodologies vary according to the aim, the scale, and the resource available of the study. </w:t>
      </w:r>
    </w:p>
    <w:p w:rsidR="004273AE" w:rsidRDefault="004273AE" w:rsidP="00622218">
      <w:pPr>
        <w:pStyle w:val="Paragraphedeliste"/>
        <w:numPr>
          <w:ilvl w:val="0"/>
          <w:numId w:val="37"/>
        </w:numPr>
        <w:spacing w:after="0" w:line="240" w:lineRule="auto"/>
      </w:pPr>
      <w:r w:rsidRPr="00DD675F">
        <w:t>The knowledge on existing methods should be gathered on one common platform which should be available for all. BISE represents such a platform and</w:t>
      </w:r>
      <w:r>
        <w:t xml:space="preserve"> should be developed as the one-stop-access-</w:t>
      </w:r>
      <w:r w:rsidRPr="00DD675F">
        <w:t xml:space="preserve">portal to all ES studies. The existence of this platform should be promoted to the scientific community. </w:t>
      </w:r>
    </w:p>
    <w:p w:rsidR="00335E73" w:rsidRDefault="004273AE" w:rsidP="00622218">
      <w:pPr>
        <w:pStyle w:val="Paragraphedeliste"/>
        <w:numPr>
          <w:ilvl w:val="0"/>
          <w:numId w:val="37"/>
        </w:numPr>
        <w:spacing w:after="0" w:line="240" w:lineRule="auto"/>
      </w:pPr>
      <w:r w:rsidRPr="00DD675F">
        <w:t xml:space="preserve">The </w:t>
      </w:r>
      <w:r>
        <w:t>lessons learned</w:t>
      </w:r>
      <w:r w:rsidRPr="00DD675F">
        <w:t xml:space="preserve"> from the comparison of the existing methods should lead to the construction of ‘cook book’ for mapping and assessing ES</w:t>
      </w:r>
      <w:r>
        <w:t xml:space="preserve"> (see for an outline of such a cook book, or Guidance Manual: </w:t>
      </w:r>
      <w:r w:rsidR="00335E73">
        <w:t>MESEU FINAL REPORT PART 5: the TASK 4 report</w:t>
      </w:r>
      <w:r>
        <w:t>)</w:t>
      </w:r>
      <w:r w:rsidRPr="00DD675F">
        <w:t xml:space="preserve">. </w:t>
      </w:r>
    </w:p>
    <w:p w:rsidR="004273AE" w:rsidRPr="00DD675F" w:rsidRDefault="004273AE" w:rsidP="00622218">
      <w:pPr>
        <w:pStyle w:val="Paragraphedeliste"/>
        <w:numPr>
          <w:ilvl w:val="0"/>
          <w:numId w:val="37"/>
        </w:numPr>
        <w:spacing w:after="0" w:line="240" w:lineRule="auto"/>
      </w:pPr>
      <w:r w:rsidRPr="00DD675F">
        <w:t>Experts stressed the importance to pass on this new knowledge gene</w:t>
      </w:r>
      <w:r w:rsidR="00A41F18">
        <w:t>rated to the young researchers.</w:t>
      </w:r>
    </w:p>
    <w:p w:rsidR="004273AE" w:rsidRDefault="004273AE" w:rsidP="00C04E59">
      <w:pPr>
        <w:spacing w:after="0" w:line="240" w:lineRule="auto"/>
        <w:rPr>
          <w:b/>
          <w:i/>
        </w:rPr>
      </w:pPr>
    </w:p>
    <w:p w:rsidR="004273AE" w:rsidRPr="00DD675F" w:rsidRDefault="004273AE" w:rsidP="00C04E59">
      <w:pPr>
        <w:spacing w:after="0" w:line="240" w:lineRule="auto"/>
        <w:rPr>
          <w:b/>
          <w:i/>
        </w:rPr>
      </w:pPr>
      <w:r w:rsidRPr="00DD675F">
        <w:rPr>
          <w:b/>
          <w:i/>
        </w:rPr>
        <w:t>Lack of knowledge on how to integrate certain features</w:t>
      </w:r>
    </w:p>
    <w:p w:rsidR="00335E73" w:rsidRPr="00462568" w:rsidRDefault="004273AE" w:rsidP="00C04E59">
      <w:pPr>
        <w:spacing w:after="0" w:line="240" w:lineRule="auto"/>
      </w:pPr>
      <w:r w:rsidRPr="00DD675F">
        <w:t>Assessing and mapping ES is a considerable task as it involves many aspects and many disciplines. Several aspects came out at the workshop to represent</w:t>
      </w:r>
      <w:r w:rsidR="00462568">
        <w:t xml:space="preserve"> an obstacle in ES assessments. </w:t>
      </w:r>
      <w:r w:rsidRPr="00DD675F">
        <w:t>At first, there seem</w:t>
      </w:r>
      <w:r>
        <w:t>s</w:t>
      </w:r>
      <w:r w:rsidRPr="00DD675F">
        <w:t xml:space="preserve"> to be a lack of clarity between </w:t>
      </w:r>
      <w:r w:rsidRPr="00DD675F">
        <w:rPr>
          <w:rFonts w:eastAsia="Times New Roman"/>
          <w:b/>
          <w:bCs/>
          <w:color w:val="000000"/>
          <w:lang w:eastAsia="fr-BE"/>
        </w:rPr>
        <w:t>ecosystemfunction/process and ecosystem services</w:t>
      </w:r>
      <w:r w:rsidRPr="00DD675F">
        <w:rPr>
          <w:rFonts w:eastAsia="Times New Roman"/>
          <w:color w:val="000000"/>
          <w:lang w:eastAsia="fr-BE"/>
        </w:rPr>
        <w:t xml:space="preserve"> and whether these are parallel processes or two. </w:t>
      </w:r>
    </w:p>
    <w:p w:rsidR="004273AE" w:rsidRPr="00462568" w:rsidRDefault="004273AE" w:rsidP="00622218">
      <w:pPr>
        <w:pStyle w:val="Paragraphedeliste"/>
        <w:numPr>
          <w:ilvl w:val="0"/>
          <w:numId w:val="38"/>
        </w:numPr>
        <w:spacing w:after="0" w:line="240" w:lineRule="auto"/>
        <w:rPr>
          <w:rFonts w:eastAsia="Times New Roman"/>
          <w:color w:val="000000"/>
          <w:lang w:eastAsia="fr-BE"/>
        </w:rPr>
      </w:pPr>
      <w:r w:rsidRPr="00335E73">
        <w:rPr>
          <w:rFonts w:eastAsia="Times New Roman"/>
          <w:color w:val="000000"/>
          <w:lang w:eastAsia="fr-BE"/>
        </w:rPr>
        <w:t xml:space="preserve">In </w:t>
      </w:r>
      <w:r w:rsidR="00462568">
        <w:rPr>
          <w:rFonts w:eastAsia="Times New Roman"/>
          <w:color w:val="000000"/>
          <w:lang w:eastAsia="fr-BE"/>
        </w:rPr>
        <w:t>the professional literatur</w:t>
      </w:r>
      <w:r w:rsidRPr="00335E73">
        <w:rPr>
          <w:rFonts w:eastAsia="Times New Roman"/>
          <w:color w:val="000000"/>
          <w:lang w:eastAsia="fr-BE"/>
        </w:rPr>
        <w:t xml:space="preserve"> this debate is summarised and in fact an evolved version of the so called Cascade model is suggested to c</w:t>
      </w:r>
      <w:r w:rsidR="00335E73" w:rsidRPr="00335E73">
        <w:rPr>
          <w:rFonts w:eastAsia="Times New Roman"/>
          <w:color w:val="000000"/>
          <w:lang w:eastAsia="fr-BE"/>
        </w:rPr>
        <w:t>l</w:t>
      </w:r>
      <w:r w:rsidRPr="00335E73">
        <w:rPr>
          <w:rFonts w:eastAsia="Times New Roman"/>
          <w:color w:val="000000"/>
          <w:lang w:eastAsia="fr-BE"/>
        </w:rPr>
        <w:t xml:space="preserve">arify most of the issue. </w:t>
      </w:r>
    </w:p>
    <w:p w:rsidR="00335E73" w:rsidRDefault="004273AE" w:rsidP="00C04E59">
      <w:pPr>
        <w:spacing w:after="0" w:line="240" w:lineRule="auto"/>
      </w:pPr>
      <w:r w:rsidRPr="00DD675F">
        <w:t>The second aspect discussed at the workshop as being problematic is the implementation of the</w:t>
      </w:r>
      <w:r w:rsidR="00462568" w:rsidRPr="00C04E59">
        <w:rPr>
          <w:b/>
        </w:rPr>
        <w:t>ecosystem service</w:t>
      </w:r>
      <w:r w:rsidRPr="00C04E59">
        <w:rPr>
          <w:b/>
        </w:rPr>
        <w:t xml:space="preserve"> demand</w:t>
      </w:r>
      <w:r w:rsidRPr="00462568">
        <w:rPr>
          <w:i/>
        </w:rPr>
        <w:t>.</w:t>
      </w:r>
      <w:r w:rsidRPr="00DD675F">
        <w:t xml:space="preserve"> While incorporating the demand to the assessment is rarely achieved it is important in order to reach a sustainable natural resource management strategy. </w:t>
      </w:r>
    </w:p>
    <w:p w:rsidR="004273AE" w:rsidRDefault="004273AE" w:rsidP="00622218">
      <w:pPr>
        <w:pStyle w:val="Paragraphedeliste"/>
        <w:numPr>
          <w:ilvl w:val="0"/>
          <w:numId w:val="39"/>
        </w:numPr>
        <w:spacing w:after="0" w:line="240" w:lineRule="auto"/>
      </w:pPr>
      <w:r w:rsidRPr="00DD675F">
        <w:t xml:space="preserve">Experts advised to follow the idea of Burkhard </w:t>
      </w:r>
      <w:r w:rsidRPr="00C04E59">
        <w:rPr>
          <w:i/>
        </w:rPr>
        <w:t>et al.</w:t>
      </w:r>
      <w:r w:rsidRPr="00DD675F">
        <w:t xml:space="preserve">. (2012) and use of the population density as a proxy. This was indeed implemented efficiently in the assessment of Switzerland (global) (A. Grêt-Ramey </w:t>
      </w:r>
      <w:r w:rsidRPr="00C04E59">
        <w:rPr>
          <w:i/>
        </w:rPr>
        <w:t>et al.</w:t>
      </w:r>
      <w:r w:rsidRPr="00DD675F">
        <w:t xml:space="preserve"> 2012). </w:t>
      </w:r>
    </w:p>
    <w:p w:rsidR="00335E73" w:rsidRDefault="004273AE" w:rsidP="00C04E59">
      <w:pPr>
        <w:spacing w:after="0" w:line="240" w:lineRule="auto"/>
      </w:pPr>
      <w:r w:rsidRPr="00DD675F">
        <w:t xml:space="preserve">Another point that often creates difficulties is the difference in </w:t>
      </w:r>
      <w:r w:rsidRPr="00DD675F">
        <w:rPr>
          <w:b/>
        </w:rPr>
        <w:t>geographical scales</w:t>
      </w:r>
      <w:r w:rsidRPr="00DD675F">
        <w:t xml:space="preserve"> among the studies making them incompatible</w:t>
      </w:r>
      <w:r>
        <w:t xml:space="preserve">. </w:t>
      </w:r>
    </w:p>
    <w:p w:rsidR="00335E73" w:rsidRDefault="004273AE" w:rsidP="00622218">
      <w:pPr>
        <w:pStyle w:val="Paragraphedeliste"/>
        <w:numPr>
          <w:ilvl w:val="0"/>
          <w:numId w:val="39"/>
        </w:numPr>
        <w:spacing w:after="0" w:line="240" w:lineRule="auto"/>
      </w:pPr>
      <w:r>
        <w:lastRenderedPageBreak/>
        <w:t>Experts advis</w:t>
      </w:r>
      <w:r w:rsidRPr="00DD675F">
        <w:t>ed the use of a distinct method for each scale to reach more accurate assessments. For European assessments, the use of scale 1:1.000.000. or</w:t>
      </w:r>
      <w:r>
        <w:t>smaller</w:t>
      </w:r>
      <w:r w:rsidRPr="00DD675F">
        <w:t xml:space="preserve"> is recommended. </w:t>
      </w:r>
    </w:p>
    <w:p w:rsidR="00335E73" w:rsidRDefault="004273AE" w:rsidP="00622218">
      <w:pPr>
        <w:pStyle w:val="Paragraphedeliste"/>
        <w:numPr>
          <w:ilvl w:val="0"/>
          <w:numId w:val="39"/>
        </w:numPr>
        <w:spacing w:after="0" w:line="240" w:lineRule="auto"/>
      </w:pPr>
      <w:r w:rsidRPr="00DD675F">
        <w:t>The most appropriate method for each scale should be determined by comparing studies working on the same scale. Such comparison would be facilitated by the gathering of all existing methods on a common platform as mentioned earlier. On the very local scale, experts expressed the possibility to rely on the local knowl</w:t>
      </w:r>
      <w:r w:rsidR="00335E73">
        <w:t>edge by means of crowdsourcing.</w:t>
      </w:r>
    </w:p>
    <w:p w:rsidR="004273AE" w:rsidRDefault="004273AE" w:rsidP="00622218">
      <w:pPr>
        <w:pStyle w:val="Paragraphedeliste"/>
        <w:numPr>
          <w:ilvl w:val="0"/>
          <w:numId w:val="39"/>
        </w:numPr>
        <w:spacing w:after="0" w:line="240" w:lineRule="auto"/>
      </w:pPr>
      <w:r w:rsidRPr="00DD675F">
        <w:t>On the other hand, remote sensing is an appropriate</w:t>
      </w:r>
      <w:r w:rsidR="00335E73">
        <w:t xml:space="preserve"> method for large area mapping.</w:t>
      </w:r>
      <w:r w:rsidRPr="00DD675F">
        <w:t xml:space="preserve">although it remains underused due to its high technical aspect. </w:t>
      </w:r>
    </w:p>
    <w:p w:rsidR="00C47862" w:rsidRDefault="004273AE" w:rsidP="00C04E59">
      <w:pPr>
        <w:spacing w:after="0" w:line="240" w:lineRule="auto"/>
      </w:pPr>
      <w:r w:rsidRPr="00DD675F">
        <w:t xml:space="preserve">ES are </w:t>
      </w:r>
      <w:r w:rsidRPr="00DD675F">
        <w:rPr>
          <w:b/>
        </w:rPr>
        <w:t>multidimensional</w:t>
      </w:r>
      <w:r w:rsidRPr="00DD675F">
        <w:t xml:space="preserve"> and their representation on a two-dimension map represents a simplification. Maps disregard the third spatial dimension which has a specific importance for mountainous and marine ecosystems. The fourth dimension of time is also often bypassed although it is acknowledged to be of high importance. </w:t>
      </w:r>
    </w:p>
    <w:p w:rsidR="004273AE" w:rsidRDefault="004273AE" w:rsidP="00622218">
      <w:pPr>
        <w:pStyle w:val="Paragraphedeliste"/>
        <w:numPr>
          <w:ilvl w:val="0"/>
          <w:numId w:val="40"/>
        </w:numPr>
        <w:spacing w:after="0" w:line="240" w:lineRule="auto"/>
      </w:pPr>
      <w:r w:rsidRPr="00DD675F">
        <w:t xml:space="preserve">In order to clarify this multidimensionality, experts stated that time and scale should be defined per ecosystem type for each ES assessment. </w:t>
      </w:r>
    </w:p>
    <w:p w:rsidR="00C47862" w:rsidRDefault="004273AE" w:rsidP="004273AE">
      <w:pPr>
        <w:spacing w:after="0" w:line="240" w:lineRule="auto"/>
        <w:jc w:val="both"/>
      </w:pPr>
      <w:r w:rsidRPr="00DD675F">
        <w:t xml:space="preserve">A further important trait to incorporate into ES assessment is the </w:t>
      </w:r>
      <w:r w:rsidRPr="00DD675F">
        <w:rPr>
          <w:b/>
        </w:rPr>
        <w:t>multidisciplinar</w:t>
      </w:r>
      <w:r w:rsidR="00C47862">
        <w:rPr>
          <w:b/>
        </w:rPr>
        <w:t>it</w:t>
      </w:r>
      <w:r w:rsidRPr="00DD675F">
        <w:rPr>
          <w:b/>
        </w:rPr>
        <w:t>y of ES</w:t>
      </w:r>
      <w:r w:rsidRPr="00DD675F">
        <w:t>. Assessing ES requires the expertise of scientific from different fields and of experts in distinct disciplines. Three broad disciplines are implicated: ecology, econ</w:t>
      </w:r>
      <w:r w:rsidR="00C04E59">
        <w:t>omy and applied social sciences.</w:t>
      </w:r>
      <w:r w:rsidRPr="00DD675F">
        <w:t xml:space="preserve"> Currently, most assessments are carried out separately for the different research fields and disciplines, each trying to attain different goals</w:t>
      </w:r>
      <w:r w:rsidR="00C04E59">
        <w:t xml:space="preserve"> and using distinct definitions.</w:t>
      </w:r>
    </w:p>
    <w:p w:rsidR="00C47862" w:rsidRDefault="004273AE" w:rsidP="00622218">
      <w:pPr>
        <w:pStyle w:val="Paragraphedeliste"/>
        <w:numPr>
          <w:ilvl w:val="0"/>
          <w:numId w:val="41"/>
        </w:numPr>
        <w:spacing w:after="0" w:line="240" w:lineRule="auto"/>
        <w:jc w:val="both"/>
      </w:pPr>
      <w:r>
        <w:t>Experts emphasiz</w:t>
      </w:r>
      <w:r w:rsidRPr="00DD675F">
        <w:t xml:space="preserve">e the need to involve various experts from the research proposal elaboration step of the process. </w:t>
      </w:r>
    </w:p>
    <w:p w:rsidR="00C04E59" w:rsidRDefault="004273AE" w:rsidP="004273AE">
      <w:pPr>
        <w:spacing w:after="0" w:line="240" w:lineRule="auto"/>
        <w:jc w:val="both"/>
      </w:pPr>
      <w:r>
        <w:t>Finally</w:t>
      </w:r>
      <w:r w:rsidRPr="00DD675F">
        <w:t xml:space="preserve">, the </w:t>
      </w:r>
      <w:r w:rsidRPr="00DD675F">
        <w:rPr>
          <w:b/>
        </w:rPr>
        <w:t>thresholds</w:t>
      </w:r>
      <w:r w:rsidRPr="00DD675F">
        <w:t xml:space="preserve"> of ecosystem resilience are weakly documented and should be the focus of future studies. </w:t>
      </w:r>
    </w:p>
    <w:p w:rsidR="00C47862" w:rsidRDefault="004273AE" w:rsidP="00622218">
      <w:pPr>
        <w:pStyle w:val="Paragraphedeliste"/>
        <w:numPr>
          <w:ilvl w:val="0"/>
          <w:numId w:val="41"/>
        </w:numPr>
        <w:spacing w:after="0" w:line="240" w:lineRule="auto"/>
        <w:jc w:val="both"/>
      </w:pPr>
      <w:r w:rsidRPr="00DD675F">
        <w:t xml:space="preserve">Thresholds at which assessments are biased can be assessed by means of uncertainties studies. </w:t>
      </w:r>
    </w:p>
    <w:p w:rsidR="004273AE" w:rsidRPr="00DD675F" w:rsidRDefault="004273AE" w:rsidP="004273AE">
      <w:pPr>
        <w:spacing w:after="0" w:line="240" w:lineRule="auto"/>
        <w:jc w:val="both"/>
      </w:pPr>
    </w:p>
    <w:p w:rsidR="004273AE" w:rsidRPr="004D4053" w:rsidRDefault="004273AE" w:rsidP="00622218">
      <w:pPr>
        <w:pStyle w:val="Titre3"/>
        <w:keepLines/>
        <w:numPr>
          <w:ilvl w:val="0"/>
          <w:numId w:val="57"/>
        </w:numPr>
        <w:spacing w:before="0" w:after="0"/>
        <w:jc w:val="left"/>
        <w:rPr>
          <w:rFonts w:asciiTheme="minorHAnsi" w:hAnsiTheme="minorHAnsi"/>
          <w:i w:val="0"/>
          <w:sz w:val="22"/>
          <w:szCs w:val="22"/>
        </w:rPr>
      </w:pPr>
      <w:bookmarkStart w:id="5" w:name="_Toc357018618"/>
      <w:bookmarkStart w:id="6" w:name="_Toc358300103"/>
      <w:r w:rsidRPr="004D4053">
        <w:rPr>
          <w:rFonts w:asciiTheme="minorHAnsi" w:hAnsiTheme="minorHAnsi"/>
          <w:i w:val="0"/>
          <w:sz w:val="22"/>
          <w:szCs w:val="22"/>
        </w:rPr>
        <w:t>Data</w:t>
      </w:r>
      <w:bookmarkEnd w:id="5"/>
      <w:bookmarkEnd w:id="6"/>
    </w:p>
    <w:p w:rsidR="004273AE" w:rsidRDefault="004273AE" w:rsidP="004273AE">
      <w:pPr>
        <w:spacing w:after="0" w:line="240" w:lineRule="auto"/>
        <w:jc w:val="both"/>
        <w:rPr>
          <w:b/>
          <w:i/>
        </w:rPr>
      </w:pPr>
    </w:p>
    <w:p w:rsidR="004273AE" w:rsidRPr="00DD675F" w:rsidRDefault="004273AE" w:rsidP="004273AE">
      <w:pPr>
        <w:spacing w:after="0" w:line="240" w:lineRule="auto"/>
        <w:jc w:val="both"/>
        <w:rPr>
          <w:b/>
          <w:i/>
        </w:rPr>
      </w:pPr>
      <w:r w:rsidRPr="00DD675F">
        <w:rPr>
          <w:b/>
          <w:i/>
        </w:rPr>
        <w:t>General issues regarding data compatibility, existence and accessibility</w:t>
      </w:r>
    </w:p>
    <w:p w:rsidR="002D7DBA" w:rsidRDefault="004273AE" w:rsidP="004273AE">
      <w:pPr>
        <w:spacing w:after="0" w:line="240" w:lineRule="auto"/>
        <w:jc w:val="both"/>
      </w:pPr>
      <w:r w:rsidRPr="00DD675F">
        <w:t xml:space="preserve">Data from distinct assessments show the tendency to be </w:t>
      </w:r>
      <w:r w:rsidRPr="001D31FA">
        <w:rPr>
          <w:b/>
        </w:rPr>
        <w:t>incompatible</w:t>
      </w:r>
      <w:r w:rsidRPr="00DD675F">
        <w:t xml:space="preserve">. This is due to the different aims of the study, the distinct scales, the different data-collection’s times and distinct quality level among the assessments. </w:t>
      </w:r>
    </w:p>
    <w:p w:rsidR="001D31FA" w:rsidRDefault="004273AE" w:rsidP="00622218">
      <w:pPr>
        <w:pStyle w:val="Paragraphedeliste"/>
        <w:numPr>
          <w:ilvl w:val="0"/>
          <w:numId w:val="41"/>
        </w:numPr>
        <w:spacing w:after="0" w:line="240" w:lineRule="auto"/>
        <w:jc w:val="both"/>
      </w:pPr>
      <w:r w:rsidRPr="00DD675F">
        <w:t xml:space="preserve">As for the methodologies, the use of an international sharing platform was highly recommended. This would moreover structure the existing data which would lead to a more efficient use of the available data. </w:t>
      </w:r>
    </w:p>
    <w:p w:rsidR="001D31FA" w:rsidRDefault="004273AE" w:rsidP="004273AE">
      <w:pPr>
        <w:spacing w:after="0" w:line="240" w:lineRule="auto"/>
        <w:jc w:val="both"/>
      </w:pPr>
      <w:r w:rsidRPr="00DD675F">
        <w:t xml:space="preserve">A main barrier mentioned in several country cases is the </w:t>
      </w:r>
      <w:r w:rsidRPr="00BE4D88">
        <w:rPr>
          <w:b/>
        </w:rPr>
        <w:t>lack of data</w:t>
      </w:r>
      <w:r w:rsidRPr="00DD675F">
        <w:t>. Many countries in the Balkan mentioned this issue, but also more developed countries such as Austria. In recent publications, this issue has been identified as the main obstacle to ES assessments</w:t>
      </w:r>
      <w:r w:rsidR="001D31FA">
        <w:t>.</w:t>
      </w:r>
    </w:p>
    <w:p w:rsidR="001D31FA" w:rsidRDefault="004273AE" w:rsidP="00622218">
      <w:pPr>
        <w:pStyle w:val="Paragraphedeliste"/>
        <w:numPr>
          <w:ilvl w:val="0"/>
          <w:numId w:val="41"/>
        </w:numPr>
        <w:spacing w:after="0" w:line="240" w:lineRule="auto"/>
        <w:jc w:val="both"/>
      </w:pPr>
      <w:r w:rsidRPr="00DD675F">
        <w:t xml:space="preserve">Having an international sharing platform would increase the data availability, although this would only be possible when data is compatible. </w:t>
      </w:r>
    </w:p>
    <w:p w:rsidR="001D31FA" w:rsidRDefault="004273AE" w:rsidP="00622218">
      <w:pPr>
        <w:pStyle w:val="Paragraphedeliste"/>
        <w:numPr>
          <w:ilvl w:val="0"/>
          <w:numId w:val="41"/>
        </w:numPr>
        <w:spacing w:after="0" w:line="240" w:lineRule="auto"/>
        <w:jc w:val="both"/>
      </w:pPr>
      <w:r w:rsidRPr="00DD675F">
        <w:t xml:space="preserve">Maes </w:t>
      </w:r>
      <w:r w:rsidRPr="001D31FA">
        <w:rPr>
          <w:i/>
        </w:rPr>
        <w:t>et al.</w:t>
      </w:r>
      <w:r w:rsidRPr="00DD675F">
        <w:t xml:space="preserve"> (2011) suggest an organizational framework aiming at such task. In this framework, MS are requested to store their data on an</w:t>
      </w:r>
      <w:r>
        <w:t>central and accessible</w:t>
      </w:r>
      <w:r w:rsidRPr="00DD675F">
        <w:t xml:space="preserve"> server. This data is then validated and aggregated to produce harmonized European datasets. </w:t>
      </w:r>
    </w:p>
    <w:p w:rsidR="001D31FA" w:rsidRDefault="004273AE" w:rsidP="00622218">
      <w:pPr>
        <w:pStyle w:val="Paragraphedeliste"/>
        <w:numPr>
          <w:ilvl w:val="0"/>
          <w:numId w:val="41"/>
        </w:numPr>
        <w:spacing w:after="0" w:line="240" w:lineRule="auto"/>
        <w:jc w:val="both"/>
      </w:pPr>
      <w:r w:rsidRPr="00DD675F">
        <w:t>A state of the art of the available data at the European scale has been carried out by Malak</w:t>
      </w:r>
      <w:r w:rsidRPr="001D31FA">
        <w:rPr>
          <w:i/>
        </w:rPr>
        <w:t>et al.</w:t>
      </w:r>
      <w:r w:rsidRPr="00DD675F">
        <w:t xml:space="preserve"> (2012) and it is highly recommended to refer to before starting any European scale assessments. </w:t>
      </w:r>
    </w:p>
    <w:p w:rsidR="001D31FA" w:rsidRDefault="004273AE" w:rsidP="00622218">
      <w:pPr>
        <w:pStyle w:val="Paragraphedeliste"/>
        <w:numPr>
          <w:ilvl w:val="0"/>
          <w:numId w:val="41"/>
        </w:numPr>
        <w:spacing w:after="0" w:line="240" w:lineRule="auto"/>
        <w:jc w:val="both"/>
      </w:pPr>
      <w:r w:rsidRPr="00DD675F">
        <w:t xml:space="preserve">Furthermore, to increase the body of data, two relevant sources of data, which have already been mentioned when addressing the distinct geographical scale, are believed to represent a huge potential: remote sensing data and data from tacit knowledge. </w:t>
      </w:r>
    </w:p>
    <w:p w:rsidR="001D31FA" w:rsidRDefault="004273AE" w:rsidP="00622218">
      <w:pPr>
        <w:pStyle w:val="Paragraphedeliste"/>
        <w:numPr>
          <w:ilvl w:val="0"/>
          <w:numId w:val="41"/>
        </w:numPr>
        <w:spacing w:after="0" w:line="240" w:lineRule="auto"/>
        <w:jc w:val="both"/>
      </w:pPr>
      <w:r w:rsidRPr="00DD675F">
        <w:lastRenderedPageBreak/>
        <w:t>Experts suggested the gathering of local knowledge or ‘crowdsourcing’ to be achieved through tools such as Geowiki.org or the development of smartphones’ applications. However, the methodology used should not restrict the type of data; relying on informatics may reject the input some people such retired people who have knowledge over a longer period of time.</w:t>
      </w:r>
    </w:p>
    <w:p w:rsidR="002D7DBA" w:rsidRDefault="004273AE" w:rsidP="004273AE">
      <w:pPr>
        <w:spacing w:after="0" w:line="240" w:lineRule="auto"/>
        <w:jc w:val="both"/>
      </w:pPr>
      <w:r w:rsidRPr="00DD675F">
        <w:t xml:space="preserve">Yet, when data exists it is not always </w:t>
      </w:r>
      <w:r w:rsidRPr="00BE4D88">
        <w:rPr>
          <w:b/>
        </w:rPr>
        <w:t>accessible</w:t>
      </w:r>
      <w:r w:rsidRPr="00DD675F">
        <w:t xml:space="preserve">. Again, the Balkan countries often mentioned the barrier of obtaining data from governmental institutions. Data kept at the policy level, it being from national of European level, also show difficulties to be obtained. </w:t>
      </w:r>
    </w:p>
    <w:p w:rsidR="004273AE" w:rsidRPr="00DD675F" w:rsidRDefault="004273AE" w:rsidP="00622218">
      <w:pPr>
        <w:pStyle w:val="Paragraphedeliste"/>
        <w:numPr>
          <w:ilvl w:val="0"/>
          <w:numId w:val="58"/>
        </w:numPr>
        <w:spacing w:after="0" w:line="240" w:lineRule="auto"/>
        <w:jc w:val="both"/>
      </w:pPr>
      <w:r w:rsidRPr="00DD675F">
        <w:t xml:space="preserve">This stresses once more the need for a better cooperation between the policy and science side. The same applies for the lack of trust between scientists as already discussed, which is unquestionably hampering data availability. Some scientists do not agree to share their information because they are scared that the concept ‘ES’ could be taken against biodiversity. </w:t>
      </w:r>
    </w:p>
    <w:p w:rsidR="004273AE" w:rsidRDefault="004273AE" w:rsidP="004273AE">
      <w:pPr>
        <w:pStyle w:val="Sansinterligne"/>
        <w:jc w:val="both"/>
        <w:rPr>
          <w:rFonts w:asciiTheme="minorHAnsi" w:hAnsiTheme="minorHAnsi"/>
          <w:b/>
          <w:i/>
          <w:lang w:val="en-US"/>
        </w:rPr>
      </w:pPr>
    </w:p>
    <w:p w:rsidR="004273AE" w:rsidRPr="00DD675F" w:rsidRDefault="004273AE" w:rsidP="004273AE">
      <w:pPr>
        <w:pStyle w:val="Sansinterligne"/>
        <w:jc w:val="both"/>
        <w:rPr>
          <w:rFonts w:asciiTheme="minorHAnsi" w:hAnsiTheme="minorHAnsi"/>
          <w:b/>
          <w:i/>
          <w:lang w:val="en-US"/>
        </w:rPr>
      </w:pPr>
      <w:r w:rsidRPr="00DD675F">
        <w:rPr>
          <w:rFonts w:asciiTheme="minorHAnsi" w:hAnsiTheme="minorHAnsi"/>
          <w:b/>
          <w:i/>
          <w:lang w:val="en-US"/>
        </w:rPr>
        <w:t>Data types and their limitations</w:t>
      </w:r>
    </w:p>
    <w:p w:rsidR="004273AE" w:rsidRPr="00DD675F" w:rsidRDefault="004273AE" w:rsidP="004273AE">
      <w:pPr>
        <w:pStyle w:val="Sansinterligne"/>
        <w:jc w:val="both"/>
        <w:rPr>
          <w:rFonts w:asciiTheme="minorHAnsi" w:hAnsiTheme="minorHAnsi"/>
          <w:lang w:val="en-US"/>
        </w:rPr>
      </w:pPr>
      <w:r w:rsidRPr="00DD675F">
        <w:rPr>
          <w:rFonts w:asciiTheme="minorHAnsi" w:hAnsiTheme="minorHAnsi"/>
          <w:lang w:val="en-US"/>
        </w:rPr>
        <w:t xml:space="preserve">Several types of data have been identified that can serve to assess ES often used as indicators. For each category, limitations were highlighted. Before starting any assessment, one should refer to the existing panacea of indicators which has been assessed by Egoh </w:t>
      </w:r>
      <w:r w:rsidRPr="00DD675F">
        <w:rPr>
          <w:rFonts w:asciiTheme="minorHAnsi" w:hAnsiTheme="minorHAnsi"/>
          <w:i/>
          <w:lang w:val="en-US"/>
        </w:rPr>
        <w:t>et al.</w:t>
      </w:r>
      <w:r w:rsidRPr="00DD675F">
        <w:rPr>
          <w:rFonts w:asciiTheme="minorHAnsi" w:hAnsiTheme="minorHAnsi"/>
          <w:lang w:val="en-US"/>
        </w:rPr>
        <w:t xml:space="preserve"> (2012).</w:t>
      </w:r>
    </w:p>
    <w:p w:rsidR="001D31FA" w:rsidRDefault="001D31FA" w:rsidP="004273AE">
      <w:pPr>
        <w:spacing w:after="0" w:line="240" w:lineRule="auto"/>
        <w:jc w:val="both"/>
      </w:pPr>
    </w:p>
    <w:p w:rsidR="001D31FA" w:rsidRDefault="004273AE" w:rsidP="001D31FA">
      <w:pPr>
        <w:spacing w:after="0" w:line="240" w:lineRule="auto"/>
        <w:jc w:val="both"/>
      </w:pPr>
      <w:r w:rsidRPr="00DD675F">
        <w:t xml:space="preserve">To begin with, </w:t>
      </w:r>
      <w:r w:rsidRPr="00DD675F">
        <w:rPr>
          <w:b/>
        </w:rPr>
        <w:t xml:space="preserve">biodiversity </w:t>
      </w:r>
      <w:r w:rsidRPr="00DD675F">
        <w:t xml:space="preserve">is believed to be correlated to ES and could therefore be used as an ES indicator. Three main limitations were identified to this statement. At first, </w:t>
      </w:r>
      <w:r>
        <w:t xml:space="preserve">most </w:t>
      </w:r>
      <w:r w:rsidRPr="00DD675F">
        <w:t>biodiversity</w:t>
      </w:r>
      <w:r>
        <w:t xml:space="preserve"> data are </w:t>
      </w:r>
      <w:r w:rsidRPr="00DD675F">
        <w:t xml:space="preserve"> not a spatial </w:t>
      </w:r>
      <w:r>
        <w:t xml:space="preserve">coverage </w:t>
      </w:r>
      <w:r w:rsidRPr="00DD675F">
        <w:t xml:space="preserve">data, but point </w:t>
      </w:r>
      <w:r>
        <w:t xml:space="preserve">location </w:t>
      </w:r>
      <w:r w:rsidRPr="00DD675F">
        <w:t>data. Secondly, the relationship between biodiversity and ES is not clear and many interpretations exist. Despite that it is widely acknowledged that a higher biodiversity is likely to lead to a higher ES delivery, the correlation is by far not linear</w:t>
      </w:r>
      <w:r>
        <w:t>,</w:t>
      </w:r>
      <w:r w:rsidRPr="00DD675F">
        <w:t xml:space="preserve"> limiti</w:t>
      </w:r>
      <w:r w:rsidR="002D7DBA">
        <w:t>ng its reliability as indicator. Thirdly</w:t>
      </w:r>
      <w:r w:rsidRPr="00DD675F">
        <w:t xml:space="preserve">, biodiversity monitoring is too narrow to represent ES which is a broad concept.Recommendations towards that point </w:t>
      </w:r>
      <w:r>
        <w:t xml:space="preserve">are </w:t>
      </w:r>
      <w:r w:rsidRPr="00DD675F">
        <w:t xml:space="preserve">headed in two directions. </w:t>
      </w:r>
    </w:p>
    <w:p w:rsidR="001D31FA" w:rsidRDefault="004273AE" w:rsidP="00622218">
      <w:pPr>
        <w:pStyle w:val="Paragraphedeliste"/>
        <w:numPr>
          <w:ilvl w:val="0"/>
          <w:numId w:val="42"/>
        </w:numPr>
        <w:spacing w:after="0" w:line="240" w:lineRule="auto"/>
        <w:jc w:val="both"/>
      </w:pPr>
      <w:r w:rsidRPr="00DD675F">
        <w:t>On the one hand, there is a need for clarification in the link between biodiversity and ES. Information should be used on how the level of biodiversity (existing biodiversity data, field data) affects the functioning of the system and the habitat quality. According to experts, this could be done by using case studies or by mapping through modeling.</w:t>
      </w:r>
    </w:p>
    <w:p w:rsidR="001D31FA" w:rsidRPr="002D7DBA" w:rsidRDefault="004273AE" w:rsidP="00622218">
      <w:pPr>
        <w:pStyle w:val="Paragraphedeliste"/>
        <w:numPr>
          <w:ilvl w:val="0"/>
          <w:numId w:val="42"/>
        </w:numPr>
        <w:spacing w:after="0" w:line="240" w:lineRule="auto"/>
        <w:jc w:val="both"/>
        <w:rPr>
          <w:b/>
          <w:lang w:val="en-US"/>
        </w:rPr>
      </w:pPr>
      <w:r w:rsidRPr="00DD675F">
        <w:t xml:space="preserve">On the other hand, as biodiversity is </w:t>
      </w:r>
      <w:r w:rsidR="002D7DBA">
        <w:t>clearly</w:t>
      </w:r>
      <w:r w:rsidRPr="00DD675F">
        <w:t xml:space="preserve"> insufficient to assess </w:t>
      </w:r>
      <w:r w:rsidR="002D7DBA">
        <w:t>the full range of ecosystem services</w:t>
      </w:r>
      <w:r w:rsidRPr="00DD675F">
        <w:t xml:space="preserve">, other parameters should be taken into account. These include information from integrated environmental monitoring, information on ecosystem functions and structure. </w:t>
      </w:r>
    </w:p>
    <w:p w:rsidR="001D31FA" w:rsidRDefault="004273AE" w:rsidP="004273AE">
      <w:pPr>
        <w:pStyle w:val="Sansinterligne"/>
        <w:jc w:val="both"/>
        <w:rPr>
          <w:rFonts w:asciiTheme="minorHAnsi" w:hAnsiTheme="minorHAnsi"/>
          <w:lang w:val="en-US"/>
        </w:rPr>
      </w:pPr>
      <w:r w:rsidRPr="00DD675F">
        <w:rPr>
          <w:rFonts w:asciiTheme="minorHAnsi" w:hAnsiTheme="minorHAnsi"/>
          <w:b/>
          <w:lang w:val="en-US"/>
        </w:rPr>
        <w:t xml:space="preserve">Habitat </w:t>
      </w:r>
      <w:r w:rsidRPr="00DD675F">
        <w:rPr>
          <w:rFonts w:asciiTheme="minorHAnsi" w:hAnsiTheme="minorHAnsi"/>
          <w:lang w:val="en-US"/>
        </w:rPr>
        <w:t xml:space="preserve">was mentioned at the workshop as being a base to certain ES assessments, but experts underlined that little knowledge is shared on their link to ES. </w:t>
      </w:r>
    </w:p>
    <w:p w:rsidR="001D31FA" w:rsidRDefault="004273AE" w:rsidP="00622218">
      <w:pPr>
        <w:pStyle w:val="Sansinterligne"/>
        <w:numPr>
          <w:ilvl w:val="0"/>
          <w:numId w:val="43"/>
        </w:numPr>
        <w:jc w:val="both"/>
        <w:rPr>
          <w:rFonts w:asciiTheme="minorHAnsi" w:hAnsiTheme="minorHAnsi"/>
          <w:lang w:val="en-US"/>
        </w:rPr>
      </w:pPr>
      <w:r w:rsidRPr="00DD675F">
        <w:rPr>
          <w:rFonts w:asciiTheme="minorHAnsi" w:hAnsiTheme="minorHAnsi"/>
          <w:lang w:val="en-US"/>
        </w:rPr>
        <w:t xml:space="preserve">Despite this lack of evidence it should not be disregarded as it may be easier to link habitat with ES than </w:t>
      </w:r>
      <w:r>
        <w:rPr>
          <w:rFonts w:asciiTheme="minorHAnsi" w:hAnsiTheme="minorHAnsi"/>
          <w:lang w:val="en-US"/>
        </w:rPr>
        <w:t xml:space="preserve">species </w:t>
      </w:r>
      <w:r w:rsidRPr="00DD675F">
        <w:rPr>
          <w:rFonts w:asciiTheme="minorHAnsi" w:hAnsiTheme="minorHAnsi"/>
          <w:lang w:val="en-US"/>
        </w:rPr>
        <w:t xml:space="preserve">biodiversity. </w:t>
      </w:r>
    </w:p>
    <w:p w:rsidR="002D7DBA" w:rsidRDefault="002D7DBA" w:rsidP="00622218">
      <w:pPr>
        <w:pStyle w:val="Sansinterligne"/>
        <w:numPr>
          <w:ilvl w:val="0"/>
          <w:numId w:val="43"/>
        </w:numPr>
        <w:jc w:val="both"/>
        <w:rPr>
          <w:rFonts w:asciiTheme="minorHAnsi" w:hAnsiTheme="minorHAnsi"/>
          <w:lang w:val="en-US"/>
        </w:rPr>
      </w:pPr>
      <w:r w:rsidRPr="002D7DBA">
        <w:rPr>
          <w:rFonts w:asciiTheme="minorHAnsi" w:hAnsiTheme="minorHAnsi"/>
          <w:lang w:val="en-US"/>
        </w:rPr>
        <w:t>Another suggestion is</w:t>
      </w:r>
      <w:r w:rsidR="004273AE" w:rsidRPr="002D7DBA">
        <w:rPr>
          <w:rFonts w:asciiTheme="minorHAnsi" w:hAnsiTheme="minorHAnsi"/>
          <w:lang w:val="en-US"/>
        </w:rPr>
        <w:t xml:space="preserve"> to use ecosystem traits and functions. </w:t>
      </w:r>
    </w:p>
    <w:p w:rsidR="004273AE" w:rsidRPr="002D7DBA" w:rsidRDefault="004273AE" w:rsidP="00622218">
      <w:pPr>
        <w:pStyle w:val="Sansinterligne"/>
        <w:numPr>
          <w:ilvl w:val="0"/>
          <w:numId w:val="43"/>
        </w:numPr>
        <w:jc w:val="both"/>
        <w:rPr>
          <w:rFonts w:asciiTheme="minorHAnsi" w:hAnsiTheme="minorHAnsi"/>
          <w:lang w:val="en-US"/>
        </w:rPr>
      </w:pPr>
      <w:r w:rsidRPr="002D7DBA">
        <w:rPr>
          <w:rFonts w:asciiTheme="minorHAnsi" w:hAnsiTheme="minorHAnsi"/>
          <w:lang w:val="en-US"/>
        </w:rPr>
        <w:t>At last, the assessment should not be restricted to the Natura 2000 network nor to the Habitat Directive as these are believed to be weakly representative of ES.</w:t>
      </w:r>
    </w:p>
    <w:p w:rsidR="001D31FA" w:rsidRDefault="004273AE" w:rsidP="001D31FA">
      <w:pPr>
        <w:pStyle w:val="Sansinterligne"/>
        <w:jc w:val="both"/>
        <w:rPr>
          <w:rFonts w:asciiTheme="minorHAnsi" w:hAnsiTheme="minorHAnsi"/>
          <w:lang w:val="en-US"/>
        </w:rPr>
      </w:pPr>
      <w:r w:rsidRPr="00DD675F">
        <w:rPr>
          <w:rFonts w:asciiTheme="minorHAnsi" w:hAnsiTheme="minorHAnsi"/>
          <w:lang w:val="en-US"/>
        </w:rPr>
        <w:t>As illustrated by the country cases, several assessment</w:t>
      </w:r>
      <w:r w:rsidR="002D7DBA">
        <w:rPr>
          <w:rFonts w:asciiTheme="minorHAnsi" w:hAnsiTheme="minorHAnsi"/>
          <w:lang w:val="en-US"/>
        </w:rPr>
        <w:t>s</w:t>
      </w:r>
      <w:r w:rsidRPr="00DD675F">
        <w:rPr>
          <w:rFonts w:asciiTheme="minorHAnsi" w:hAnsiTheme="minorHAnsi"/>
          <w:lang w:val="en-US"/>
        </w:rPr>
        <w:t xml:space="preserve"> rely on </w:t>
      </w:r>
      <w:r w:rsidRPr="00DD675F">
        <w:rPr>
          <w:rFonts w:asciiTheme="minorHAnsi" w:hAnsiTheme="minorHAnsi"/>
          <w:b/>
          <w:lang w:val="en-US"/>
        </w:rPr>
        <w:t xml:space="preserve">land cover/use </w:t>
      </w:r>
      <w:r w:rsidRPr="00DD675F">
        <w:rPr>
          <w:rFonts w:asciiTheme="minorHAnsi" w:hAnsiTheme="minorHAnsi"/>
          <w:lang w:val="en-US"/>
        </w:rPr>
        <w:t>as indicator. Such</w:t>
      </w:r>
      <w:r>
        <w:rPr>
          <w:rFonts w:asciiTheme="minorHAnsi" w:hAnsiTheme="minorHAnsi"/>
          <w:lang w:val="en-US"/>
        </w:rPr>
        <w:t xml:space="preserve"> an</w:t>
      </w:r>
      <w:r w:rsidRPr="00DD675F">
        <w:rPr>
          <w:rFonts w:asciiTheme="minorHAnsi" w:hAnsiTheme="minorHAnsi"/>
          <w:lang w:val="en-US"/>
        </w:rPr>
        <w:t xml:space="preserve"> indicator is a rough proxy if used alone and often co-used with qualitative judgments which has the disadvantage to be subjective and lack transparency. To enhance the quality of such assessments experts referred to two recommendat</w:t>
      </w:r>
      <w:r w:rsidR="001D31FA">
        <w:rPr>
          <w:rFonts w:asciiTheme="minorHAnsi" w:hAnsiTheme="minorHAnsi"/>
          <w:lang w:val="en-US"/>
        </w:rPr>
        <w:t xml:space="preserve">ions: </w:t>
      </w:r>
    </w:p>
    <w:p w:rsidR="001D31FA" w:rsidRPr="001D31FA" w:rsidRDefault="004273AE" w:rsidP="00622218">
      <w:pPr>
        <w:pStyle w:val="Sansinterligne"/>
        <w:numPr>
          <w:ilvl w:val="0"/>
          <w:numId w:val="44"/>
        </w:numPr>
        <w:jc w:val="both"/>
        <w:rPr>
          <w:rFonts w:asciiTheme="minorHAnsi" w:hAnsiTheme="minorHAnsi"/>
          <w:lang w:val="en-US"/>
        </w:rPr>
      </w:pPr>
      <w:r w:rsidRPr="00DD675F">
        <w:rPr>
          <w:rFonts w:asciiTheme="minorHAnsi" w:hAnsiTheme="minorHAnsi"/>
        </w:rPr>
        <w:t>Link land use to ecosystem services through ecosystem change (this is not applicable at the marine environment) and</w:t>
      </w:r>
    </w:p>
    <w:p w:rsidR="004273AE" w:rsidRPr="001D31FA" w:rsidRDefault="004273AE" w:rsidP="00622218">
      <w:pPr>
        <w:pStyle w:val="Sansinterligne"/>
        <w:numPr>
          <w:ilvl w:val="0"/>
          <w:numId w:val="44"/>
        </w:numPr>
        <w:jc w:val="both"/>
        <w:rPr>
          <w:rFonts w:asciiTheme="minorHAnsi" w:hAnsiTheme="minorHAnsi"/>
          <w:lang w:val="en-US"/>
        </w:rPr>
      </w:pPr>
      <w:r w:rsidRPr="00DD675F">
        <w:rPr>
          <w:rFonts w:asciiTheme="minorHAnsi" w:hAnsiTheme="minorHAnsi"/>
        </w:rPr>
        <w:t>adapt the assessment unit, when mapping, to the ecosystem function or land use.</w:t>
      </w:r>
    </w:p>
    <w:p w:rsidR="002D7DBA" w:rsidRDefault="002D7DBA">
      <w:pPr>
        <w:rPr>
          <w:rFonts w:eastAsiaTheme="majorEastAsia" w:cstheme="majorBidi"/>
          <w:b/>
          <w:bCs/>
          <w:sz w:val="24"/>
          <w:szCs w:val="24"/>
          <w:lang w:eastAsia="en-GB"/>
        </w:rPr>
      </w:pPr>
      <w:r>
        <w:rPr>
          <w:sz w:val="24"/>
          <w:szCs w:val="24"/>
          <w:lang w:eastAsia="en-GB"/>
        </w:rPr>
        <w:br w:type="page"/>
      </w:r>
    </w:p>
    <w:p w:rsidR="00664B11" w:rsidRPr="005C2072" w:rsidRDefault="00664B11" w:rsidP="00622218">
      <w:pPr>
        <w:pStyle w:val="Titre2"/>
        <w:numPr>
          <w:ilvl w:val="0"/>
          <w:numId w:val="57"/>
        </w:numPr>
        <w:rPr>
          <w:rFonts w:asciiTheme="minorHAnsi" w:eastAsiaTheme="minorHAnsi" w:hAnsiTheme="minorHAnsi" w:cstheme="minorBidi"/>
          <w:bCs w:val="0"/>
          <w:i/>
          <w:color w:val="auto"/>
          <w:sz w:val="22"/>
          <w:szCs w:val="22"/>
          <w:lang w:eastAsia="en-GB"/>
        </w:rPr>
      </w:pPr>
      <w:r w:rsidRPr="005C2072">
        <w:rPr>
          <w:rFonts w:asciiTheme="minorHAnsi" w:hAnsiTheme="minorHAnsi"/>
          <w:color w:val="auto"/>
          <w:sz w:val="24"/>
          <w:szCs w:val="24"/>
          <w:lang w:eastAsia="en-GB"/>
        </w:rPr>
        <w:lastRenderedPageBreak/>
        <w:t>Gaps from  the Fact Sheets</w:t>
      </w:r>
    </w:p>
    <w:p w:rsidR="002D7DBA" w:rsidRDefault="002D7DBA" w:rsidP="005C2072">
      <w:pPr>
        <w:spacing w:after="0" w:line="240" w:lineRule="auto"/>
        <w:ind w:firstLine="720"/>
        <w:rPr>
          <w:b/>
          <w:i/>
          <w:lang w:eastAsia="en-GB"/>
        </w:rPr>
      </w:pPr>
    </w:p>
    <w:p w:rsidR="00664B11" w:rsidRPr="003716EF" w:rsidRDefault="00664B11" w:rsidP="005C2072">
      <w:pPr>
        <w:spacing w:after="0" w:line="240" w:lineRule="auto"/>
        <w:ind w:firstLine="720"/>
        <w:rPr>
          <w:b/>
          <w:i/>
          <w:lang w:eastAsia="en-GB"/>
        </w:rPr>
      </w:pPr>
      <w:r w:rsidRPr="003716EF">
        <w:rPr>
          <w:b/>
          <w:i/>
          <w:lang w:eastAsia="en-GB"/>
        </w:rPr>
        <w:t>Group 1 items: Policy and Process</w:t>
      </w:r>
    </w:p>
    <w:p w:rsidR="00664B11" w:rsidRPr="003716EF" w:rsidRDefault="00664B11" w:rsidP="00664B11">
      <w:pPr>
        <w:spacing w:line="240" w:lineRule="auto"/>
        <w:rPr>
          <w:lang w:eastAsia="en-GB"/>
        </w:rPr>
      </w:pPr>
      <w:r w:rsidRPr="003716EF">
        <w:rPr>
          <w:lang w:eastAsia="en-GB"/>
        </w:rPr>
        <w:t>The selection of Country Cases represent different stages in the development of Maps and Assessments of Ecosystem and their Services across Europe. Overall, the actual involvement of the National Governments in the UK and Spanish cases was considerable, although only a small section of the Na</w:t>
      </w:r>
      <w:r w:rsidR="00004240">
        <w:rPr>
          <w:lang w:eastAsia="en-GB"/>
        </w:rPr>
        <w:t>tional Government was involved</w:t>
      </w:r>
      <w:r w:rsidRPr="003716EF">
        <w:rPr>
          <w:lang w:eastAsia="en-GB"/>
        </w:rPr>
        <w:t xml:space="preserve">. The regional cases in Belgium and Austria, and the Balkan cases had little or no involvement of National governments and were not directly synchronised with the EU Biodiversity Strategy. In Flanders the process has started to report on Action 5 as part of the bi-annual report of INBO to the Flemish Government. Switzerland has a national Biodiversity Strategy </w:t>
      </w:r>
      <w:r w:rsidRPr="003716EF">
        <w:rPr>
          <w:rFonts w:ascii="Calibri" w:hAnsi="Calibri" w:cs="Calibri"/>
          <w:color w:val="000000"/>
          <w:sz w:val="20"/>
          <w:szCs w:val="20"/>
        </w:rPr>
        <w:t xml:space="preserve">being detailed until 2014 (parallel to MAES). It has not yet been decided which of the presented methods will be used. </w:t>
      </w:r>
    </w:p>
    <w:p w:rsidR="00664B11" w:rsidRPr="003716EF" w:rsidRDefault="00664B11" w:rsidP="005C2072">
      <w:pPr>
        <w:spacing w:after="0" w:line="240" w:lineRule="auto"/>
        <w:ind w:firstLine="720"/>
        <w:rPr>
          <w:b/>
          <w:i/>
          <w:lang w:eastAsia="en-GB"/>
        </w:rPr>
      </w:pPr>
      <w:r w:rsidRPr="003716EF">
        <w:rPr>
          <w:b/>
          <w:i/>
          <w:lang w:eastAsia="en-GB"/>
        </w:rPr>
        <w:t>Group 2 items: Science and Methodology</w:t>
      </w:r>
    </w:p>
    <w:p w:rsidR="00664B11" w:rsidRPr="003716EF" w:rsidRDefault="00664B11" w:rsidP="00664B11">
      <w:pPr>
        <w:spacing w:line="240" w:lineRule="auto"/>
        <w:rPr>
          <w:lang w:eastAsia="en-GB"/>
        </w:rPr>
      </w:pPr>
      <w:r w:rsidRPr="003716EF">
        <w:rPr>
          <w:lang w:eastAsia="en-GB"/>
        </w:rPr>
        <w:t xml:space="preserve">Overall the methodologies in the cases studies reflect the different stages of development. Choices of classifications of ecosystems and ecosystem services are far from standardised or even harmonised. Beyond the surface, much of the work appears to be in such a format that harmonisation is certainly feasible. The choices of indicators, one of the hardest challenges in the process deserves great attention. SEBI2010 was not mentioned, and a European guideline on preferred indicators per ecosystem – service combination (the cells in the RUBICODE matrix) is absolutely a gap in the Action 5 process. The choices in the case studies show that local/regional circumstances and accidental knowledge often determine the choices. </w:t>
      </w:r>
    </w:p>
    <w:p w:rsidR="00664B11" w:rsidRPr="003716EF" w:rsidRDefault="00664B11" w:rsidP="005C2072">
      <w:pPr>
        <w:spacing w:after="0" w:line="240" w:lineRule="auto"/>
        <w:ind w:firstLine="720"/>
        <w:rPr>
          <w:b/>
          <w:i/>
          <w:lang w:eastAsia="en-GB"/>
        </w:rPr>
      </w:pPr>
      <w:r w:rsidRPr="003716EF">
        <w:rPr>
          <w:b/>
          <w:i/>
          <w:lang w:eastAsia="en-GB"/>
        </w:rPr>
        <w:t>Group 3 items: Techniques and Data</w:t>
      </w:r>
    </w:p>
    <w:p w:rsidR="00664B11" w:rsidRDefault="00664B11" w:rsidP="00664B11">
      <w:pPr>
        <w:spacing w:line="240" w:lineRule="auto"/>
        <w:rPr>
          <w:lang w:eastAsia="en-GB"/>
        </w:rPr>
      </w:pPr>
      <w:r w:rsidRPr="003716EF">
        <w:rPr>
          <w:lang w:eastAsia="en-GB"/>
        </w:rPr>
        <w:t>The accessibility to data sources is not always considered ideal but researchers are creative and combine data  sets and scale up or down to quantify and model. Many different datasets show up in the case studies, ranging from EU level (C</w:t>
      </w:r>
      <w:r w:rsidR="00807D8C">
        <w:rPr>
          <w:lang w:eastAsia="en-GB"/>
        </w:rPr>
        <w:t>ORINE</w:t>
      </w:r>
      <w:r w:rsidRPr="003716EF">
        <w:rPr>
          <w:lang w:eastAsia="en-GB"/>
        </w:rPr>
        <w:t>) to local adaptations of literature and statistics data.  There seems to be no problem in the technology area of the mapping efforts, all cases use similar GIS approaches. Resolution of the maps is again (like indicators) a matter of creative manipulation of available data and choice of “presentation” format. There are no guidelines for logical resolutions to map particular ecosystems and services. A search of the professional literature on this aspect might be useful.</w:t>
      </w:r>
    </w:p>
    <w:p w:rsidR="00664B11" w:rsidRPr="005C2072" w:rsidRDefault="00664B11" w:rsidP="00807D8C">
      <w:pPr>
        <w:pStyle w:val="Titre6"/>
        <w:spacing w:before="0" w:after="0"/>
        <w:rPr>
          <w:rFonts w:asciiTheme="minorHAnsi" w:hAnsiTheme="minorHAnsi"/>
        </w:rPr>
      </w:pPr>
      <w:r w:rsidRPr="005C2072">
        <w:rPr>
          <w:rFonts w:asciiTheme="minorHAnsi" w:hAnsiTheme="minorHAnsi"/>
        </w:rPr>
        <w:t>Conclusions</w:t>
      </w:r>
    </w:p>
    <w:p w:rsidR="00664B11" w:rsidRPr="00807D8C" w:rsidRDefault="00664B11" w:rsidP="00807D8C">
      <w:pPr>
        <w:spacing w:after="0" w:line="240" w:lineRule="auto"/>
      </w:pPr>
      <w:r w:rsidRPr="00807D8C">
        <w:t xml:space="preserve">It is necessary but not easy to set priorities in dealing with the gaps and selecting between the recommendations. Obviously different groups of “professionals” need to deal with different types of gaps / recommendations. </w:t>
      </w:r>
    </w:p>
    <w:p w:rsidR="00807D8C" w:rsidRPr="00807D8C" w:rsidRDefault="00664B11" w:rsidP="00622218">
      <w:pPr>
        <w:pStyle w:val="Paragraphedeliste"/>
        <w:numPr>
          <w:ilvl w:val="0"/>
          <w:numId w:val="59"/>
        </w:numPr>
        <w:spacing w:after="0" w:line="240" w:lineRule="auto"/>
        <w:rPr>
          <w:rFonts w:asciiTheme="majorHAnsi" w:eastAsiaTheme="majorEastAsia" w:hAnsiTheme="majorHAnsi" w:cstheme="majorBidi"/>
          <w:b/>
          <w:bCs/>
          <w:lang w:eastAsia="en-GB"/>
        </w:rPr>
      </w:pPr>
      <w:r w:rsidRPr="00807D8C">
        <w:t xml:space="preserve">Much of the work currently undertaken under the umbrella of the Working Group Maes is in fact addressing these issues. Especially the policy and process aspects are recurring agenda items in the WG MAES. </w:t>
      </w:r>
    </w:p>
    <w:p w:rsidR="00807D8C" w:rsidRPr="00807D8C" w:rsidRDefault="00664B11" w:rsidP="00622218">
      <w:pPr>
        <w:pStyle w:val="Paragraphedeliste"/>
        <w:numPr>
          <w:ilvl w:val="0"/>
          <w:numId w:val="59"/>
        </w:numPr>
        <w:spacing w:after="0" w:line="240" w:lineRule="auto"/>
        <w:rPr>
          <w:rFonts w:asciiTheme="majorHAnsi" w:eastAsiaTheme="majorEastAsia" w:hAnsiTheme="majorHAnsi" w:cstheme="majorBidi"/>
          <w:b/>
          <w:bCs/>
          <w:lang w:eastAsia="en-GB"/>
        </w:rPr>
      </w:pPr>
      <w:r w:rsidRPr="00807D8C">
        <w:t>The MAES thematic pilots are now concentrating on data issues</w:t>
      </w:r>
      <w:r w:rsidR="00774CFD" w:rsidRPr="00807D8C">
        <w:t>.</w:t>
      </w:r>
    </w:p>
    <w:p w:rsidR="001959EB" w:rsidRPr="00807D8C" w:rsidRDefault="00664B11" w:rsidP="00622218">
      <w:pPr>
        <w:pStyle w:val="Paragraphedeliste"/>
        <w:numPr>
          <w:ilvl w:val="0"/>
          <w:numId w:val="59"/>
        </w:numPr>
        <w:spacing w:after="0" w:line="240" w:lineRule="auto"/>
        <w:rPr>
          <w:rFonts w:asciiTheme="majorHAnsi" w:eastAsiaTheme="majorEastAsia" w:hAnsiTheme="majorHAnsi" w:cstheme="majorBidi"/>
          <w:b/>
          <w:bCs/>
          <w:lang w:eastAsia="en-GB"/>
        </w:rPr>
      </w:pPr>
      <w:r w:rsidRPr="00807D8C">
        <w:t>The methodological issues are the domain of scientists, and both the current contract and the EEA and JRC spend energy on developing a harmonised methodology for mapping across Europe</w:t>
      </w:r>
    </w:p>
    <w:p w:rsidR="001959EB" w:rsidRPr="00F2176C" w:rsidRDefault="00807D8C" w:rsidP="00622218">
      <w:pPr>
        <w:pStyle w:val="Titre1"/>
        <w:numPr>
          <w:ilvl w:val="0"/>
          <w:numId w:val="57"/>
        </w:numPr>
        <w:rPr>
          <w:color w:val="auto"/>
          <w:sz w:val="24"/>
          <w:szCs w:val="24"/>
        </w:rPr>
      </w:pPr>
      <w:r>
        <w:rPr>
          <w:color w:val="auto"/>
          <w:sz w:val="24"/>
          <w:szCs w:val="24"/>
        </w:rPr>
        <w:t>Gaps and recommendations from Task</w:t>
      </w:r>
      <w:r w:rsidR="001959EB" w:rsidRPr="00F2176C">
        <w:rPr>
          <w:color w:val="auto"/>
          <w:sz w:val="24"/>
          <w:szCs w:val="24"/>
        </w:rPr>
        <w:t xml:space="preserve"> 2</w:t>
      </w:r>
    </w:p>
    <w:p w:rsidR="001959EB" w:rsidRPr="00807D8C" w:rsidRDefault="00807D8C" w:rsidP="001959EB">
      <w:pPr>
        <w:pStyle w:val="Titre2"/>
        <w:rPr>
          <w:color w:val="auto"/>
          <w:sz w:val="22"/>
          <w:szCs w:val="22"/>
        </w:rPr>
      </w:pPr>
      <w:r>
        <w:rPr>
          <w:color w:val="auto"/>
          <w:sz w:val="22"/>
          <w:szCs w:val="22"/>
        </w:rPr>
        <w:t>G</w:t>
      </w:r>
      <w:r w:rsidRPr="00807D8C">
        <w:rPr>
          <w:color w:val="auto"/>
          <w:sz w:val="22"/>
          <w:szCs w:val="22"/>
        </w:rPr>
        <w:t xml:space="preserve">aps </w:t>
      </w:r>
      <w:r>
        <w:rPr>
          <w:color w:val="auto"/>
          <w:sz w:val="22"/>
          <w:szCs w:val="22"/>
        </w:rPr>
        <w:t>across</w:t>
      </w:r>
      <w:r w:rsidR="001959EB" w:rsidRPr="00807D8C">
        <w:rPr>
          <w:color w:val="auto"/>
          <w:sz w:val="22"/>
          <w:szCs w:val="22"/>
        </w:rPr>
        <w:t xml:space="preserve"> the case studies</w:t>
      </w:r>
    </w:p>
    <w:p w:rsidR="001959EB" w:rsidRPr="00F2176C" w:rsidRDefault="001959EB" w:rsidP="00622218">
      <w:pPr>
        <w:pStyle w:val="Paragraphedeliste"/>
        <w:numPr>
          <w:ilvl w:val="0"/>
          <w:numId w:val="47"/>
        </w:numPr>
        <w:spacing w:line="240" w:lineRule="auto"/>
      </w:pPr>
      <w:r w:rsidRPr="00F2176C">
        <w:t>In the framework of the obligatory monitoring of habitats under the Habitats Directive only Flanders has a running program which provides information on the occurrence of habitats in the entire region. However in the future this program will focus on specific areas.</w:t>
      </w:r>
    </w:p>
    <w:p w:rsidR="001959EB" w:rsidRPr="00F2176C" w:rsidRDefault="001959EB" w:rsidP="00622218">
      <w:pPr>
        <w:pStyle w:val="Paragraphedeliste"/>
        <w:numPr>
          <w:ilvl w:val="0"/>
          <w:numId w:val="47"/>
        </w:numPr>
        <w:spacing w:line="240" w:lineRule="auto"/>
      </w:pPr>
      <w:r w:rsidRPr="00F2176C">
        <w:lastRenderedPageBreak/>
        <w:t xml:space="preserve">In Austria information is (only) available for the most important biotopes. </w:t>
      </w:r>
    </w:p>
    <w:p w:rsidR="001959EB" w:rsidRPr="00F2176C" w:rsidRDefault="001959EB" w:rsidP="00622218">
      <w:pPr>
        <w:pStyle w:val="Paragraphedeliste"/>
        <w:numPr>
          <w:ilvl w:val="0"/>
          <w:numId w:val="47"/>
        </w:numPr>
        <w:spacing w:line="240" w:lineRule="auto"/>
      </w:pPr>
      <w:r w:rsidRPr="00F2176C">
        <w:t xml:space="preserve">In Spain and the Netherlands the system is currently under development. </w:t>
      </w:r>
    </w:p>
    <w:p w:rsidR="001959EB" w:rsidRPr="00F2176C" w:rsidRDefault="001959EB" w:rsidP="00622218">
      <w:pPr>
        <w:pStyle w:val="Paragraphedeliste"/>
        <w:numPr>
          <w:ilvl w:val="0"/>
          <w:numId w:val="47"/>
        </w:numPr>
        <w:spacing w:line="240" w:lineRule="auto"/>
      </w:pPr>
      <w:r w:rsidRPr="00F2176C">
        <w:t>The state of ecosystems at the national level is not determined in the framework of national assessments (Austria and Flanders)</w:t>
      </w:r>
    </w:p>
    <w:p w:rsidR="001959EB" w:rsidRPr="00F2176C" w:rsidRDefault="001959EB" w:rsidP="00622218">
      <w:pPr>
        <w:pStyle w:val="Paragraphedeliste"/>
        <w:numPr>
          <w:ilvl w:val="0"/>
          <w:numId w:val="47"/>
        </w:numPr>
        <w:spacing w:line="240" w:lineRule="auto"/>
      </w:pPr>
      <w:r w:rsidRPr="00F2176C">
        <w:t xml:space="preserve">May be based on the abundance or presence of indicator species (Netherlands). </w:t>
      </w:r>
    </w:p>
    <w:p w:rsidR="001959EB" w:rsidRPr="00F2176C" w:rsidRDefault="001959EB" w:rsidP="00622218">
      <w:pPr>
        <w:pStyle w:val="Paragraphedeliste"/>
        <w:numPr>
          <w:ilvl w:val="0"/>
          <w:numId w:val="47"/>
        </w:numPr>
        <w:spacing w:line="240" w:lineRule="auto"/>
      </w:pPr>
      <w:r w:rsidRPr="00F2176C">
        <w:t xml:space="preserve">Both in national and EU assessment, the coverage is relatively good for vertebrates and poor to negligible for invertebrates, plants and other species groups. </w:t>
      </w:r>
    </w:p>
    <w:p w:rsidR="001959EB" w:rsidRPr="00F2176C" w:rsidRDefault="001959EB" w:rsidP="00622218">
      <w:pPr>
        <w:pStyle w:val="Paragraphedeliste"/>
        <w:numPr>
          <w:ilvl w:val="0"/>
          <w:numId w:val="47"/>
        </w:numPr>
        <w:spacing w:line="240" w:lineRule="auto"/>
      </w:pPr>
      <w:r w:rsidRPr="00F2176C">
        <w:t xml:space="preserve">As the aims of assessment are different, the methodology and parameters developed for indicator species vary considerably. </w:t>
      </w:r>
    </w:p>
    <w:p w:rsidR="001959EB" w:rsidRPr="006859C7" w:rsidRDefault="001959EB" w:rsidP="001959EB">
      <w:pPr>
        <w:spacing w:after="0" w:line="240" w:lineRule="auto"/>
      </w:pPr>
      <w:r w:rsidRPr="006859C7">
        <w:t xml:space="preserve">If we look at the three dimensions indicated in the </w:t>
      </w:r>
      <w:r w:rsidR="00807D8C">
        <w:t xml:space="preserve">MAES </w:t>
      </w:r>
      <w:r w:rsidRPr="006859C7">
        <w:t xml:space="preserve">framework (‘ wings of the butterfly’) we can conclude that </w:t>
      </w:r>
    </w:p>
    <w:p w:rsidR="001959EB" w:rsidRPr="006859C7" w:rsidRDefault="001959EB" w:rsidP="00622218">
      <w:pPr>
        <w:pStyle w:val="Paragraphedeliste"/>
        <w:numPr>
          <w:ilvl w:val="0"/>
          <w:numId w:val="55"/>
        </w:numPr>
        <w:spacing w:line="240" w:lineRule="auto"/>
      </w:pPr>
      <w:r w:rsidRPr="006859C7">
        <w:t xml:space="preserve">some national assessments use species richness in their assessments of the state but </w:t>
      </w:r>
    </w:p>
    <w:p w:rsidR="001959EB" w:rsidRPr="006859C7" w:rsidRDefault="001959EB" w:rsidP="00622218">
      <w:pPr>
        <w:pStyle w:val="Paragraphedeliste"/>
        <w:numPr>
          <w:ilvl w:val="0"/>
          <w:numId w:val="55"/>
        </w:numPr>
        <w:spacing w:line="240" w:lineRule="auto"/>
      </w:pPr>
      <w:r w:rsidRPr="006859C7">
        <w:t xml:space="preserve">others uses trends in abundance of specific groups or information on number of threatened species. </w:t>
      </w:r>
    </w:p>
    <w:p w:rsidR="001959EB" w:rsidRPr="006859C7" w:rsidRDefault="001959EB" w:rsidP="00622218">
      <w:pPr>
        <w:pStyle w:val="Paragraphedeliste"/>
        <w:numPr>
          <w:ilvl w:val="0"/>
          <w:numId w:val="55"/>
        </w:numPr>
        <w:spacing w:after="0" w:line="240" w:lineRule="auto"/>
      </w:pPr>
      <w:r w:rsidRPr="006859C7">
        <w:t xml:space="preserve">The monitoring for the WFD also uses indicators based on functional traits.  </w:t>
      </w:r>
    </w:p>
    <w:p w:rsidR="001959EB" w:rsidRPr="006859C7" w:rsidRDefault="001959EB" w:rsidP="001959EB">
      <w:pPr>
        <w:spacing w:line="240" w:lineRule="auto"/>
      </w:pPr>
      <w:r w:rsidRPr="006859C7">
        <w:t xml:space="preserve">Based on the four reviewed cases we expect that only limited information on habitats will be available at the national level to complement the information gathered in the framework of EU reporting. </w:t>
      </w:r>
    </w:p>
    <w:p w:rsidR="001959EB" w:rsidRPr="00807D8C" w:rsidRDefault="001959EB" w:rsidP="001959EB">
      <w:pPr>
        <w:pStyle w:val="Titre2"/>
        <w:rPr>
          <w:color w:val="auto"/>
          <w:sz w:val="22"/>
          <w:szCs w:val="22"/>
        </w:rPr>
      </w:pPr>
      <w:r w:rsidRPr="00807D8C">
        <w:rPr>
          <w:color w:val="auto"/>
          <w:sz w:val="22"/>
          <w:szCs w:val="22"/>
        </w:rPr>
        <w:t>Representativeness of indicator species for ecosystems</w:t>
      </w:r>
    </w:p>
    <w:p w:rsidR="001959EB" w:rsidRPr="00F2176C" w:rsidRDefault="001959EB" w:rsidP="00622218">
      <w:pPr>
        <w:pStyle w:val="Paragraphedeliste"/>
        <w:numPr>
          <w:ilvl w:val="0"/>
          <w:numId w:val="48"/>
        </w:numPr>
        <w:spacing w:line="240" w:lineRule="auto"/>
        <w:rPr>
          <w:szCs w:val="20"/>
        </w:rPr>
      </w:pPr>
      <w:r w:rsidRPr="00F2176C">
        <w:rPr>
          <w:szCs w:val="20"/>
        </w:rPr>
        <w:t xml:space="preserve">No information could be found on the relationship between the species on the red lists of Spain, Austria and Flanders and the allocation to various ecosystems. </w:t>
      </w:r>
    </w:p>
    <w:p w:rsidR="001959EB" w:rsidRPr="00F2176C" w:rsidRDefault="001959EB" w:rsidP="00622218">
      <w:pPr>
        <w:pStyle w:val="Paragraphedeliste"/>
        <w:numPr>
          <w:ilvl w:val="0"/>
          <w:numId w:val="48"/>
        </w:numPr>
        <w:spacing w:line="240" w:lineRule="auto"/>
        <w:rPr>
          <w:szCs w:val="20"/>
        </w:rPr>
      </w:pPr>
      <w:r w:rsidRPr="00F2176C">
        <w:rPr>
          <w:szCs w:val="20"/>
        </w:rPr>
        <w:t>If and how well these species groups represent the various ecosystems is therefore not yet known.</w:t>
      </w:r>
    </w:p>
    <w:p w:rsidR="001959EB" w:rsidRPr="00F2176C" w:rsidRDefault="001959EB" w:rsidP="00622218">
      <w:pPr>
        <w:pStyle w:val="Paragraphedeliste"/>
        <w:numPr>
          <w:ilvl w:val="0"/>
          <w:numId w:val="48"/>
        </w:numPr>
        <w:spacing w:line="240" w:lineRule="auto"/>
        <w:rPr>
          <w:szCs w:val="20"/>
        </w:rPr>
      </w:pPr>
      <w:r w:rsidRPr="00F2176C">
        <w:rPr>
          <w:szCs w:val="20"/>
        </w:rPr>
        <w:t xml:space="preserve">Of the species listed in Annex II and IV of the Habitats Directive the majority are linked to wetland and grassland ecosystems. Marine ecosystems and agro-ecosystems are less well covered. </w:t>
      </w:r>
    </w:p>
    <w:p w:rsidR="001959EB" w:rsidRPr="00F2176C" w:rsidRDefault="001959EB" w:rsidP="00622218">
      <w:pPr>
        <w:pStyle w:val="Paragraphedeliste"/>
        <w:numPr>
          <w:ilvl w:val="0"/>
          <w:numId w:val="48"/>
        </w:numPr>
        <w:spacing w:line="240" w:lineRule="auto"/>
        <w:rPr>
          <w:szCs w:val="20"/>
        </w:rPr>
      </w:pPr>
      <w:r w:rsidRPr="00F2176C">
        <w:rPr>
          <w:szCs w:val="20"/>
        </w:rPr>
        <w:t xml:space="preserve">A broad range of indicator species has been identified under the WFD and MSFD reporting  providing information on the state of the marine and aquatic environments - however no EU overview of indicator species used under these Directives is presently available. </w:t>
      </w:r>
    </w:p>
    <w:p w:rsidR="001959EB" w:rsidRPr="00F2176C" w:rsidRDefault="001959EB" w:rsidP="00622218">
      <w:pPr>
        <w:pStyle w:val="Paragraphedeliste"/>
        <w:numPr>
          <w:ilvl w:val="0"/>
          <w:numId w:val="48"/>
        </w:numPr>
        <w:spacing w:line="240" w:lineRule="auto"/>
        <w:rPr>
          <w:szCs w:val="20"/>
        </w:rPr>
      </w:pPr>
      <w:r w:rsidRPr="00F2176C">
        <w:rPr>
          <w:szCs w:val="20"/>
        </w:rPr>
        <w:t xml:space="preserve">It is not known how many indicator species are required in order to assess the ecosystem state. </w:t>
      </w:r>
    </w:p>
    <w:p w:rsidR="001959EB" w:rsidRPr="00F2176C" w:rsidRDefault="001959EB" w:rsidP="00622218">
      <w:pPr>
        <w:pStyle w:val="Paragraphedeliste"/>
        <w:numPr>
          <w:ilvl w:val="0"/>
          <w:numId w:val="48"/>
        </w:numPr>
        <w:spacing w:line="240" w:lineRule="auto"/>
        <w:rPr>
          <w:szCs w:val="20"/>
        </w:rPr>
      </w:pPr>
      <w:r w:rsidRPr="00F2176C">
        <w:rPr>
          <w:szCs w:val="20"/>
        </w:rPr>
        <w:t>The available overviews for the Bird and Habitat Directive presented in chapter 3 show the preference of species for specific ecosystems but no detailed assessment has been made of their indicator value for these ecosystems.</w:t>
      </w:r>
    </w:p>
    <w:p w:rsidR="001959EB" w:rsidRPr="00F2176C" w:rsidRDefault="001959EB" w:rsidP="00622218">
      <w:pPr>
        <w:pStyle w:val="Paragraphedeliste"/>
        <w:numPr>
          <w:ilvl w:val="0"/>
          <w:numId w:val="48"/>
        </w:numPr>
        <w:spacing w:line="240" w:lineRule="auto"/>
        <w:rPr>
          <w:szCs w:val="20"/>
        </w:rPr>
      </w:pPr>
      <w:r w:rsidRPr="00F2176C">
        <w:rPr>
          <w:szCs w:val="20"/>
        </w:rPr>
        <w:t>In one of the reviewed countries (e.g. the Netherlands) the data availability is much better than required for the EU reporting (timespan, number of species covered, spatial detail). As a result the national assessments are relying on these better data for their assessments. In the three other countries the data available for national assessments is less elaborate, and is not providing the detail required by the EU reporting (often only presence, time span too long) and additional systems are needed.  Often in these countries the resources are lacking to develop more elaborate monitoring and reporting systems.</w:t>
      </w:r>
    </w:p>
    <w:p w:rsidR="001959EB" w:rsidRPr="00F2176C" w:rsidRDefault="001959EB" w:rsidP="00622218">
      <w:pPr>
        <w:pStyle w:val="Paragraphedeliste"/>
        <w:numPr>
          <w:ilvl w:val="0"/>
          <w:numId w:val="48"/>
        </w:numPr>
        <w:spacing w:line="240" w:lineRule="auto"/>
        <w:rPr>
          <w:szCs w:val="20"/>
        </w:rPr>
      </w:pPr>
      <w:r w:rsidRPr="00F2176C">
        <w:rPr>
          <w:szCs w:val="20"/>
        </w:rPr>
        <w:t>In addition national policies also focus on other species or habitats than those of European importance. In all four countries red lists exist that feature species that are the target of national policies. The overlap for several of the species groups on the red lists is rather low. The same situation occurs in Austria and in Flanders where at the national level additional habitat types are distinguished.</w:t>
      </w:r>
    </w:p>
    <w:p w:rsidR="001959EB" w:rsidRPr="00F2176C" w:rsidRDefault="001959EB" w:rsidP="00622218">
      <w:pPr>
        <w:pStyle w:val="Paragraphedeliste"/>
        <w:numPr>
          <w:ilvl w:val="0"/>
          <w:numId w:val="48"/>
        </w:numPr>
        <w:spacing w:line="240" w:lineRule="auto"/>
        <w:rPr>
          <w:szCs w:val="20"/>
        </w:rPr>
      </w:pPr>
      <w:r w:rsidRPr="00F2176C">
        <w:rPr>
          <w:szCs w:val="20"/>
        </w:rPr>
        <w:t xml:space="preserve">Additionally in the reporting for the WFD and MSFD species groups are used (e.g. benthic invertebrates and phytoplankton) that are not target species for national policies. </w:t>
      </w:r>
    </w:p>
    <w:p w:rsidR="001959EB" w:rsidRPr="00F2176C" w:rsidRDefault="001959EB" w:rsidP="00622218">
      <w:pPr>
        <w:pStyle w:val="Paragraphedeliste"/>
        <w:numPr>
          <w:ilvl w:val="0"/>
          <w:numId w:val="48"/>
        </w:numPr>
        <w:spacing w:line="240" w:lineRule="auto"/>
        <w:rPr>
          <w:szCs w:val="20"/>
        </w:rPr>
      </w:pPr>
      <w:r w:rsidRPr="00F2176C">
        <w:rPr>
          <w:szCs w:val="20"/>
        </w:rPr>
        <w:t>Often the methods used in the terrestrial and aquatic environment are very different as well as the organisations involved in the research.</w:t>
      </w:r>
    </w:p>
    <w:p w:rsidR="001959EB" w:rsidRPr="00F2176C" w:rsidRDefault="001959EB" w:rsidP="00622218">
      <w:pPr>
        <w:pStyle w:val="Paragraphedeliste"/>
        <w:numPr>
          <w:ilvl w:val="0"/>
          <w:numId w:val="48"/>
        </w:numPr>
        <w:spacing w:line="240" w:lineRule="auto"/>
        <w:rPr>
          <w:szCs w:val="20"/>
        </w:rPr>
      </w:pPr>
      <w:r w:rsidRPr="00F2176C">
        <w:rPr>
          <w:szCs w:val="20"/>
        </w:rPr>
        <w:lastRenderedPageBreak/>
        <w:t>The report does not review how the reporting under the CBD links to the reporting under the four Directives as well as national reporting schemes. Therefore it is unclear whether this process might provide additional information.</w:t>
      </w:r>
    </w:p>
    <w:p w:rsidR="001959EB" w:rsidRPr="00807D8C" w:rsidRDefault="001959EB" w:rsidP="001959EB">
      <w:pPr>
        <w:pStyle w:val="Titre2"/>
        <w:rPr>
          <w:color w:val="auto"/>
          <w:sz w:val="22"/>
          <w:szCs w:val="22"/>
        </w:rPr>
      </w:pPr>
      <w:r w:rsidRPr="00807D8C">
        <w:rPr>
          <w:color w:val="auto"/>
          <w:sz w:val="22"/>
          <w:szCs w:val="22"/>
        </w:rPr>
        <w:t>Recommendations</w:t>
      </w:r>
    </w:p>
    <w:p w:rsidR="00807D8C" w:rsidRDefault="001959EB" w:rsidP="00622218">
      <w:pPr>
        <w:pStyle w:val="Paragraphedeliste"/>
        <w:numPr>
          <w:ilvl w:val="0"/>
          <w:numId w:val="49"/>
        </w:numPr>
        <w:spacing w:line="240" w:lineRule="auto"/>
      </w:pPr>
      <w:r w:rsidRPr="00F2176C">
        <w:t xml:space="preserve">The relationship between the indicator species, indicator habitats and the state of ecosystems clearly has the potential for further elaboration. </w:t>
      </w:r>
    </w:p>
    <w:p w:rsidR="00807D8C" w:rsidRDefault="001959EB" w:rsidP="00622218">
      <w:pPr>
        <w:pStyle w:val="Paragraphedeliste"/>
        <w:numPr>
          <w:ilvl w:val="0"/>
          <w:numId w:val="49"/>
        </w:numPr>
        <w:spacing w:line="240" w:lineRule="auto"/>
      </w:pPr>
      <w:r w:rsidRPr="00F2176C">
        <w:t xml:space="preserve">The mismatch or lack of overlap (in both directions) of species used at national and European levels suggests the need, in discussion with ETC-BD and the EEA, to further review the representativeness of species listed on the Habitats Directive; </w:t>
      </w:r>
    </w:p>
    <w:p w:rsidR="001959EB" w:rsidRPr="00F2176C" w:rsidRDefault="001959EB" w:rsidP="00622218">
      <w:pPr>
        <w:pStyle w:val="Paragraphedeliste"/>
        <w:numPr>
          <w:ilvl w:val="0"/>
          <w:numId w:val="49"/>
        </w:numPr>
        <w:spacing w:line="240" w:lineRule="auto"/>
      </w:pPr>
      <w:r w:rsidRPr="00F2176C">
        <w:t>The variability, country by country, of data availability suggests that minimum standards for data collection could be proposed at European level based on a feasibility assessment (of what is realistic but which will still meet the required standard).</w:t>
      </w:r>
    </w:p>
    <w:p w:rsidR="001959EB" w:rsidRPr="00F2176C" w:rsidRDefault="001959EB" w:rsidP="00622218">
      <w:pPr>
        <w:pStyle w:val="Paragraphedeliste"/>
        <w:numPr>
          <w:ilvl w:val="0"/>
          <w:numId w:val="49"/>
        </w:numPr>
        <w:spacing w:line="240" w:lineRule="auto"/>
      </w:pPr>
      <w:r w:rsidRPr="00F2176C">
        <w:t>The current review only presents the situation in 4 Member states – a quick European-wide scan might provide an overview of the situation in the remaining 23 Member States, with a  focus on the assessment and monitoring of red list species and of the species groups identified as likely groups for which information might be present.</w:t>
      </w:r>
    </w:p>
    <w:p w:rsidR="00A33754" w:rsidRDefault="001959EB" w:rsidP="00622218">
      <w:pPr>
        <w:pStyle w:val="Paragraphedeliste"/>
        <w:numPr>
          <w:ilvl w:val="0"/>
          <w:numId w:val="49"/>
        </w:numPr>
        <w:spacing w:line="240" w:lineRule="auto"/>
      </w:pPr>
      <w:r w:rsidRPr="00F2176C">
        <w:t xml:space="preserve">Given the current level of information both at the level of the EU as well as in the country case studies the use of indicator species in order to assess the state of terrestrial ecosystems belonging to the following species groups could be feasible: birds, butterflies, mammals, reptiles and amphibians. For the first three groups national assessments can complement the list of species reported on under the EU directives. </w:t>
      </w:r>
    </w:p>
    <w:p w:rsidR="00807D8C" w:rsidRPr="00807D8C" w:rsidRDefault="00807D8C" w:rsidP="00807D8C">
      <w:pPr>
        <w:pStyle w:val="Paragraphedeliste"/>
        <w:spacing w:line="240" w:lineRule="auto"/>
      </w:pPr>
    </w:p>
    <w:p w:rsidR="00AB0746" w:rsidRDefault="00AB0746">
      <w:pPr>
        <w:rPr>
          <w:rFonts w:asciiTheme="majorHAnsi" w:eastAsiaTheme="majorEastAsia" w:hAnsiTheme="majorHAnsi" w:cstheme="majorBidi"/>
          <w:b/>
          <w:bCs/>
          <w:color w:val="4F81BD" w:themeColor="accent1"/>
          <w:sz w:val="26"/>
          <w:szCs w:val="26"/>
        </w:rPr>
      </w:pPr>
      <w:r>
        <w:br w:type="page"/>
      </w:r>
    </w:p>
    <w:p w:rsidR="00B87697" w:rsidRDefault="005C2072" w:rsidP="002E72AC">
      <w:pPr>
        <w:pStyle w:val="Titre2"/>
        <w:spacing w:line="240" w:lineRule="auto"/>
      </w:pPr>
      <w:r>
        <w:lastRenderedPageBreak/>
        <w:t>3</w:t>
      </w:r>
      <w:r w:rsidR="00B87697">
        <w:t>.4</w:t>
      </w:r>
      <w:r w:rsidR="00B87697">
        <w:tab/>
      </w:r>
      <w:r>
        <w:t>SUMMARY TASK 4</w:t>
      </w:r>
    </w:p>
    <w:p w:rsidR="005C2072" w:rsidRDefault="005C2072" w:rsidP="005C2072">
      <w:pPr>
        <w:autoSpaceDE w:val="0"/>
        <w:autoSpaceDN w:val="0"/>
        <w:adjustRightInd w:val="0"/>
        <w:spacing w:after="0" w:line="240" w:lineRule="auto"/>
        <w:contextualSpacing/>
        <w:jc w:val="both"/>
        <w:rPr>
          <w:rFonts w:cstheme="minorHAnsi"/>
          <w:b/>
          <w:sz w:val="24"/>
          <w:szCs w:val="24"/>
        </w:rPr>
      </w:pPr>
    </w:p>
    <w:p w:rsidR="005C2072" w:rsidRPr="005C2072" w:rsidRDefault="005C2072" w:rsidP="005C2072">
      <w:pPr>
        <w:autoSpaceDE w:val="0"/>
        <w:autoSpaceDN w:val="0"/>
        <w:adjustRightInd w:val="0"/>
        <w:spacing w:after="0" w:line="240" w:lineRule="auto"/>
        <w:jc w:val="both"/>
        <w:rPr>
          <w:rFonts w:cstheme="minorHAnsi"/>
          <w:b/>
          <w:sz w:val="24"/>
          <w:szCs w:val="24"/>
        </w:rPr>
      </w:pPr>
      <w:r w:rsidRPr="005C2072">
        <w:rPr>
          <w:rFonts w:cstheme="minorHAnsi"/>
          <w:b/>
          <w:sz w:val="24"/>
          <w:szCs w:val="24"/>
        </w:rPr>
        <w:t>Deliverables Task 4</w:t>
      </w:r>
    </w:p>
    <w:p w:rsidR="005C2072" w:rsidRDefault="005C2072" w:rsidP="005C2072">
      <w:pPr>
        <w:numPr>
          <w:ilvl w:val="0"/>
          <w:numId w:val="9"/>
        </w:numPr>
        <w:autoSpaceDE w:val="0"/>
        <w:autoSpaceDN w:val="0"/>
        <w:adjustRightInd w:val="0"/>
        <w:spacing w:after="0" w:line="240" w:lineRule="auto"/>
        <w:contextualSpacing/>
        <w:jc w:val="both"/>
        <w:rPr>
          <w:rFonts w:cstheme="minorHAnsi"/>
          <w:b/>
          <w:sz w:val="24"/>
          <w:szCs w:val="24"/>
        </w:rPr>
      </w:pPr>
      <w:r w:rsidRPr="005C2072">
        <w:rPr>
          <w:rFonts w:cstheme="minorHAnsi"/>
          <w:b/>
          <w:sz w:val="24"/>
          <w:szCs w:val="24"/>
        </w:rPr>
        <w:t xml:space="preserve">Overview of consultation results. </w:t>
      </w:r>
    </w:p>
    <w:p w:rsidR="005C2072" w:rsidRPr="005C2072" w:rsidRDefault="005C2072" w:rsidP="005C2072">
      <w:pPr>
        <w:numPr>
          <w:ilvl w:val="0"/>
          <w:numId w:val="9"/>
        </w:numPr>
        <w:autoSpaceDE w:val="0"/>
        <w:autoSpaceDN w:val="0"/>
        <w:adjustRightInd w:val="0"/>
        <w:spacing w:after="0" w:line="240" w:lineRule="auto"/>
        <w:contextualSpacing/>
        <w:jc w:val="both"/>
        <w:rPr>
          <w:rFonts w:cstheme="minorHAnsi"/>
          <w:b/>
          <w:sz w:val="24"/>
          <w:szCs w:val="24"/>
        </w:rPr>
      </w:pPr>
      <w:r w:rsidRPr="005C2072">
        <w:rPr>
          <w:rFonts w:cstheme="minorHAnsi"/>
          <w:b/>
          <w:sz w:val="24"/>
          <w:szCs w:val="24"/>
        </w:rPr>
        <w:t xml:space="preserve">Guidance Document(s), as part of the </w:t>
      </w:r>
      <w:r>
        <w:rPr>
          <w:rFonts w:cstheme="minorHAnsi"/>
          <w:b/>
          <w:sz w:val="24"/>
          <w:szCs w:val="24"/>
        </w:rPr>
        <w:t>(</w:t>
      </w:r>
      <w:r w:rsidRPr="005C2072">
        <w:rPr>
          <w:rFonts w:cstheme="minorHAnsi"/>
          <w:b/>
          <w:sz w:val="24"/>
          <w:szCs w:val="24"/>
        </w:rPr>
        <w:t>Draft</w:t>
      </w:r>
      <w:r>
        <w:rPr>
          <w:rFonts w:cstheme="minorHAnsi"/>
          <w:b/>
          <w:sz w:val="24"/>
          <w:szCs w:val="24"/>
        </w:rPr>
        <w:t>)</w:t>
      </w:r>
      <w:r w:rsidRPr="005C2072">
        <w:rPr>
          <w:rFonts w:cstheme="minorHAnsi"/>
          <w:b/>
          <w:sz w:val="24"/>
          <w:szCs w:val="24"/>
        </w:rPr>
        <w:t xml:space="preserve"> Final report, and available to be published via the EU Ecosystem Assessment Platform from the Biodiversity Information System for Europe (BISE) as stand-alone documents. </w:t>
      </w:r>
    </w:p>
    <w:p w:rsidR="00BA7B7A" w:rsidRDefault="00BA7B7A" w:rsidP="00BA7B7A">
      <w:pPr>
        <w:autoSpaceDE w:val="0"/>
        <w:autoSpaceDN w:val="0"/>
        <w:adjustRightInd w:val="0"/>
        <w:spacing w:after="0" w:line="240" w:lineRule="auto"/>
        <w:jc w:val="both"/>
        <w:rPr>
          <w:rFonts w:cstheme="minorHAnsi"/>
        </w:rPr>
      </w:pPr>
    </w:p>
    <w:p w:rsidR="00BA7B7A" w:rsidRPr="007C04D2" w:rsidRDefault="00BA7B7A" w:rsidP="00EE566B">
      <w:pPr>
        <w:autoSpaceDE w:val="0"/>
        <w:autoSpaceDN w:val="0"/>
        <w:adjustRightInd w:val="0"/>
        <w:spacing w:after="0" w:line="240" w:lineRule="auto"/>
        <w:rPr>
          <w:rFonts w:cstheme="minorHAnsi"/>
        </w:rPr>
      </w:pPr>
      <w:r w:rsidRPr="007C04D2">
        <w:rPr>
          <w:rFonts w:cstheme="minorHAnsi"/>
        </w:rPr>
        <w:t>The Task is the c</w:t>
      </w:r>
      <w:r>
        <w:rPr>
          <w:rFonts w:cstheme="minorHAnsi"/>
        </w:rPr>
        <w:t xml:space="preserve">onverging point </w:t>
      </w:r>
      <w:r w:rsidR="00EE566B">
        <w:rPr>
          <w:rFonts w:cstheme="minorHAnsi"/>
        </w:rPr>
        <w:t>for lessons learned in</w:t>
      </w:r>
      <w:r>
        <w:rPr>
          <w:rFonts w:cstheme="minorHAnsi"/>
        </w:rPr>
        <w:t xml:space="preserve"> the project.</w:t>
      </w:r>
      <w:r w:rsidRPr="007C04D2">
        <w:rPr>
          <w:rFonts w:cstheme="minorHAnsi"/>
        </w:rPr>
        <w:t xml:space="preserve"> It is well understood that for an adequate assessment of the institutional situation and assessment and mapping expertise in these countries the contractor must closely work with relevant authorities in MS and on EU level.The focus of Task 4 isa “Guidance </w:t>
      </w:r>
      <w:r w:rsidR="00EE566B">
        <w:rPr>
          <w:rFonts w:cstheme="minorHAnsi"/>
        </w:rPr>
        <w:t>Document</w:t>
      </w:r>
      <w:r w:rsidRPr="007C04D2">
        <w:rPr>
          <w:rFonts w:cstheme="minorHAnsi"/>
        </w:rPr>
        <w:t>”</w:t>
      </w:r>
      <w:r w:rsidR="00EE566B">
        <w:rPr>
          <w:rFonts w:cstheme="minorHAnsi"/>
        </w:rPr>
        <w:t xml:space="preserve"> (</w:t>
      </w:r>
      <w:r w:rsidR="00EE566B" w:rsidRPr="00EE566B">
        <w:rPr>
          <w:rFonts w:cstheme="minorHAnsi"/>
          <w:i/>
        </w:rPr>
        <w:t>a mapping manual</w:t>
      </w:r>
      <w:r w:rsidR="00EE566B">
        <w:rPr>
          <w:rFonts w:cstheme="minorHAnsi"/>
        </w:rPr>
        <w:t>)</w:t>
      </w:r>
      <w:r w:rsidRPr="007C04D2">
        <w:rPr>
          <w:rFonts w:cstheme="minorHAnsi"/>
        </w:rPr>
        <w:t xml:space="preserve">, which includes the relevant contextual institutional  information which allows the </w:t>
      </w:r>
      <w:r>
        <w:rPr>
          <w:rFonts w:cstheme="minorHAnsi"/>
        </w:rPr>
        <w:t xml:space="preserve">scientific and </w:t>
      </w:r>
      <w:r w:rsidRPr="007C04D2">
        <w:rPr>
          <w:rFonts w:cstheme="minorHAnsi"/>
        </w:rPr>
        <w:t xml:space="preserve">technical recommendations </w:t>
      </w:r>
      <w:r>
        <w:rPr>
          <w:rFonts w:cstheme="minorHAnsi"/>
        </w:rPr>
        <w:t xml:space="preserve">mapping and assessment, with reference of course to the Analytical Framework (Maes et al., 2013) and the Thematic Pilot studies, </w:t>
      </w:r>
      <w:r w:rsidRPr="007C04D2">
        <w:rPr>
          <w:rFonts w:cstheme="minorHAnsi"/>
        </w:rPr>
        <w:t xml:space="preserve">to fit the specific circumstances of each of the current and possibly future Member states. The EU Wide Survey </w:t>
      </w:r>
      <w:r>
        <w:rPr>
          <w:rFonts w:cstheme="minorHAnsi"/>
        </w:rPr>
        <w:t>(see Task 1.1 )</w:t>
      </w:r>
      <w:r w:rsidRPr="007C04D2">
        <w:rPr>
          <w:rFonts w:cstheme="minorHAnsi"/>
        </w:rPr>
        <w:t>is</w:t>
      </w:r>
      <w:r>
        <w:rPr>
          <w:rFonts w:cstheme="minorHAnsi"/>
        </w:rPr>
        <w:t xml:space="preserve"> therefore very important and so</w:t>
      </w:r>
      <w:r w:rsidRPr="007C04D2">
        <w:rPr>
          <w:rFonts w:cstheme="minorHAnsi"/>
        </w:rPr>
        <w:t xml:space="preserve"> designed </w:t>
      </w:r>
      <w:r>
        <w:rPr>
          <w:rFonts w:cstheme="minorHAnsi"/>
        </w:rPr>
        <w:t xml:space="preserve">as </w:t>
      </w:r>
      <w:r w:rsidRPr="007C04D2">
        <w:rPr>
          <w:rFonts w:cstheme="minorHAnsi"/>
        </w:rPr>
        <w:t>to provide the consortium with the relevant contextual</w:t>
      </w:r>
      <w:r>
        <w:rPr>
          <w:rFonts w:cstheme="minorHAnsi"/>
        </w:rPr>
        <w:t xml:space="preserve"> as well as State of the Art</w:t>
      </w:r>
      <w:r w:rsidRPr="007C04D2">
        <w:rPr>
          <w:rFonts w:cstheme="minorHAnsi"/>
        </w:rPr>
        <w:t xml:space="preserve"> information</w:t>
      </w:r>
      <w:r>
        <w:rPr>
          <w:rFonts w:cstheme="minorHAnsi"/>
        </w:rPr>
        <w:t xml:space="preserve"> on MAES progress in the Member States</w:t>
      </w:r>
      <w:r w:rsidRPr="007C04D2">
        <w:rPr>
          <w:rFonts w:cstheme="minorHAnsi"/>
        </w:rPr>
        <w:t xml:space="preserve">. The following comments and suggestions of the Steering Group (December 18, 2012) </w:t>
      </w:r>
      <w:r>
        <w:rPr>
          <w:rFonts w:cstheme="minorHAnsi"/>
        </w:rPr>
        <w:t>are</w:t>
      </w:r>
      <w:r w:rsidRPr="007C04D2">
        <w:rPr>
          <w:rFonts w:cstheme="minorHAnsi"/>
        </w:rPr>
        <w:t xml:space="preserve"> taken into account </w:t>
      </w:r>
      <w:r>
        <w:rPr>
          <w:rFonts w:cstheme="minorHAnsi"/>
        </w:rPr>
        <w:t>in</w:t>
      </w:r>
      <w:r w:rsidRPr="007C04D2">
        <w:rPr>
          <w:rFonts w:cstheme="minorHAnsi"/>
        </w:rPr>
        <w:t xml:space="preserve"> developing Task 4:</w:t>
      </w:r>
    </w:p>
    <w:p w:rsidR="00EE566B" w:rsidRDefault="00BA7B7A" w:rsidP="00622218">
      <w:pPr>
        <w:pStyle w:val="Paragraphedeliste"/>
        <w:numPr>
          <w:ilvl w:val="3"/>
          <w:numId w:val="54"/>
        </w:numPr>
        <w:spacing w:line="240" w:lineRule="auto"/>
        <w:ind w:left="567" w:hanging="567"/>
      </w:pPr>
      <w:r w:rsidRPr="007C04D2">
        <w:t>Determine which countries would need the most assistance (and wha</w:t>
      </w:r>
      <w:r w:rsidR="00EE566B">
        <w:t>t type of assistance).</w:t>
      </w:r>
    </w:p>
    <w:p w:rsidR="00BA7B7A" w:rsidRDefault="00BA7B7A" w:rsidP="00622218">
      <w:pPr>
        <w:pStyle w:val="Paragraphedeliste"/>
        <w:numPr>
          <w:ilvl w:val="3"/>
          <w:numId w:val="54"/>
        </w:numPr>
        <w:spacing w:line="240" w:lineRule="auto"/>
        <w:ind w:left="567" w:hanging="567"/>
      </w:pPr>
      <w:r w:rsidRPr="007C04D2">
        <w:t>The  MAES methodology must be coherent but not necessarily harmonised.</w:t>
      </w:r>
    </w:p>
    <w:p w:rsidR="00BA7B7A" w:rsidRDefault="00BA7B7A" w:rsidP="00EE566B">
      <w:pPr>
        <w:spacing w:line="240" w:lineRule="auto"/>
      </w:pPr>
      <w:r>
        <w:t>In the past few months we have developed a rather straightforward method (some call it technocratic)  to introduce knowledge, methods and examples to B</w:t>
      </w:r>
      <w:r w:rsidRPr="009858B9">
        <w:t>iophysical mapping of Ecosystems and their Services</w:t>
      </w:r>
      <w:r>
        <w:t>, using a well-known visualisation in Flow Charts, used widely in the business community, in the ICT community and some areas of science</w:t>
      </w:r>
      <w:r w:rsidR="00497A88">
        <w:t xml:space="preserve"> (see figure below)</w:t>
      </w:r>
      <w:r>
        <w:t>.  Part of the contractual work was to test the approach by consultation with the relevant parties. This we have done by presenting the approach in the Steering Group, in a workshop with the co-leaders of the MAES thematic pilots and in the WG MAES meeting of September 18</w:t>
      </w:r>
      <w:r w:rsidRPr="00AC0CB3">
        <w:rPr>
          <w:vertAlign w:val="superscript"/>
        </w:rPr>
        <w:t>th</w:t>
      </w:r>
      <w:r>
        <w:t>. The first version were available on CIRCA for the WG MAES participants over the summer of 2013. The response has overall been “neutral”, that is: no criticism and no questions. There has been no inquiry directly to the contractor based on the report on CIRCA. We conclude that at the current level of abstraction the flow charts still do not resonate with the intended users. Therefore, in this Draft Final Report on Task 4, we have added more explanatory text and illustrative examples. We are convinced however that the ultimate test of its adequacy is in actually using it in a hands on mapping.  As this is not part of the first year work program, the version we present here of the Guidance Document to Mapping</w:t>
      </w:r>
      <w:r w:rsidRPr="009858B9">
        <w:t>of Ecosystems and their Services</w:t>
      </w:r>
      <w:r>
        <w:t xml:space="preserve"> will be untested and labelled version 0.2 (version 0.1 was the first version made available in June 2013).</w:t>
      </w:r>
    </w:p>
    <w:p w:rsidR="00BA7B7A" w:rsidRDefault="00497A88" w:rsidP="00EE566B">
      <w:pPr>
        <w:spacing w:line="240" w:lineRule="auto"/>
      </w:pPr>
      <w:r>
        <w:t xml:space="preserve">The overview diagram indicates the 5 phases distinguished for a MAES Target 2 Action 5 (phase 1) activity. </w:t>
      </w:r>
    </w:p>
    <w:p w:rsidR="00BA7B7A" w:rsidRDefault="00BA7B7A" w:rsidP="00BA7B7A">
      <w:pPr>
        <w:spacing w:line="240" w:lineRule="auto"/>
      </w:pPr>
    </w:p>
    <w:p w:rsidR="00BA7B7A" w:rsidRDefault="00BA7B7A" w:rsidP="00BA7B7A">
      <w:pPr>
        <w:spacing w:line="240" w:lineRule="auto"/>
      </w:pPr>
    </w:p>
    <w:p w:rsidR="00BA7B7A" w:rsidRPr="00BA7B7A" w:rsidRDefault="00BA7B7A" w:rsidP="00BA7B7A">
      <w:pPr>
        <w:spacing w:line="240" w:lineRule="auto"/>
        <w:jc w:val="center"/>
      </w:pPr>
      <w:r>
        <w:rPr>
          <w:noProof/>
          <w:lang w:val="fr-BE" w:eastAsia="fr-BE"/>
        </w:rPr>
        <w:lastRenderedPageBreak/>
        <w:drawing>
          <wp:inline distT="0" distB="0" distL="0" distR="0">
            <wp:extent cx="3543620" cy="2432933"/>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5015" cy="2433891"/>
                    </a:xfrm>
                    <a:prstGeom prst="rect">
                      <a:avLst/>
                    </a:prstGeom>
                    <a:noFill/>
                    <a:ln>
                      <a:noFill/>
                    </a:ln>
                  </pic:spPr>
                </pic:pic>
              </a:graphicData>
            </a:graphic>
          </wp:inline>
        </w:drawing>
      </w:r>
    </w:p>
    <w:p w:rsidR="00497A88" w:rsidRDefault="00497A88">
      <w:pPr>
        <w:rPr>
          <w:b/>
        </w:rPr>
      </w:pPr>
    </w:p>
    <w:p w:rsidR="00E044A6" w:rsidRDefault="00497A88" w:rsidP="00E044A6">
      <w:pPr>
        <w:spacing w:line="240" w:lineRule="auto"/>
      </w:pPr>
      <w:r w:rsidRPr="00E044A6">
        <w:t xml:space="preserve">In Part 5 of the FINAL REPORT, the steps are described in some detail and  illustrated with examples from the Country Case studies, scientific literature and technical reports. </w:t>
      </w:r>
    </w:p>
    <w:p w:rsidR="00E044A6" w:rsidRPr="00E044A6" w:rsidRDefault="00E044A6" w:rsidP="00E044A6">
      <w:pPr>
        <w:pStyle w:val="Titre6"/>
        <w:tabs>
          <w:tab w:val="left" w:pos="720"/>
        </w:tabs>
        <w:ind w:left="0" w:firstLine="0"/>
        <w:rPr>
          <w:rFonts w:asciiTheme="minorHAnsi" w:hAnsiTheme="minorHAnsi"/>
          <w:b w:val="0"/>
          <w:sz w:val="22"/>
        </w:rPr>
      </w:pPr>
      <w:r w:rsidRPr="00E044A6">
        <w:rPr>
          <w:rFonts w:asciiTheme="minorHAnsi" w:eastAsiaTheme="majorEastAsia" w:hAnsiTheme="minorHAnsi"/>
          <w:b w:val="0"/>
          <w:sz w:val="22"/>
        </w:rPr>
        <w:t xml:space="preserve">It is concluded that a Guidance Document for Mapping must guide the intended users through the process of Mapping, in this case of Ecosystems and Ecosystem Services. The current version of the document provides a straightforward stepwise structure, which is based on the experience of people involved in the MESEU project, either as contractor, or as partner, or expert advisor. Through discussions in the past few years, beginning in fact with the preliminaries of the PRESS project in 2009, a logical sequence of steps has evolved, which is considered to have relevance in many, if not all mapping projects of ecosystems and their services. </w:t>
      </w:r>
      <w:r w:rsidRPr="00E044A6">
        <w:rPr>
          <w:rFonts w:asciiTheme="minorHAnsi" w:hAnsiTheme="minorHAnsi"/>
          <w:b w:val="0"/>
          <w:sz w:val="22"/>
        </w:rPr>
        <w:t xml:space="preserve">One may have different approaches to processing each of the steps, dependent on the cultural setting, the expertise level of the mapping team, the access to data etc. The examples provided in this first version of the document for each of the steps are selected by the contractor and should be reviewed and amended to reflect a much wider basis of experience which can be helpful for users.And of course the document should be tested in actual mapping activity, which is currently under discussion for the MAES process. </w:t>
      </w:r>
    </w:p>
    <w:p w:rsidR="00E044A6" w:rsidRDefault="00E044A6" w:rsidP="00E044A6">
      <w:pPr>
        <w:spacing w:line="240" w:lineRule="auto"/>
      </w:pPr>
      <w:r>
        <w:t>We would be very grateful for any suggestion which expands the basis from which guidance can be drawn and for any feedback from users that have tried the document and can tell us where to change and improve it.</w:t>
      </w:r>
    </w:p>
    <w:p w:rsidR="00AB0746" w:rsidRDefault="00AB0746">
      <w:pPr>
        <w:rPr>
          <w:rFonts w:asciiTheme="majorHAnsi" w:eastAsiaTheme="majorEastAsia" w:hAnsiTheme="majorHAnsi" w:cstheme="majorBidi"/>
          <w:b/>
          <w:bCs/>
          <w:color w:val="365F91" w:themeColor="accent1" w:themeShade="BF"/>
          <w:sz w:val="28"/>
          <w:szCs w:val="28"/>
        </w:rPr>
      </w:pPr>
      <w:r>
        <w:br w:type="page"/>
      </w:r>
    </w:p>
    <w:p w:rsidR="001959EB" w:rsidRPr="00AB0746" w:rsidRDefault="001959EB" w:rsidP="00622218">
      <w:pPr>
        <w:pStyle w:val="Titre1"/>
        <w:numPr>
          <w:ilvl w:val="0"/>
          <w:numId w:val="36"/>
        </w:numPr>
        <w:rPr>
          <w:sz w:val="36"/>
          <w:szCs w:val="36"/>
        </w:rPr>
      </w:pPr>
      <w:r w:rsidRPr="00AB0746">
        <w:rPr>
          <w:sz w:val="36"/>
          <w:szCs w:val="36"/>
        </w:rPr>
        <w:lastRenderedPageBreak/>
        <w:t>CONCLUDING REMARKS AND LOOKING FORWARD</w:t>
      </w:r>
    </w:p>
    <w:p w:rsidR="001959EB" w:rsidRDefault="001959EB" w:rsidP="001959EB"/>
    <w:p w:rsidR="00EE6F0A" w:rsidRDefault="00EE6F0A" w:rsidP="00FD6E78">
      <w:pPr>
        <w:spacing w:line="240" w:lineRule="auto"/>
      </w:pPr>
      <w:r>
        <w:t xml:space="preserve">The question at the end of the first year of a 3 –year contract is where we are in the ambition to have Biophysical Ecosystem Services maps (T2A5 Phase 1) by the end of 2014, across the EU: </w:t>
      </w:r>
    </w:p>
    <w:p w:rsidR="00EE6F0A" w:rsidRPr="001959EB" w:rsidRDefault="00EE6F0A" w:rsidP="00FD6E78">
      <w:pPr>
        <w:spacing w:line="240" w:lineRule="auto"/>
      </w:pPr>
      <w:r>
        <w:t>Some indication may be obtained of course from the previous sections and more detailed from the various Parts of the MESEU Final Report 2013. What also helps is to visualise what is need to have that ambition achieved, in the terminology developed and used in the MESEU project and the MAES process. A few of these challenges are listed below. We may tackle some of these questions in the second year.</w:t>
      </w:r>
    </w:p>
    <w:p w:rsidR="00E40789" w:rsidRPr="00EE6F0A" w:rsidRDefault="00EE6F0A" w:rsidP="00622218">
      <w:pPr>
        <w:pStyle w:val="Paragraphedeliste"/>
        <w:numPr>
          <w:ilvl w:val="0"/>
          <w:numId w:val="56"/>
        </w:numPr>
        <w:spacing w:after="0" w:line="240" w:lineRule="auto"/>
        <w:rPr>
          <w:sz w:val="24"/>
          <w:szCs w:val="24"/>
        </w:rPr>
      </w:pPr>
      <w:r w:rsidRPr="00EE6F0A">
        <w:rPr>
          <w:sz w:val="24"/>
          <w:szCs w:val="24"/>
        </w:rPr>
        <w:t>W</w:t>
      </w:r>
      <w:r w:rsidR="00E40789" w:rsidRPr="00EE6F0A">
        <w:rPr>
          <w:sz w:val="24"/>
          <w:szCs w:val="24"/>
        </w:rPr>
        <w:t>hat data you need (meta-data framework);  what is the necessary data that needs to be in the m</w:t>
      </w:r>
      <w:r w:rsidRPr="00EE6F0A">
        <w:rPr>
          <w:sz w:val="24"/>
          <w:szCs w:val="24"/>
        </w:rPr>
        <w:t xml:space="preserve">aps (what is a good or bad map)? </w:t>
      </w:r>
    </w:p>
    <w:p w:rsidR="009103F1" w:rsidRDefault="009103F1" w:rsidP="00BF14CD">
      <w:pPr>
        <w:pStyle w:val="Paragraphedeliste"/>
        <w:numPr>
          <w:ilvl w:val="0"/>
          <w:numId w:val="15"/>
        </w:numPr>
        <w:spacing w:after="0" w:line="240" w:lineRule="auto"/>
        <w:contextualSpacing w:val="0"/>
        <w:rPr>
          <w:b/>
        </w:rPr>
      </w:pPr>
      <w:r>
        <w:rPr>
          <w:b/>
        </w:rPr>
        <w:t>Typology</w:t>
      </w:r>
    </w:p>
    <w:p w:rsidR="008B2C59" w:rsidRDefault="008B2C59" w:rsidP="009103F1">
      <w:pPr>
        <w:pStyle w:val="Paragraphedeliste"/>
        <w:numPr>
          <w:ilvl w:val="1"/>
          <w:numId w:val="15"/>
        </w:numPr>
        <w:spacing w:after="0" w:line="240" w:lineRule="auto"/>
        <w:contextualSpacing w:val="0"/>
        <w:rPr>
          <w:b/>
        </w:rPr>
      </w:pPr>
      <w:r>
        <w:rPr>
          <w:b/>
        </w:rPr>
        <w:t>Land use / Land cover (zones, with use/habitat type in fresh / marine aquatic systems); from MAES Table</w:t>
      </w:r>
    </w:p>
    <w:p w:rsidR="008B2C59" w:rsidRDefault="008B2C59" w:rsidP="009103F1">
      <w:pPr>
        <w:pStyle w:val="Paragraphedeliste"/>
        <w:numPr>
          <w:ilvl w:val="1"/>
          <w:numId w:val="15"/>
        </w:numPr>
        <w:spacing w:after="0" w:line="240" w:lineRule="auto"/>
        <w:contextualSpacing w:val="0"/>
        <w:rPr>
          <w:b/>
        </w:rPr>
      </w:pPr>
      <w:r>
        <w:rPr>
          <w:b/>
        </w:rPr>
        <w:t xml:space="preserve">Ecosystem type (from MAES Matrix)   </w:t>
      </w:r>
    </w:p>
    <w:p w:rsidR="008B2C59" w:rsidRDefault="008B2C59" w:rsidP="009103F1">
      <w:pPr>
        <w:pStyle w:val="Paragraphedeliste"/>
        <w:numPr>
          <w:ilvl w:val="1"/>
          <w:numId w:val="15"/>
        </w:numPr>
        <w:spacing w:after="0" w:line="240" w:lineRule="auto"/>
        <w:contextualSpacing w:val="0"/>
        <w:rPr>
          <w:b/>
        </w:rPr>
      </w:pPr>
      <w:r>
        <w:rPr>
          <w:b/>
        </w:rPr>
        <w:t>Ecosystem Service type (CICES 1-5)</w:t>
      </w:r>
    </w:p>
    <w:p w:rsidR="008B2C59" w:rsidRDefault="008B2C59" w:rsidP="009103F1">
      <w:pPr>
        <w:pStyle w:val="Paragraphedeliste"/>
        <w:numPr>
          <w:ilvl w:val="1"/>
          <w:numId w:val="15"/>
        </w:numPr>
        <w:spacing w:after="0" w:line="240" w:lineRule="auto"/>
        <w:contextualSpacing w:val="0"/>
        <w:rPr>
          <w:b/>
        </w:rPr>
      </w:pPr>
      <w:r>
        <w:rPr>
          <w:b/>
        </w:rPr>
        <w:t>Degradation level (Class/ from Contract Johan Lammerant et al.)</w:t>
      </w:r>
    </w:p>
    <w:p w:rsidR="009103F1" w:rsidRDefault="009103F1" w:rsidP="00BF14CD">
      <w:pPr>
        <w:pStyle w:val="Paragraphedeliste"/>
        <w:numPr>
          <w:ilvl w:val="0"/>
          <w:numId w:val="15"/>
        </w:numPr>
        <w:spacing w:after="0" w:line="240" w:lineRule="auto"/>
        <w:contextualSpacing w:val="0"/>
        <w:rPr>
          <w:b/>
        </w:rPr>
      </w:pPr>
      <w:r>
        <w:rPr>
          <w:b/>
        </w:rPr>
        <w:t>Indicators</w:t>
      </w:r>
      <w:r w:rsidR="00C7705C">
        <w:rPr>
          <w:b/>
        </w:rPr>
        <w:t xml:space="preserve"> for quantification (supply side; potential services)</w:t>
      </w:r>
    </w:p>
    <w:p w:rsidR="008B2C59" w:rsidRDefault="008B2C59" w:rsidP="009103F1">
      <w:pPr>
        <w:pStyle w:val="Paragraphedeliste"/>
        <w:numPr>
          <w:ilvl w:val="1"/>
          <w:numId w:val="15"/>
        </w:numPr>
        <w:spacing w:after="0" w:line="240" w:lineRule="auto"/>
        <w:contextualSpacing w:val="0"/>
        <w:rPr>
          <w:b/>
        </w:rPr>
      </w:pPr>
      <w:r>
        <w:rPr>
          <w:b/>
        </w:rPr>
        <w:t>Stock / Natural Capital indicator: Unit Quantity (#, Kg, m3) / Unit Area (ha)</w:t>
      </w:r>
    </w:p>
    <w:p w:rsidR="008B2C59" w:rsidRDefault="008B2C59" w:rsidP="009103F1">
      <w:pPr>
        <w:pStyle w:val="Paragraphedeliste"/>
        <w:numPr>
          <w:ilvl w:val="1"/>
          <w:numId w:val="15"/>
        </w:numPr>
        <w:spacing w:after="0" w:line="240" w:lineRule="auto"/>
        <w:contextualSpacing w:val="0"/>
        <w:rPr>
          <w:b/>
        </w:rPr>
      </w:pPr>
      <w:r>
        <w:rPr>
          <w:b/>
        </w:rPr>
        <w:t>Net Production / Net Accumulation of the NC : UQ/UA/Unit Time (yr)</w:t>
      </w:r>
    </w:p>
    <w:p w:rsidR="008B2C59" w:rsidRDefault="00C7705C" w:rsidP="009103F1">
      <w:pPr>
        <w:pStyle w:val="Paragraphedeliste"/>
        <w:numPr>
          <w:ilvl w:val="1"/>
          <w:numId w:val="15"/>
        </w:numPr>
        <w:spacing w:after="0" w:line="240" w:lineRule="auto"/>
        <w:contextualSpacing w:val="0"/>
        <w:rPr>
          <w:b/>
        </w:rPr>
      </w:pPr>
      <w:r>
        <w:rPr>
          <w:b/>
        </w:rPr>
        <w:t xml:space="preserve">MAX Sustainable </w:t>
      </w:r>
      <w:r w:rsidR="008B2C59">
        <w:rPr>
          <w:b/>
        </w:rPr>
        <w:t>Output flow from Stock (extraction, harvest) for Provisioning Services</w:t>
      </w:r>
      <w:r>
        <w:rPr>
          <w:b/>
        </w:rPr>
        <w:t xml:space="preserve"> UQ/UA/UT</w:t>
      </w:r>
    </w:p>
    <w:p w:rsidR="009103F1" w:rsidRDefault="00C7705C" w:rsidP="009103F1">
      <w:pPr>
        <w:pStyle w:val="Paragraphedeliste"/>
        <w:numPr>
          <w:ilvl w:val="1"/>
          <w:numId w:val="15"/>
        </w:numPr>
        <w:spacing w:after="0" w:line="240" w:lineRule="auto"/>
        <w:contextualSpacing w:val="0"/>
        <w:rPr>
          <w:b/>
        </w:rPr>
      </w:pPr>
      <w:r>
        <w:rPr>
          <w:b/>
        </w:rPr>
        <w:t xml:space="preserve">MAX Sustainable </w:t>
      </w:r>
      <w:r w:rsidR="008B2C59">
        <w:rPr>
          <w:b/>
        </w:rPr>
        <w:t>Absorption flow by NC (</w:t>
      </w:r>
      <w:r w:rsidR="009103F1">
        <w:rPr>
          <w:b/>
        </w:rPr>
        <w:t xml:space="preserve">regulation of pollutants, C-seq., water purification) </w:t>
      </w:r>
      <w:r>
        <w:rPr>
          <w:b/>
        </w:rPr>
        <w:t>for Regulati</w:t>
      </w:r>
      <w:r w:rsidR="009103F1">
        <w:rPr>
          <w:b/>
        </w:rPr>
        <w:t>ng services</w:t>
      </w:r>
      <w:r>
        <w:rPr>
          <w:b/>
        </w:rPr>
        <w:t xml:space="preserve"> UQ/UA/UT</w:t>
      </w:r>
    </w:p>
    <w:p w:rsidR="008B2C59" w:rsidRDefault="00C7705C" w:rsidP="009103F1">
      <w:pPr>
        <w:pStyle w:val="Paragraphedeliste"/>
        <w:numPr>
          <w:ilvl w:val="1"/>
          <w:numId w:val="15"/>
        </w:numPr>
        <w:spacing w:after="0" w:line="240" w:lineRule="auto"/>
        <w:contextualSpacing w:val="0"/>
        <w:rPr>
          <w:b/>
        </w:rPr>
      </w:pPr>
      <w:r>
        <w:rPr>
          <w:b/>
        </w:rPr>
        <w:t xml:space="preserve">Max Information flow potential (is measured by some Diversity index (Shannon-Weaver etc).  Spatial patterns in LULC are a start; Species, vegetation types etc. to be combined with Accessibility to People=&gt; Cultural Services; </w:t>
      </w:r>
    </w:p>
    <w:p w:rsidR="00C7705C" w:rsidRPr="009D7024" w:rsidRDefault="00C7705C" w:rsidP="00C7705C">
      <w:pPr>
        <w:pStyle w:val="Paragraphedeliste"/>
        <w:spacing w:after="0" w:line="240" w:lineRule="auto"/>
        <w:ind w:left="1440"/>
        <w:contextualSpacing w:val="0"/>
        <w:rPr>
          <w:b/>
          <w:sz w:val="24"/>
          <w:szCs w:val="24"/>
        </w:rPr>
      </w:pPr>
    </w:p>
    <w:p w:rsidR="009D7024" w:rsidRPr="009D7024" w:rsidRDefault="009D7024" w:rsidP="00622218">
      <w:pPr>
        <w:pStyle w:val="Paragraphedeliste"/>
        <w:numPr>
          <w:ilvl w:val="0"/>
          <w:numId w:val="56"/>
        </w:numPr>
        <w:spacing w:after="0" w:line="240" w:lineRule="auto"/>
        <w:rPr>
          <w:sz w:val="24"/>
          <w:szCs w:val="24"/>
        </w:rPr>
      </w:pPr>
      <w:r>
        <w:rPr>
          <w:sz w:val="24"/>
          <w:szCs w:val="24"/>
        </w:rPr>
        <w:t>I</w:t>
      </w:r>
      <w:r w:rsidR="00E40789" w:rsidRPr="009D7024">
        <w:rPr>
          <w:sz w:val="24"/>
          <w:szCs w:val="24"/>
        </w:rPr>
        <w:t xml:space="preserve">s it possible to make </w:t>
      </w:r>
      <w:r>
        <w:rPr>
          <w:sz w:val="24"/>
          <w:szCs w:val="24"/>
        </w:rPr>
        <w:t>Biophysical Ecosystem Services</w:t>
      </w:r>
      <w:r w:rsidR="00E40789" w:rsidRPr="009D7024">
        <w:rPr>
          <w:sz w:val="24"/>
          <w:szCs w:val="24"/>
        </w:rPr>
        <w:t xml:space="preserve"> maps for each country?</w:t>
      </w:r>
      <w:r>
        <w:rPr>
          <w:sz w:val="24"/>
          <w:szCs w:val="24"/>
        </w:rPr>
        <w:t>To what extent can they be b</w:t>
      </w:r>
      <w:r w:rsidRPr="009D7024">
        <w:rPr>
          <w:sz w:val="24"/>
          <w:szCs w:val="24"/>
        </w:rPr>
        <w:t>ased on current informati</w:t>
      </w:r>
      <w:r>
        <w:rPr>
          <w:sz w:val="24"/>
          <w:szCs w:val="24"/>
        </w:rPr>
        <w:t>on from case studies and survey?</w:t>
      </w:r>
    </w:p>
    <w:p w:rsidR="00C7705C" w:rsidRDefault="00E40789" w:rsidP="00BF14CD">
      <w:pPr>
        <w:pStyle w:val="Paragraphedeliste"/>
        <w:numPr>
          <w:ilvl w:val="0"/>
          <w:numId w:val="15"/>
        </w:numPr>
        <w:spacing w:after="0" w:line="240" w:lineRule="auto"/>
        <w:contextualSpacing w:val="0"/>
        <w:rPr>
          <w:b/>
        </w:rPr>
      </w:pPr>
      <w:r w:rsidRPr="00E40789">
        <w:rPr>
          <w:b/>
        </w:rPr>
        <w:t>We think it is possible to make base maps for all countries, using</w:t>
      </w:r>
    </w:p>
    <w:p w:rsidR="00C7705C" w:rsidRDefault="00C7705C" w:rsidP="00C7705C">
      <w:pPr>
        <w:pStyle w:val="Paragraphedeliste"/>
        <w:numPr>
          <w:ilvl w:val="1"/>
          <w:numId w:val="15"/>
        </w:numPr>
        <w:spacing w:after="0" w:line="240" w:lineRule="auto"/>
        <w:contextualSpacing w:val="0"/>
        <w:rPr>
          <w:b/>
        </w:rPr>
      </w:pPr>
      <w:r>
        <w:rPr>
          <w:b/>
        </w:rPr>
        <w:t>EU data sets to build “masker” for countries</w:t>
      </w:r>
    </w:p>
    <w:p w:rsidR="00C7705C" w:rsidRDefault="00C7705C" w:rsidP="00C7705C">
      <w:pPr>
        <w:pStyle w:val="Paragraphedeliste"/>
        <w:numPr>
          <w:ilvl w:val="1"/>
          <w:numId w:val="15"/>
        </w:numPr>
        <w:spacing w:after="0" w:line="240" w:lineRule="auto"/>
        <w:contextualSpacing w:val="0"/>
        <w:rPr>
          <w:b/>
        </w:rPr>
      </w:pPr>
      <w:r>
        <w:rPr>
          <w:b/>
        </w:rPr>
        <w:t>Regional case studies in countries</w:t>
      </w:r>
    </w:p>
    <w:p w:rsidR="00C7705C" w:rsidRDefault="00E40789" w:rsidP="00C7705C">
      <w:pPr>
        <w:pStyle w:val="Paragraphedeliste"/>
        <w:numPr>
          <w:ilvl w:val="1"/>
          <w:numId w:val="15"/>
        </w:numPr>
        <w:spacing w:after="0" w:line="240" w:lineRule="auto"/>
        <w:contextualSpacing w:val="0"/>
        <w:rPr>
          <w:b/>
        </w:rPr>
      </w:pPr>
      <w:r w:rsidRPr="00E40789">
        <w:rPr>
          <w:b/>
        </w:rPr>
        <w:t>the Burkhard method with much expert judgement and data from other countries where the target country has no d</w:t>
      </w:r>
      <w:r w:rsidR="00C7705C">
        <w:rPr>
          <w:b/>
        </w:rPr>
        <w:t>ata (sort of Benefit Transfer)</w:t>
      </w:r>
    </w:p>
    <w:p w:rsidR="00C7705C" w:rsidRDefault="00C7705C" w:rsidP="00C7705C">
      <w:pPr>
        <w:pStyle w:val="Paragraphedeliste"/>
        <w:numPr>
          <w:ilvl w:val="1"/>
          <w:numId w:val="15"/>
        </w:numPr>
        <w:spacing w:after="0" w:line="240" w:lineRule="auto"/>
        <w:contextualSpacing w:val="0"/>
        <w:rPr>
          <w:b/>
        </w:rPr>
      </w:pPr>
      <w:r>
        <w:rPr>
          <w:b/>
        </w:rPr>
        <w:t>Typological data</w:t>
      </w:r>
    </w:p>
    <w:p w:rsidR="00E40789" w:rsidRDefault="00C7705C" w:rsidP="00BF14CD">
      <w:pPr>
        <w:pStyle w:val="Paragraphedeliste"/>
        <w:numPr>
          <w:ilvl w:val="0"/>
          <w:numId w:val="15"/>
        </w:numPr>
        <w:spacing w:after="0" w:line="240" w:lineRule="auto"/>
        <w:contextualSpacing w:val="0"/>
        <w:rPr>
          <w:b/>
        </w:rPr>
      </w:pPr>
      <w:r>
        <w:rPr>
          <w:b/>
        </w:rPr>
        <w:t>But….</w:t>
      </w:r>
      <w:r w:rsidR="00E40789" w:rsidRPr="00E40789">
        <w:rPr>
          <w:b/>
        </w:rPr>
        <w:t>The quality of such maps will be limited. It should be considered as a beginning.</w:t>
      </w:r>
    </w:p>
    <w:p w:rsidR="00C7705C" w:rsidRPr="00E40789" w:rsidRDefault="00C7705C" w:rsidP="00C7705C">
      <w:pPr>
        <w:pStyle w:val="Paragraphedeliste"/>
        <w:spacing w:after="0" w:line="240" w:lineRule="auto"/>
        <w:contextualSpacing w:val="0"/>
        <w:rPr>
          <w:b/>
        </w:rPr>
      </w:pPr>
    </w:p>
    <w:p w:rsidR="00E40789" w:rsidRPr="009D7024" w:rsidRDefault="009D7024" w:rsidP="00622218">
      <w:pPr>
        <w:pStyle w:val="Paragraphedeliste"/>
        <w:numPr>
          <w:ilvl w:val="0"/>
          <w:numId w:val="56"/>
        </w:numPr>
        <w:spacing w:after="0" w:line="240" w:lineRule="auto"/>
        <w:contextualSpacing w:val="0"/>
        <w:rPr>
          <w:sz w:val="24"/>
          <w:szCs w:val="24"/>
        </w:rPr>
      </w:pPr>
      <w:r>
        <w:rPr>
          <w:sz w:val="24"/>
          <w:szCs w:val="24"/>
        </w:rPr>
        <w:t>What is</w:t>
      </w:r>
      <w:r w:rsidR="00E40789" w:rsidRPr="009D7024">
        <w:rPr>
          <w:sz w:val="24"/>
          <w:szCs w:val="24"/>
        </w:rPr>
        <w:t xml:space="preserve"> the scale at which the ecosystem needs to be defined, e.g. forest, forest types or tree sp</w:t>
      </w:r>
      <w:r>
        <w:rPr>
          <w:sz w:val="24"/>
          <w:szCs w:val="24"/>
        </w:rPr>
        <w:t>ecies?</w:t>
      </w:r>
    </w:p>
    <w:p w:rsidR="00E40789" w:rsidRDefault="00E40789" w:rsidP="00BF14CD">
      <w:pPr>
        <w:pStyle w:val="Paragraphedeliste"/>
        <w:numPr>
          <w:ilvl w:val="0"/>
          <w:numId w:val="15"/>
        </w:numPr>
        <w:spacing w:after="0" w:line="240" w:lineRule="auto"/>
        <w:contextualSpacing w:val="0"/>
        <w:rPr>
          <w:b/>
        </w:rPr>
      </w:pPr>
      <w:r w:rsidRPr="00E40789">
        <w:rPr>
          <w:b/>
        </w:rPr>
        <w:t>We need to explore this for different ecosystems, and it depend on the purpose of the map or assessment.</w:t>
      </w:r>
    </w:p>
    <w:p w:rsidR="001645D4" w:rsidRDefault="001645D4" w:rsidP="001645D4">
      <w:pPr>
        <w:pStyle w:val="Paragraphedeliste"/>
        <w:numPr>
          <w:ilvl w:val="1"/>
          <w:numId w:val="15"/>
        </w:numPr>
        <w:spacing w:after="0" w:line="240" w:lineRule="auto"/>
        <w:contextualSpacing w:val="0"/>
        <w:rPr>
          <w:b/>
        </w:rPr>
      </w:pPr>
      <w:r>
        <w:rPr>
          <w:b/>
        </w:rPr>
        <w:t>Purpose level 1: awareness, what is happening in my backyard</w:t>
      </w:r>
      <w:r w:rsidR="009D7024">
        <w:rPr>
          <w:b/>
        </w:rPr>
        <w:t xml:space="preserve"> - rough</w:t>
      </w:r>
    </w:p>
    <w:p w:rsidR="001645D4" w:rsidRDefault="001645D4" w:rsidP="001645D4">
      <w:pPr>
        <w:pStyle w:val="Paragraphedeliste"/>
        <w:numPr>
          <w:ilvl w:val="1"/>
          <w:numId w:val="15"/>
        </w:numPr>
        <w:spacing w:after="0" w:line="240" w:lineRule="auto"/>
        <w:contextualSpacing w:val="0"/>
        <w:rPr>
          <w:b/>
        </w:rPr>
      </w:pPr>
      <w:r>
        <w:rPr>
          <w:b/>
        </w:rPr>
        <w:t>Purpose level 2: discussion about spatial planning in stakeholder meeting</w:t>
      </w:r>
      <w:r w:rsidR="009D7024">
        <w:rPr>
          <w:b/>
        </w:rPr>
        <w:t xml:space="preserve"> -medium</w:t>
      </w:r>
    </w:p>
    <w:p w:rsidR="001645D4" w:rsidRDefault="001645D4" w:rsidP="001645D4">
      <w:pPr>
        <w:pStyle w:val="Paragraphedeliste"/>
        <w:numPr>
          <w:ilvl w:val="1"/>
          <w:numId w:val="15"/>
        </w:numPr>
        <w:spacing w:after="0" w:line="240" w:lineRule="auto"/>
        <w:contextualSpacing w:val="0"/>
        <w:rPr>
          <w:b/>
        </w:rPr>
      </w:pPr>
      <w:r>
        <w:rPr>
          <w:b/>
        </w:rPr>
        <w:t>Purpose level 3: regional planners, with zoning as objective</w:t>
      </w:r>
      <w:r w:rsidR="009D7024">
        <w:rPr>
          <w:b/>
        </w:rPr>
        <w:t xml:space="preserve"> - specific</w:t>
      </w:r>
    </w:p>
    <w:p w:rsidR="001645D4" w:rsidRDefault="001645D4" w:rsidP="001645D4">
      <w:pPr>
        <w:pStyle w:val="Paragraphedeliste"/>
        <w:numPr>
          <w:ilvl w:val="1"/>
          <w:numId w:val="15"/>
        </w:numPr>
        <w:spacing w:after="0" w:line="240" w:lineRule="auto"/>
        <w:contextualSpacing w:val="0"/>
        <w:rPr>
          <w:b/>
        </w:rPr>
      </w:pPr>
      <w:r>
        <w:rPr>
          <w:b/>
        </w:rPr>
        <w:t>Purpose level 4: legal-economic (ownership, PES arrangements</w:t>
      </w:r>
      <w:r w:rsidR="00080502">
        <w:rPr>
          <w:b/>
        </w:rPr>
        <w:t>, SCBA</w:t>
      </w:r>
      <w:r>
        <w:rPr>
          <w:b/>
        </w:rPr>
        <w:t>)</w:t>
      </w:r>
      <w:r w:rsidR="009D7024">
        <w:rPr>
          <w:b/>
        </w:rPr>
        <w:t xml:space="preserve"> - cadastral</w:t>
      </w:r>
    </w:p>
    <w:p w:rsidR="00C7705C" w:rsidRPr="00E40789" w:rsidRDefault="00C7705C" w:rsidP="00C7705C">
      <w:pPr>
        <w:pStyle w:val="Paragraphedeliste"/>
        <w:spacing w:after="0" w:line="240" w:lineRule="auto"/>
        <w:contextualSpacing w:val="0"/>
        <w:rPr>
          <w:b/>
        </w:rPr>
      </w:pPr>
    </w:p>
    <w:p w:rsidR="00E40789" w:rsidRPr="00E40789" w:rsidRDefault="009D7024" w:rsidP="00622218">
      <w:pPr>
        <w:pStyle w:val="Paragraphedeliste"/>
        <w:numPr>
          <w:ilvl w:val="0"/>
          <w:numId w:val="56"/>
        </w:numPr>
        <w:spacing w:after="0" w:line="240" w:lineRule="auto"/>
        <w:contextualSpacing w:val="0"/>
      </w:pPr>
      <w:r>
        <w:t xml:space="preserve">Should there be a </w:t>
      </w:r>
      <w:r w:rsidR="00E40789" w:rsidRPr="00E40789">
        <w:t>Table to be filled in indicating what is missing to make a sensible map?</w:t>
      </w:r>
    </w:p>
    <w:p w:rsidR="00E40789" w:rsidRDefault="00C7705C" w:rsidP="00BF14CD">
      <w:pPr>
        <w:pStyle w:val="Paragraphedeliste"/>
        <w:numPr>
          <w:ilvl w:val="0"/>
          <w:numId w:val="15"/>
        </w:numPr>
        <w:spacing w:after="0" w:line="240" w:lineRule="auto"/>
        <w:contextualSpacing w:val="0"/>
        <w:rPr>
          <w:b/>
        </w:rPr>
      </w:pPr>
      <w:r>
        <w:rPr>
          <w:b/>
        </w:rPr>
        <w:lastRenderedPageBreak/>
        <w:t>Must</w:t>
      </w:r>
      <w:r w:rsidR="00E40789" w:rsidRPr="00E40789">
        <w:rPr>
          <w:b/>
        </w:rPr>
        <w:t xml:space="preserve"> be part of the Guidance manual </w:t>
      </w:r>
    </w:p>
    <w:p w:rsidR="00EE6F0A" w:rsidRPr="00EE6F0A" w:rsidRDefault="00EE6F0A" w:rsidP="00EE6F0A">
      <w:pPr>
        <w:spacing w:after="0" w:line="240" w:lineRule="auto"/>
        <w:rPr>
          <w:b/>
        </w:rPr>
      </w:pPr>
    </w:p>
    <w:p w:rsidR="00E40789" w:rsidRPr="00E40789" w:rsidRDefault="00E40789" w:rsidP="00622218">
      <w:pPr>
        <w:pStyle w:val="Paragraphedeliste"/>
        <w:numPr>
          <w:ilvl w:val="0"/>
          <w:numId w:val="56"/>
        </w:numPr>
        <w:spacing w:after="0" w:line="240" w:lineRule="auto"/>
        <w:contextualSpacing w:val="0"/>
      </w:pPr>
      <w:r w:rsidRPr="00E40789">
        <w:t>What will be the potential next steps that we already see in other countries</w:t>
      </w:r>
      <w:r w:rsidR="00F203EC">
        <w:t>?</w:t>
      </w:r>
    </w:p>
    <w:p w:rsidR="00E40789" w:rsidRDefault="00EE6F0A" w:rsidP="00BF14CD">
      <w:pPr>
        <w:pStyle w:val="Paragraphedeliste"/>
        <w:numPr>
          <w:ilvl w:val="0"/>
          <w:numId w:val="15"/>
        </w:numPr>
        <w:spacing w:after="0" w:line="240" w:lineRule="auto"/>
        <w:contextualSpacing w:val="0"/>
        <w:rPr>
          <w:b/>
        </w:rPr>
      </w:pPr>
      <w:r>
        <w:rPr>
          <w:b/>
        </w:rPr>
        <w:t>1. Survey complete to create EU wide baseline of “progress”, rough guidance targets</w:t>
      </w:r>
    </w:p>
    <w:p w:rsidR="00EE6F0A" w:rsidRDefault="00EE6F0A" w:rsidP="00BF14CD">
      <w:pPr>
        <w:pStyle w:val="Paragraphedeliste"/>
        <w:numPr>
          <w:ilvl w:val="0"/>
          <w:numId w:val="15"/>
        </w:numPr>
        <w:spacing w:after="0" w:line="240" w:lineRule="auto"/>
        <w:contextualSpacing w:val="0"/>
        <w:rPr>
          <w:b/>
        </w:rPr>
      </w:pPr>
      <w:r>
        <w:rPr>
          <w:b/>
        </w:rPr>
        <w:t xml:space="preserve">2. Fact Sheets complete for EU, to define potential, specific guidance targets, </w:t>
      </w:r>
    </w:p>
    <w:p w:rsidR="00EE6F0A" w:rsidRDefault="00EE6F0A" w:rsidP="00BF14CD">
      <w:pPr>
        <w:pStyle w:val="Paragraphedeliste"/>
        <w:numPr>
          <w:ilvl w:val="0"/>
          <w:numId w:val="15"/>
        </w:numPr>
        <w:spacing w:after="0" w:line="240" w:lineRule="auto"/>
        <w:contextualSpacing w:val="0"/>
        <w:rPr>
          <w:b/>
        </w:rPr>
      </w:pPr>
      <w:r>
        <w:rPr>
          <w:b/>
        </w:rPr>
        <w:t>3. Collect Maps at regional level: Ecosystems &amp; Ecosystem Services</w:t>
      </w:r>
    </w:p>
    <w:p w:rsidR="00EE6F0A" w:rsidRDefault="00F203EC" w:rsidP="00BF14CD">
      <w:pPr>
        <w:pStyle w:val="Paragraphedeliste"/>
        <w:numPr>
          <w:ilvl w:val="0"/>
          <w:numId w:val="15"/>
        </w:numPr>
        <w:spacing w:after="0" w:line="240" w:lineRule="auto"/>
        <w:contextualSpacing w:val="0"/>
        <w:rPr>
          <w:b/>
        </w:rPr>
      </w:pPr>
      <w:r>
        <w:rPr>
          <w:b/>
        </w:rPr>
        <w:t xml:space="preserve">4. </w:t>
      </w:r>
      <w:r w:rsidR="00EE6F0A">
        <w:rPr>
          <w:b/>
        </w:rPr>
        <w:t>Start User / Use flows mapping</w:t>
      </w:r>
      <w:r>
        <w:rPr>
          <w:b/>
        </w:rPr>
        <w:t xml:space="preserve"> (see Special Issue Ecosystem Services: Mapping and Modeling; OpenNESS / OPERAs)</w:t>
      </w:r>
    </w:p>
    <w:p w:rsidR="00F203EC" w:rsidRDefault="00F203EC" w:rsidP="00F203EC">
      <w:pPr>
        <w:pStyle w:val="Paragraphedeliste"/>
        <w:numPr>
          <w:ilvl w:val="0"/>
          <w:numId w:val="15"/>
        </w:numPr>
        <w:spacing w:after="0" w:line="240" w:lineRule="auto"/>
        <w:contextualSpacing w:val="0"/>
        <w:rPr>
          <w:b/>
        </w:rPr>
      </w:pPr>
      <w:r>
        <w:rPr>
          <w:b/>
        </w:rPr>
        <w:t>5. Start Economic Value mapping (see Special Issue Ecosystem Services: Mapping and Modeling;OpenNESS / OPERAs)</w:t>
      </w:r>
    </w:p>
    <w:p w:rsidR="00F203EC" w:rsidRDefault="00F203EC" w:rsidP="00F203EC">
      <w:pPr>
        <w:pStyle w:val="Paragraphedeliste"/>
        <w:numPr>
          <w:ilvl w:val="0"/>
          <w:numId w:val="15"/>
        </w:numPr>
        <w:spacing w:after="0" w:line="240" w:lineRule="auto"/>
        <w:contextualSpacing w:val="0"/>
        <w:rPr>
          <w:b/>
        </w:rPr>
      </w:pPr>
      <w:r>
        <w:rPr>
          <w:b/>
        </w:rPr>
        <w:t>Train mapping &amp; assessment teams in standard approach (with Guidance manual)</w:t>
      </w:r>
    </w:p>
    <w:p w:rsidR="00EE6F0A" w:rsidRPr="00F203EC" w:rsidRDefault="00EE6F0A" w:rsidP="00F203EC">
      <w:pPr>
        <w:spacing w:after="0" w:line="240" w:lineRule="auto"/>
        <w:rPr>
          <w:b/>
        </w:rPr>
      </w:pPr>
    </w:p>
    <w:p w:rsidR="00F203EC" w:rsidRDefault="00F203EC" w:rsidP="00F203EC">
      <w:pPr>
        <w:pStyle w:val="Paragraphedeliste"/>
        <w:spacing w:after="0" w:line="240" w:lineRule="auto"/>
        <w:ind w:left="0"/>
        <w:contextualSpacing w:val="0"/>
      </w:pPr>
      <w:r>
        <w:t>In this first year the MESEU project has essentially been an orientation and exploration of what types of mapping and assessment of ecosystems and ecosystem services are currently available, including a preliminary evaluation of strong and weak points, potential and pitfalls, and scientific as well as process challenges.</w:t>
      </w:r>
    </w:p>
    <w:p w:rsidR="00080502" w:rsidRDefault="00F203EC" w:rsidP="00F203EC">
      <w:pPr>
        <w:pStyle w:val="Paragraphedeliste"/>
        <w:spacing w:after="0" w:line="240" w:lineRule="auto"/>
        <w:ind w:left="0"/>
        <w:contextualSpacing w:val="0"/>
      </w:pPr>
      <w:r>
        <w:t>With the current  structure of the guidance document a relatively simple tool can be developed, which can grow with more experience in the mapping community, and become an on-line help for Member States.</w:t>
      </w:r>
    </w:p>
    <w:p w:rsidR="00080502" w:rsidRDefault="00080502" w:rsidP="00F203EC">
      <w:pPr>
        <w:pStyle w:val="Paragraphedeliste"/>
        <w:spacing w:after="0" w:line="240" w:lineRule="auto"/>
        <w:ind w:left="0"/>
        <w:contextualSpacing w:val="0"/>
      </w:pPr>
    </w:p>
    <w:p w:rsidR="00890020" w:rsidRPr="00080502" w:rsidRDefault="00080502" w:rsidP="00F203EC">
      <w:pPr>
        <w:pStyle w:val="Paragraphedeliste"/>
        <w:spacing w:after="0" w:line="240" w:lineRule="auto"/>
        <w:ind w:left="0"/>
        <w:contextualSpacing w:val="0"/>
      </w:pPr>
      <w:r>
        <w:t>A program for the second year is now being developed which aims to build on the first year results and insights obtained, and focus on the challenges listed above.</w:t>
      </w:r>
      <w:r w:rsidR="00890020">
        <w:rPr>
          <w:rFonts w:cstheme="minorHAnsi"/>
          <w:b/>
          <w:color w:val="4F81BD" w:themeColor="accent1"/>
          <w:sz w:val="40"/>
          <w:szCs w:val="40"/>
        </w:rPr>
        <w:br w:type="page"/>
      </w:r>
    </w:p>
    <w:p w:rsidR="00890020" w:rsidRPr="000B381C" w:rsidRDefault="00890020" w:rsidP="000B381C">
      <w:pPr>
        <w:shd w:val="clear" w:color="auto" w:fill="DBE5F1" w:themeFill="accent1" w:themeFillTint="33"/>
        <w:rPr>
          <w:b/>
          <w:sz w:val="40"/>
          <w:szCs w:val="40"/>
        </w:rPr>
      </w:pPr>
      <w:r w:rsidRPr="000B381C">
        <w:rPr>
          <w:b/>
          <w:sz w:val="40"/>
          <w:szCs w:val="40"/>
        </w:rPr>
        <w:lastRenderedPageBreak/>
        <w:t xml:space="preserve">Part 2: </w:t>
      </w:r>
    </w:p>
    <w:p w:rsidR="00890020" w:rsidRPr="000B381C" w:rsidRDefault="00890020" w:rsidP="000B381C">
      <w:pPr>
        <w:shd w:val="clear" w:color="auto" w:fill="DBE5F1" w:themeFill="accent1" w:themeFillTint="33"/>
        <w:rPr>
          <w:b/>
          <w:sz w:val="40"/>
          <w:szCs w:val="40"/>
        </w:rPr>
      </w:pPr>
      <w:r w:rsidRPr="000B381C">
        <w:rPr>
          <w:b/>
          <w:sz w:val="40"/>
          <w:szCs w:val="40"/>
        </w:rPr>
        <w:t xml:space="preserve">Task 1- Scoping exercise on mapping approaches </w:t>
      </w:r>
    </w:p>
    <w:p w:rsidR="00890020" w:rsidRPr="00C8506E" w:rsidRDefault="00890020" w:rsidP="00890020">
      <w:pPr>
        <w:spacing w:after="0" w:line="240" w:lineRule="auto"/>
        <w:rPr>
          <w:b/>
          <w:sz w:val="24"/>
          <w:szCs w:val="24"/>
        </w:rPr>
      </w:pPr>
      <w:r w:rsidRPr="00C8506E">
        <w:rPr>
          <w:b/>
          <w:sz w:val="24"/>
          <w:szCs w:val="24"/>
        </w:rPr>
        <w:t>Authors:</w:t>
      </w:r>
    </w:p>
    <w:p w:rsidR="00890020" w:rsidRPr="00487E20" w:rsidRDefault="00890020" w:rsidP="00890020">
      <w:pPr>
        <w:spacing w:after="0" w:line="240" w:lineRule="auto"/>
        <w:rPr>
          <w:b/>
          <w:sz w:val="24"/>
          <w:szCs w:val="24"/>
        </w:rPr>
      </w:pPr>
      <w:r w:rsidRPr="00487E20">
        <w:rPr>
          <w:b/>
          <w:sz w:val="24"/>
          <w:szCs w:val="24"/>
        </w:rPr>
        <w:t>L.C. Braat (Alterra), F. Boeraeve (U</w:t>
      </w:r>
      <w:r>
        <w:rPr>
          <w:b/>
          <w:sz w:val="24"/>
          <w:szCs w:val="24"/>
        </w:rPr>
        <w:t>-</w:t>
      </w:r>
      <w:r w:rsidRPr="00487E20">
        <w:rPr>
          <w:b/>
          <w:sz w:val="24"/>
          <w:szCs w:val="24"/>
        </w:rPr>
        <w:t>Utrecht/Alterra), I. Bouwma (Alterra), T. van Daele (INBO), N. Dendoncker (FUND P), A. Grêt-Regamy, C. Klok (IMARES</w:t>
      </w:r>
      <w:r>
        <w:rPr>
          <w:b/>
          <w:sz w:val="24"/>
          <w:szCs w:val="24"/>
        </w:rPr>
        <w:t>/Alterra</w:t>
      </w:r>
      <w:r w:rsidRPr="00487E20">
        <w:rPr>
          <w:b/>
          <w:sz w:val="24"/>
          <w:szCs w:val="24"/>
        </w:rPr>
        <w:t>), L. Miguel-Ayala (Alterra), M. Perez-Soba</w:t>
      </w:r>
      <w:r>
        <w:rPr>
          <w:b/>
          <w:sz w:val="24"/>
          <w:szCs w:val="24"/>
        </w:rPr>
        <w:t xml:space="preserve"> (Alterra)</w:t>
      </w:r>
      <w:r w:rsidRPr="00487E20">
        <w:rPr>
          <w:b/>
          <w:sz w:val="24"/>
          <w:szCs w:val="24"/>
        </w:rPr>
        <w:t>,  J. Peterseil</w:t>
      </w:r>
      <w:r>
        <w:rPr>
          <w:b/>
          <w:sz w:val="24"/>
          <w:szCs w:val="24"/>
        </w:rPr>
        <w:t xml:space="preserve"> (EAA)</w:t>
      </w:r>
      <w:r w:rsidRPr="00487E20">
        <w:rPr>
          <w:b/>
          <w:sz w:val="24"/>
          <w:szCs w:val="24"/>
        </w:rPr>
        <w:t>, F. Santos-Martin (UAM), P. Scholefield (CEH), A. Torre-Marin (ECNC)</w:t>
      </w:r>
      <w:r>
        <w:rPr>
          <w:b/>
          <w:sz w:val="24"/>
          <w:szCs w:val="24"/>
        </w:rPr>
        <w:t>,</w:t>
      </w:r>
      <w:r w:rsidRPr="00487E20">
        <w:rPr>
          <w:b/>
          <w:sz w:val="24"/>
          <w:szCs w:val="24"/>
        </w:rPr>
        <w:t xml:space="preserve"> B. Weibel (ETH-Zurich),</w:t>
      </w:r>
      <w:r>
        <w:rPr>
          <w:b/>
          <w:sz w:val="24"/>
          <w:szCs w:val="24"/>
        </w:rPr>
        <w:t xml:space="preserve"> M. Weiss (EAA)</w:t>
      </w:r>
    </w:p>
    <w:p w:rsidR="00890020" w:rsidRDefault="00890020" w:rsidP="00890020">
      <w:pPr>
        <w:spacing w:after="0"/>
        <w:rPr>
          <w:b/>
          <w:sz w:val="36"/>
          <w:szCs w:val="36"/>
        </w:rPr>
      </w:pPr>
    </w:p>
    <w:p w:rsidR="00890020" w:rsidRPr="00A43600" w:rsidRDefault="00890020" w:rsidP="00890020">
      <w:pPr>
        <w:rPr>
          <w:b/>
          <w:sz w:val="36"/>
          <w:szCs w:val="36"/>
        </w:rPr>
      </w:pPr>
      <w:r w:rsidRPr="00A43600">
        <w:rPr>
          <w:b/>
          <w:sz w:val="36"/>
          <w:szCs w:val="36"/>
        </w:rPr>
        <w:t>TABLE OF CONTENTS</w:t>
      </w:r>
      <w:r w:rsidRPr="00A43600">
        <w:rPr>
          <w:b/>
          <w:sz w:val="36"/>
          <w:szCs w:val="36"/>
        </w:rPr>
        <w:tab/>
      </w:r>
    </w:p>
    <w:p w:rsidR="00890020" w:rsidRPr="00C8506E" w:rsidRDefault="00890020" w:rsidP="00890020">
      <w:pPr>
        <w:pStyle w:val="Titre1"/>
        <w:numPr>
          <w:ilvl w:val="0"/>
          <w:numId w:val="10"/>
        </w:numPr>
        <w:tabs>
          <w:tab w:val="left" w:pos="8505"/>
        </w:tabs>
        <w:spacing w:before="0" w:line="240" w:lineRule="auto"/>
        <w:ind w:left="709" w:hanging="709"/>
        <w:rPr>
          <w:rFonts w:asciiTheme="minorHAnsi" w:hAnsiTheme="minorHAnsi"/>
          <w:color w:val="auto"/>
          <w:sz w:val="24"/>
          <w:szCs w:val="24"/>
        </w:rPr>
      </w:pPr>
      <w:r w:rsidRPr="00C8506E">
        <w:rPr>
          <w:rFonts w:asciiTheme="minorHAnsi" w:hAnsiTheme="minorHAnsi"/>
          <w:color w:val="auto"/>
          <w:sz w:val="24"/>
          <w:szCs w:val="24"/>
        </w:rPr>
        <w:t>METHODOLOGY</w:t>
      </w:r>
      <w:r w:rsidRPr="00C8506E">
        <w:rPr>
          <w:rFonts w:asciiTheme="minorHAnsi" w:hAnsiTheme="minorHAnsi"/>
          <w:color w:val="auto"/>
          <w:sz w:val="24"/>
          <w:szCs w:val="24"/>
        </w:rPr>
        <w:tab/>
        <w:t>4</w:t>
      </w:r>
    </w:p>
    <w:p w:rsidR="00890020" w:rsidRPr="00C8506E" w:rsidRDefault="00890020" w:rsidP="00890020">
      <w:pPr>
        <w:pStyle w:val="Titre6"/>
        <w:tabs>
          <w:tab w:val="clear" w:pos="1152"/>
          <w:tab w:val="left" w:pos="8505"/>
        </w:tabs>
        <w:spacing w:before="0"/>
        <w:ind w:left="709" w:hanging="709"/>
        <w:rPr>
          <w:rFonts w:asciiTheme="minorHAnsi" w:hAnsiTheme="minorHAnsi"/>
          <w:szCs w:val="24"/>
        </w:rPr>
      </w:pPr>
      <w:r w:rsidRPr="00C8506E">
        <w:rPr>
          <w:rFonts w:asciiTheme="minorHAnsi" w:hAnsiTheme="minorHAnsi"/>
          <w:szCs w:val="24"/>
        </w:rPr>
        <w:t>1.1</w:t>
      </w:r>
      <w:r w:rsidRPr="00C8506E">
        <w:rPr>
          <w:rFonts w:asciiTheme="minorHAnsi" w:hAnsiTheme="minorHAnsi"/>
          <w:szCs w:val="24"/>
        </w:rPr>
        <w:tab/>
        <w:t>Requirements by the European Commission</w:t>
      </w:r>
      <w:r w:rsidRPr="00C8506E">
        <w:rPr>
          <w:rFonts w:asciiTheme="minorHAnsi" w:hAnsiTheme="minorHAnsi"/>
          <w:szCs w:val="24"/>
        </w:rPr>
        <w:tab/>
        <w:t>4</w:t>
      </w:r>
    </w:p>
    <w:p w:rsidR="00890020" w:rsidRPr="00C8506E" w:rsidRDefault="00890020" w:rsidP="00890020">
      <w:pPr>
        <w:pStyle w:val="Titre2"/>
        <w:tabs>
          <w:tab w:val="left" w:pos="8505"/>
        </w:tabs>
        <w:spacing w:before="0" w:line="240" w:lineRule="auto"/>
        <w:ind w:left="709" w:hanging="709"/>
        <w:rPr>
          <w:rFonts w:asciiTheme="minorHAnsi" w:hAnsiTheme="minorHAnsi"/>
          <w:color w:val="auto"/>
          <w:sz w:val="24"/>
          <w:szCs w:val="24"/>
        </w:rPr>
      </w:pPr>
      <w:r w:rsidRPr="00C8506E">
        <w:rPr>
          <w:rFonts w:asciiTheme="minorHAnsi" w:hAnsiTheme="minorHAnsi"/>
          <w:color w:val="auto"/>
          <w:sz w:val="24"/>
          <w:szCs w:val="24"/>
        </w:rPr>
        <w:t xml:space="preserve">1.2 </w:t>
      </w:r>
      <w:r w:rsidRPr="00C8506E">
        <w:rPr>
          <w:rFonts w:asciiTheme="minorHAnsi" w:hAnsiTheme="minorHAnsi"/>
          <w:color w:val="auto"/>
          <w:sz w:val="24"/>
          <w:szCs w:val="24"/>
        </w:rPr>
        <w:tab/>
        <w:t>Task 1: Scoping exercise on mapping approaches</w:t>
      </w:r>
      <w:r w:rsidRPr="00C8506E">
        <w:rPr>
          <w:rFonts w:asciiTheme="minorHAnsi" w:hAnsiTheme="minorHAnsi"/>
          <w:color w:val="auto"/>
          <w:sz w:val="24"/>
          <w:szCs w:val="24"/>
        </w:rPr>
        <w:tab/>
        <w:t>4</w:t>
      </w:r>
    </w:p>
    <w:p w:rsidR="00890020" w:rsidRPr="00C8506E" w:rsidRDefault="00890020" w:rsidP="00890020">
      <w:pPr>
        <w:pStyle w:val="Titre2"/>
        <w:numPr>
          <w:ilvl w:val="2"/>
          <w:numId w:val="13"/>
        </w:numPr>
        <w:tabs>
          <w:tab w:val="left" w:pos="8505"/>
        </w:tabs>
        <w:spacing w:before="0" w:line="240" w:lineRule="auto"/>
        <w:rPr>
          <w:rFonts w:asciiTheme="minorHAnsi" w:hAnsiTheme="minorHAnsi"/>
          <w:color w:val="auto"/>
          <w:sz w:val="24"/>
          <w:szCs w:val="24"/>
        </w:rPr>
      </w:pPr>
      <w:r w:rsidRPr="00C8506E">
        <w:rPr>
          <w:rFonts w:asciiTheme="minorHAnsi" w:hAnsiTheme="minorHAnsi"/>
          <w:color w:val="auto"/>
          <w:sz w:val="24"/>
          <w:szCs w:val="24"/>
        </w:rPr>
        <w:t xml:space="preserve">Task 1.1. EU wide survey </w:t>
      </w:r>
      <w:r w:rsidRPr="00C8506E">
        <w:rPr>
          <w:rFonts w:asciiTheme="minorHAnsi" w:hAnsiTheme="minorHAnsi"/>
          <w:color w:val="auto"/>
          <w:sz w:val="24"/>
          <w:szCs w:val="24"/>
        </w:rPr>
        <w:tab/>
        <w:t>4</w:t>
      </w:r>
    </w:p>
    <w:p w:rsidR="00890020" w:rsidRPr="00C8506E" w:rsidRDefault="00890020" w:rsidP="00890020">
      <w:pPr>
        <w:pStyle w:val="Titre2"/>
        <w:numPr>
          <w:ilvl w:val="2"/>
          <w:numId w:val="13"/>
        </w:numPr>
        <w:tabs>
          <w:tab w:val="left" w:pos="8505"/>
        </w:tabs>
        <w:spacing w:before="0" w:line="240" w:lineRule="auto"/>
        <w:rPr>
          <w:rFonts w:asciiTheme="minorHAnsi" w:hAnsiTheme="minorHAnsi"/>
          <w:color w:val="auto"/>
          <w:sz w:val="24"/>
          <w:szCs w:val="24"/>
        </w:rPr>
      </w:pPr>
      <w:r w:rsidRPr="00C8506E">
        <w:rPr>
          <w:rFonts w:asciiTheme="minorHAnsi" w:hAnsiTheme="minorHAnsi"/>
          <w:color w:val="auto"/>
          <w:sz w:val="24"/>
          <w:szCs w:val="24"/>
        </w:rPr>
        <w:t xml:space="preserve">Task 1.2 In-depth scoping via the Country Cases </w:t>
      </w:r>
      <w:r w:rsidRPr="00C8506E">
        <w:rPr>
          <w:rFonts w:asciiTheme="minorHAnsi" w:hAnsiTheme="minorHAnsi"/>
          <w:color w:val="auto"/>
          <w:sz w:val="24"/>
          <w:szCs w:val="24"/>
        </w:rPr>
        <w:tab/>
        <w:t>5</w:t>
      </w:r>
    </w:p>
    <w:p w:rsidR="00890020" w:rsidRPr="00C8506E" w:rsidRDefault="00890020" w:rsidP="00890020">
      <w:pPr>
        <w:tabs>
          <w:tab w:val="left" w:pos="8505"/>
        </w:tabs>
        <w:spacing w:line="240" w:lineRule="auto"/>
        <w:ind w:left="709" w:hanging="709"/>
        <w:rPr>
          <w:sz w:val="24"/>
          <w:szCs w:val="24"/>
        </w:rPr>
      </w:pPr>
    </w:p>
    <w:p w:rsidR="00890020" w:rsidRPr="00C8506E" w:rsidRDefault="00890020" w:rsidP="00890020">
      <w:pPr>
        <w:pStyle w:val="Titre1"/>
        <w:numPr>
          <w:ilvl w:val="0"/>
          <w:numId w:val="10"/>
        </w:numPr>
        <w:tabs>
          <w:tab w:val="left" w:pos="8505"/>
        </w:tabs>
        <w:spacing w:before="0" w:line="240" w:lineRule="auto"/>
        <w:ind w:left="709" w:hanging="709"/>
        <w:rPr>
          <w:rFonts w:asciiTheme="minorHAnsi" w:hAnsiTheme="minorHAnsi"/>
          <w:color w:val="auto"/>
          <w:sz w:val="24"/>
          <w:szCs w:val="24"/>
        </w:rPr>
      </w:pPr>
      <w:r w:rsidRPr="00C8506E">
        <w:rPr>
          <w:rFonts w:asciiTheme="minorHAnsi" w:hAnsiTheme="minorHAnsi"/>
          <w:color w:val="auto"/>
          <w:sz w:val="24"/>
          <w:szCs w:val="24"/>
        </w:rPr>
        <w:t>RESULTS TASK 1.1 EU WIDE SURVEY</w:t>
      </w:r>
      <w:r w:rsidRPr="00C8506E">
        <w:rPr>
          <w:rFonts w:asciiTheme="minorHAnsi" w:hAnsiTheme="minorHAnsi"/>
          <w:color w:val="auto"/>
          <w:sz w:val="24"/>
          <w:szCs w:val="24"/>
        </w:rPr>
        <w:tab/>
        <w:t>8</w:t>
      </w:r>
    </w:p>
    <w:p w:rsidR="00890020" w:rsidRPr="00C8506E" w:rsidRDefault="00890020" w:rsidP="00622218">
      <w:pPr>
        <w:pStyle w:val="Titre1"/>
        <w:numPr>
          <w:ilvl w:val="1"/>
          <w:numId w:val="18"/>
        </w:numPr>
        <w:tabs>
          <w:tab w:val="left" w:pos="8505"/>
        </w:tabs>
        <w:spacing w:before="0" w:line="240" w:lineRule="auto"/>
        <w:ind w:left="709" w:hanging="709"/>
        <w:jc w:val="both"/>
        <w:rPr>
          <w:rFonts w:asciiTheme="minorHAnsi" w:hAnsiTheme="minorHAnsi"/>
          <w:color w:val="auto"/>
          <w:sz w:val="24"/>
          <w:szCs w:val="24"/>
        </w:rPr>
      </w:pPr>
      <w:r w:rsidRPr="00C8506E">
        <w:rPr>
          <w:rFonts w:asciiTheme="minorHAnsi" w:hAnsiTheme="minorHAnsi"/>
          <w:color w:val="auto"/>
          <w:sz w:val="24"/>
          <w:szCs w:val="24"/>
        </w:rPr>
        <w:t>Introduction</w:t>
      </w:r>
      <w:r w:rsidRPr="00C8506E">
        <w:rPr>
          <w:rFonts w:asciiTheme="minorHAnsi" w:hAnsiTheme="minorHAnsi"/>
          <w:color w:val="auto"/>
          <w:sz w:val="24"/>
          <w:szCs w:val="24"/>
        </w:rPr>
        <w:tab/>
        <w:t>8</w:t>
      </w:r>
    </w:p>
    <w:p w:rsidR="00890020" w:rsidRPr="00C8506E" w:rsidRDefault="00890020" w:rsidP="00622218">
      <w:pPr>
        <w:pStyle w:val="Titre1"/>
        <w:numPr>
          <w:ilvl w:val="1"/>
          <w:numId w:val="18"/>
        </w:numPr>
        <w:tabs>
          <w:tab w:val="left" w:pos="8505"/>
        </w:tabs>
        <w:spacing w:before="0" w:line="240" w:lineRule="auto"/>
        <w:ind w:left="709" w:hanging="709"/>
        <w:jc w:val="both"/>
        <w:rPr>
          <w:rFonts w:asciiTheme="minorHAnsi" w:hAnsiTheme="minorHAnsi"/>
          <w:color w:val="auto"/>
          <w:sz w:val="24"/>
          <w:szCs w:val="24"/>
        </w:rPr>
      </w:pPr>
      <w:r w:rsidRPr="00C8506E">
        <w:rPr>
          <w:rFonts w:asciiTheme="minorHAnsi" w:hAnsiTheme="minorHAnsi"/>
          <w:color w:val="auto"/>
          <w:sz w:val="24"/>
          <w:szCs w:val="24"/>
        </w:rPr>
        <w:t>Methodology</w:t>
      </w:r>
      <w:r w:rsidRPr="00C8506E">
        <w:rPr>
          <w:rFonts w:asciiTheme="minorHAnsi" w:hAnsiTheme="minorHAnsi"/>
          <w:color w:val="auto"/>
          <w:sz w:val="24"/>
          <w:szCs w:val="24"/>
        </w:rPr>
        <w:tab/>
        <w:t>8</w:t>
      </w:r>
    </w:p>
    <w:p w:rsidR="00890020" w:rsidRPr="00C8506E" w:rsidRDefault="00890020" w:rsidP="00622218">
      <w:pPr>
        <w:pStyle w:val="Titre1"/>
        <w:numPr>
          <w:ilvl w:val="1"/>
          <w:numId w:val="18"/>
        </w:numPr>
        <w:tabs>
          <w:tab w:val="left" w:pos="8505"/>
        </w:tabs>
        <w:spacing w:before="0" w:line="240" w:lineRule="auto"/>
        <w:ind w:left="709" w:hanging="709"/>
        <w:jc w:val="both"/>
        <w:rPr>
          <w:rFonts w:asciiTheme="minorHAnsi" w:hAnsiTheme="minorHAnsi"/>
          <w:color w:val="auto"/>
          <w:sz w:val="24"/>
          <w:szCs w:val="24"/>
        </w:rPr>
      </w:pPr>
      <w:r w:rsidRPr="00C8506E">
        <w:rPr>
          <w:rFonts w:asciiTheme="minorHAnsi" w:hAnsiTheme="minorHAnsi"/>
          <w:color w:val="auto"/>
          <w:sz w:val="24"/>
          <w:szCs w:val="24"/>
        </w:rPr>
        <w:t>Results</w:t>
      </w:r>
      <w:r w:rsidRPr="00C8506E">
        <w:rPr>
          <w:rFonts w:asciiTheme="minorHAnsi" w:hAnsiTheme="minorHAnsi"/>
          <w:color w:val="auto"/>
          <w:sz w:val="24"/>
          <w:szCs w:val="24"/>
        </w:rPr>
        <w:tab/>
        <w:t>8</w:t>
      </w:r>
    </w:p>
    <w:p w:rsidR="00890020" w:rsidRPr="00C8506E" w:rsidRDefault="00890020" w:rsidP="00890020">
      <w:pPr>
        <w:tabs>
          <w:tab w:val="left" w:pos="8505"/>
        </w:tabs>
        <w:spacing w:after="0" w:line="240" w:lineRule="auto"/>
        <w:ind w:left="709" w:hanging="709"/>
        <w:rPr>
          <w:vanish/>
          <w:sz w:val="24"/>
          <w:szCs w:val="24"/>
        </w:rPr>
      </w:pPr>
    </w:p>
    <w:p w:rsidR="00890020" w:rsidRPr="00C8506E" w:rsidRDefault="00890020" w:rsidP="00622218">
      <w:pPr>
        <w:pStyle w:val="Paragraphedeliste"/>
        <w:numPr>
          <w:ilvl w:val="1"/>
          <w:numId w:val="18"/>
        </w:numPr>
        <w:tabs>
          <w:tab w:val="left" w:pos="8505"/>
        </w:tabs>
        <w:spacing w:after="0" w:line="240" w:lineRule="auto"/>
        <w:ind w:left="709" w:hanging="709"/>
        <w:rPr>
          <w:rFonts w:eastAsiaTheme="majorEastAsia" w:cstheme="majorBidi"/>
          <w:b/>
          <w:bCs/>
          <w:sz w:val="24"/>
          <w:szCs w:val="24"/>
        </w:rPr>
      </w:pPr>
      <w:r w:rsidRPr="00C8506E">
        <w:rPr>
          <w:rFonts w:eastAsiaTheme="majorEastAsia" w:cstheme="majorBidi"/>
          <w:b/>
          <w:bCs/>
          <w:sz w:val="24"/>
          <w:szCs w:val="24"/>
        </w:rPr>
        <w:t>Conclusions</w:t>
      </w:r>
      <w:r w:rsidRPr="00C8506E">
        <w:rPr>
          <w:rFonts w:eastAsiaTheme="majorEastAsia" w:cstheme="majorBidi"/>
          <w:b/>
          <w:bCs/>
          <w:sz w:val="24"/>
          <w:szCs w:val="24"/>
        </w:rPr>
        <w:tab/>
        <w:t>19</w:t>
      </w:r>
    </w:p>
    <w:p w:rsidR="00890020" w:rsidRPr="00C8506E" w:rsidRDefault="00890020" w:rsidP="00622218">
      <w:pPr>
        <w:pStyle w:val="Titre1"/>
        <w:numPr>
          <w:ilvl w:val="1"/>
          <w:numId w:val="18"/>
        </w:numPr>
        <w:tabs>
          <w:tab w:val="left" w:pos="8505"/>
        </w:tabs>
        <w:spacing w:before="0" w:line="240" w:lineRule="auto"/>
        <w:ind w:left="709" w:hanging="709"/>
        <w:jc w:val="both"/>
        <w:rPr>
          <w:rFonts w:asciiTheme="minorHAnsi" w:hAnsiTheme="minorHAnsi"/>
          <w:color w:val="auto"/>
          <w:sz w:val="24"/>
          <w:szCs w:val="24"/>
        </w:rPr>
      </w:pPr>
      <w:r w:rsidRPr="00C8506E">
        <w:rPr>
          <w:rFonts w:asciiTheme="minorHAnsi" w:hAnsiTheme="minorHAnsi"/>
          <w:color w:val="auto"/>
          <w:sz w:val="24"/>
          <w:szCs w:val="24"/>
        </w:rPr>
        <w:t>References</w:t>
      </w:r>
      <w:r w:rsidRPr="00C8506E">
        <w:rPr>
          <w:rFonts w:asciiTheme="minorHAnsi" w:hAnsiTheme="minorHAnsi"/>
          <w:color w:val="auto"/>
          <w:sz w:val="24"/>
          <w:szCs w:val="24"/>
        </w:rPr>
        <w:tab/>
        <w:t>20</w:t>
      </w:r>
    </w:p>
    <w:p w:rsidR="00890020" w:rsidRPr="00C8506E" w:rsidRDefault="00890020" w:rsidP="00890020">
      <w:pPr>
        <w:tabs>
          <w:tab w:val="left" w:pos="8505"/>
        </w:tabs>
        <w:ind w:left="709" w:hanging="709"/>
        <w:rPr>
          <w:rFonts w:cstheme="minorHAnsi"/>
          <w:b/>
          <w:sz w:val="24"/>
          <w:szCs w:val="24"/>
        </w:rPr>
      </w:pPr>
    </w:p>
    <w:p w:rsidR="00890020" w:rsidRPr="00C8506E" w:rsidRDefault="00890020" w:rsidP="00890020">
      <w:pPr>
        <w:pStyle w:val="Titre1"/>
        <w:tabs>
          <w:tab w:val="left" w:pos="8505"/>
        </w:tabs>
        <w:spacing w:before="0" w:line="240" w:lineRule="auto"/>
        <w:ind w:left="709" w:hanging="709"/>
        <w:rPr>
          <w:rFonts w:asciiTheme="minorHAnsi" w:hAnsiTheme="minorHAnsi"/>
          <w:color w:val="auto"/>
          <w:sz w:val="24"/>
          <w:szCs w:val="24"/>
        </w:rPr>
      </w:pPr>
      <w:r w:rsidRPr="00C8506E">
        <w:rPr>
          <w:rFonts w:asciiTheme="minorHAnsi" w:hAnsiTheme="minorHAnsi"/>
          <w:color w:val="auto"/>
          <w:sz w:val="24"/>
          <w:szCs w:val="24"/>
        </w:rPr>
        <w:t>3.</w:t>
      </w:r>
      <w:r w:rsidRPr="00C8506E">
        <w:rPr>
          <w:rFonts w:asciiTheme="minorHAnsi" w:hAnsiTheme="minorHAnsi"/>
          <w:color w:val="auto"/>
          <w:sz w:val="24"/>
          <w:szCs w:val="24"/>
        </w:rPr>
        <w:tab/>
        <w:t>COUNTRY CASE STUDIES</w:t>
      </w:r>
      <w:r w:rsidRPr="00C8506E">
        <w:rPr>
          <w:rFonts w:asciiTheme="minorHAnsi" w:hAnsiTheme="minorHAnsi"/>
          <w:color w:val="auto"/>
          <w:sz w:val="24"/>
          <w:szCs w:val="24"/>
        </w:rPr>
        <w:tab/>
        <w:t>21</w:t>
      </w:r>
    </w:p>
    <w:p w:rsidR="00890020" w:rsidRPr="00C8506E" w:rsidRDefault="00890020" w:rsidP="00622218">
      <w:pPr>
        <w:pStyle w:val="Titre2"/>
        <w:numPr>
          <w:ilvl w:val="1"/>
          <w:numId w:val="19"/>
        </w:numPr>
        <w:tabs>
          <w:tab w:val="left" w:pos="8505"/>
        </w:tabs>
        <w:spacing w:before="0" w:line="240" w:lineRule="auto"/>
        <w:ind w:left="709" w:hanging="709"/>
        <w:rPr>
          <w:rFonts w:asciiTheme="minorHAnsi" w:hAnsiTheme="minorHAnsi"/>
          <w:color w:val="auto"/>
          <w:sz w:val="24"/>
          <w:szCs w:val="24"/>
        </w:rPr>
      </w:pPr>
      <w:r w:rsidRPr="00C8506E">
        <w:rPr>
          <w:rFonts w:asciiTheme="minorHAnsi" w:hAnsiTheme="minorHAnsi"/>
          <w:color w:val="auto"/>
          <w:sz w:val="24"/>
          <w:szCs w:val="24"/>
        </w:rPr>
        <w:t>Introduction to the Country Case studies</w:t>
      </w:r>
      <w:r w:rsidRPr="00C8506E">
        <w:rPr>
          <w:rFonts w:asciiTheme="minorHAnsi" w:hAnsiTheme="minorHAnsi"/>
          <w:color w:val="auto"/>
          <w:sz w:val="24"/>
          <w:szCs w:val="24"/>
        </w:rPr>
        <w:tab/>
        <w:t>21</w:t>
      </w:r>
    </w:p>
    <w:p w:rsidR="00890020" w:rsidRPr="00C8506E" w:rsidRDefault="00890020" w:rsidP="00622218">
      <w:pPr>
        <w:pStyle w:val="Titre2"/>
        <w:numPr>
          <w:ilvl w:val="1"/>
          <w:numId w:val="19"/>
        </w:numPr>
        <w:tabs>
          <w:tab w:val="left" w:pos="8505"/>
        </w:tabs>
        <w:spacing w:before="0" w:line="240" w:lineRule="auto"/>
        <w:ind w:left="709" w:hanging="709"/>
        <w:rPr>
          <w:rFonts w:asciiTheme="minorHAnsi" w:hAnsiTheme="minorHAnsi"/>
          <w:color w:val="auto"/>
          <w:sz w:val="24"/>
          <w:szCs w:val="24"/>
        </w:rPr>
      </w:pPr>
      <w:r w:rsidRPr="00C8506E">
        <w:rPr>
          <w:rFonts w:asciiTheme="minorHAnsi" w:eastAsia="PMingLiU" w:hAnsiTheme="minorHAnsi"/>
          <w:color w:val="auto"/>
          <w:sz w:val="24"/>
          <w:szCs w:val="24"/>
          <w:lang w:eastAsia="zh-TW"/>
        </w:rPr>
        <w:t>Summaries of the Country Case studies fact sheets</w:t>
      </w:r>
      <w:r w:rsidRPr="00C8506E">
        <w:rPr>
          <w:rFonts w:asciiTheme="minorHAnsi" w:eastAsia="PMingLiU" w:hAnsiTheme="minorHAnsi"/>
          <w:color w:val="auto"/>
          <w:sz w:val="24"/>
          <w:szCs w:val="24"/>
          <w:lang w:eastAsia="zh-TW"/>
        </w:rPr>
        <w:tab/>
        <w:t>25</w:t>
      </w:r>
    </w:p>
    <w:p w:rsidR="00890020" w:rsidRPr="00C8506E" w:rsidRDefault="00890020" w:rsidP="00890020">
      <w:pPr>
        <w:pStyle w:val="Titre6"/>
        <w:tabs>
          <w:tab w:val="left" w:pos="1418"/>
          <w:tab w:val="left" w:pos="8505"/>
        </w:tabs>
        <w:spacing w:before="0" w:after="0"/>
        <w:ind w:left="1418" w:hanging="709"/>
        <w:rPr>
          <w:rFonts w:asciiTheme="minorHAnsi" w:hAnsiTheme="minorHAnsi"/>
          <w:szCs w:val="24"/>
          <w:lang w:eastAsia="zh-TW"/>
        </w:rPr>
      </w:pPr>
      <w:r w:rsidRPr="00C8506E">
        <w:rPr>
          <w:rFonts w:asciiTheme="minorHAnsi" w:hAnsiTheme="minorHAnsi"/>
          <w:szCs w:val="24"/>
          <w:lang w:eastAsia="zh-TW"/>
        </w:rPr>
        <w:t>3.2.1</w:t>
      </w:r>
      <w:r w:rsidRPr="00C8506E">
        <w:rPr>
          <w:rFonts w:asciiTheme="minorHAnsi" w:hAnsiTheme="minorHAnsi"/>
          <w:szCs w:val="24"/>
          <w:lang w:eastAsia="zh-TW"/>
        </w:rPr>
        <w:tab/>
        <w:t>Introduction</w:t>
      </w:r>
      <w:r w:rsidRPr="00C8506E">
        <w:rPr>
          <w:rFonts w:asciiTheme="minorHAnsi" w:hAnsiTheme="minorHAnsi"/>
          <w:szCs w:val="24"/>
          <w:lang w:eastAsia="zh-TW"/>
        </w:rPr>
        <w:tab/>
        <w:t>25</w:t>
      </w:r>
    </w:p>
    <w:p w:rsidR="00890020" w:rsidRPr="00C8506E" w:rsidRDefault="00890020" w:rsidP="00890020">
      <w:pPr>
        <w:pStyle w:val="Titre6"/>
        <w:tabs>
          <w:tab w:val="left" w:pos="1418"/>
          <w:tab w:val="left" w:pos="8505"/>
        </w:tabs>
        <w:spacing w:before="0" w:after="0"/>
        <w:ind w:left="1418" w:hanging="709"/>
        <w:rPr>
          <w:rFonts w:asciiTheme="minorHAnsi" w:hAnsiTheme="minorHAnsi"/>
          <w:szCs w:val="24"/>
          <w:lang w:eastAsia="zh-TW"/>
        </w:rPr>
      </w:pPr>
      <w:r w:rsidRPr="00C8506E">
        <w:rPr>
          <w:rFonts w:asciiTheme="minorHAnsi" w:hAnsiTheme="minorHAnsi"/>
          <w:szCs w:val="24"/>
          <w:lang w:eastAsia="zh-TW"/>
        </w:rPr>
        <w:t>3.2.2</w:t>
      </w:r>
      <w:r w:rsidRPr="00C8506E">
        <w:rPr>
          <w:rFonts w:asciiTheme="minorHAnsi" w:hAnsiTheme="minorHAnsi"/>
          <w:szCs w:val="24"/>
          <w:lang w:eastAsia="zh-TW"/>
        </w:rPr>
        <w:tab/>
        <w:t>Group 1 Results</w:t>
      </w:r>
      <w:r w:rsidRPr="00C8506E">
        <w:rPr>
          <w:rFonts w:asciiTheme="minorHAnsi" w:hAnsiTheme="minorHAnsi"/>
          <w:szCs w:val="24"/>
          <w:lang w:eastAsia="zh-TW"/>
        </w:rPr>
        <w:tab/>
        <w:t>26</w:t>
      </w:r>
    </w:p>
    <w:p w:rsidR="00890020" w:rsidRPr="00C8506E" w:rsidRDefault="00890020" w:rsidP="00890020">
      <w:pPr>
        <w:pStyle w:val="Titre6"/>
        <w:tabs>
          <w:tab w:val="left" w:pos="1418"/>
          <w:tab w:val="left" w:pos="8505"/>
        </w:tabs>
        <w:spacing w:before="0" w:after="0"/>
        <w:ind w:left="1418" w:hanging="709"/>
        <w:rPr>
          <w:rFonts w:asciiTheme="minorHAnsi" w:hAnsiTheme="minorHAnsi"/>
          <w:szCs w:val="24"/>
          <w:lang w:eastAsia="zh-TW"/>
        </w:rPr>
      </w:pPr>
      <w:r w:rsidRPr="00C8506E">
        <w:rPr>
          <w:rFonts w:asciiTheme="minorHAnsi" w:hAnsiTheme="minorHAnsi"/>
          <w:szCs w:val="24"/>
          <w:lang w:eastAsia="zh-TW"/>
        </w:rPr>
        <w:t>3.2.3</w:t>
      </w:r>
      <w:r w:rsidRPr="00C8506E">
        <w:rPr>
          <w:rFonts w:asciiTheme="minorHAnsi" w:hAnsiTheme="minorHAnsi"/>
          <w:szCs w:val="24"/>
          <w:lang w:eastAsia="zh-TW"/>
        </w:rPr>
        <w:tab/>
        <w:t>Group 2 Results</w:t>
      </w:r>
      <w:r w:rsidRPr="00C8506E">
        <w:rPr>
          <w:rFonts w:asciiTheme="minorHAnsi" w:hAnsiTheme="minorHAnsi"/>
          <w:szCs w:val="24"/>
          <w:lang w:eastAsia="zh-TW"/>
        </w:rPr>
        <w:tab/>
        <w:t>27</w:t>
      </w:r>
    </w:p>
    <w:p w:rsidR="00890020" w:rsidRPr="00C8506E" w:rsidRDefault="00890020" w:rsidP="00890020">
      <w:pPr>
        <w:pStyle w:val="Titre6"/>
        <w:tabs>
          <w:tab w:val="left" w:pos="1418"/>
          <w:tab w:val="left" w:pos="8505"/>
        </w:tabs>
        <w:spacing w:before="0" w:after="0"/>
        <w:ind w:left="1418" w:hanging="709"/>
        <w:rPr>
          <w:rFonts w:asciiTheme="minorHAnsi" w:eastAsia="PMingLiU" w:hAnsiTheme="minorHAnsi"/>
          <w:szCs w:val="24"/>
          <w:lang w:eastAsia="zh-TW"/>
        </w:rPr>
      </w:pPr>
      <w:r w:rsidRPr="00C8506E">
        <w:rPr>
          <w:rFonts w:asciiTheme="minorHAnsi" w:hAnsiTheme="minorHAnsi"/>
          <w:szCs w:val="24"/>
          <w:lang w:eastAsia="zh-TW"/>
        </w:rPr>
        <w:t>3.2.4</w:t>
      </w:r>
      <w:r w:rsidRPr="00C8506E">
        <w:rPr>
          <w:rFonts w:asciiTheme="minorHAnsi" w:hAnsiTheme="minorHAnsi"/>
          <w:szCs w:val="24"/>
          <w:lang w:eastAsia="zh-TW"/>
        </w:rPr>
        <w:tab/>
        <w:t>Group 3 Results</w:t>
      </w:r>
      <w:r w:rsidRPr="00C8506E">
        <w:rPr>
          <w:rFonts w:asciiTheme="minorHAnsi" w:hAnsiTheme="minorHAnsi"/>
          <w:szCs w:val="24"/>
          <w:lang w:eastAsia="zh-TW"/>
        </w:rPr>
        <w:tab/>
        <w:t>28</w:t>
      </w:r>
    </w:p>
    <w:p w:rsidR="00890020" w:rsidRPr="00C8506E" w:rsidRDefault="00890020" w:rsidP="00890020">
      <w:pPr>
        <w:pStyle w:val="Titre2"/>
        <w:tabs>
          <w:tab w:val="left" w:pos="8505"/>
        </w:tabs>
        <w:spacing w:before="0" w:line="240" w:lineRule="auto"/>
        <w:ind w:left="709" w:hanging="709"/>
        <w:rPr>
          <w:rFonts w:asciiTheme="minorHAnsi" w:hAnsiTheme="minorHAnsi"/>
          <w:color w:val="auto"/>
          <w:sz w:val="24"/>
          <w:szCs w:val="24"/>
          <w:lang w:eastAsia="zh-TW"/>
        </w:rPr>
      </w:pPr>
      <w:r w:rsidRPr="00C8506E">
        <w:rPr>
          <w:rFonts w:asciiTheme="minorHAnsi" w:hAnsiTheme="minorHAnsi"/>
          <w:color w:val="auto"/>
          <w:sz w:val="24"/>
          <w:szCs w:val="24"/>
          <w:lang w:eastAsia="zh-TW"/>
        </w:rPr>
        <w:t>3.3</w:t>
      </w:r>
      <w:r w:rsidRPr="00C8506E">
        <w:rPr>
          <w:rFonts w:asciiTheme="minorHAnsi" w:hAnsiTheme="minorHAnsi"/>
          <w:color w:val="auto"/>
          <w:sz w:val="24"/>
          <w:szCs w:val="24"/>
          <w:lang w:eastAsia="zh-TW"/>
        </w:rPr>
        <w:tab/>
        <w:t>Analysis of Ecosystem Coverage by the Country Case studies</w:t>
      </w:r>
      <w:r w:rsidRPr="00C8506E">
        <w:rPr>
          <w:rFonts w:asciiTheme="minorHAnsi" w:hAnsiTheme="minorHAnsi"/>
          <w:color w:val="auto"/>
          <w:sz w:val="24"/>
          <w:szCs w:val="24"/>
          <w:lang w:eastAsia="zh-TW"/>
        </w:rPr>
        <w:tab/>
        <w:t>40</w:t>
      </w:r>
    </w:p>
    <w:p w:rsidR="00890020" w:rsidRPr="00C8506E" w:rsidRDefault="00890020" w:rsidP="00890020">
      <w:pPr>
        <w:pStyle w:val="Paragraphedeliste"/>
        <w:tabs>
          <w:tab w:val="left" w:pos="8505"/>
        </w:tabs>
        <w:spacing w:after="0" w:line="240" w:lineRule="auto"/>
        <w:ind w:left="1418" w:hanging="709"/>
        <w:rPr>
          <w:b/>
          <w:sz w:val="24"/>
          <w:szCs w:val="24"/>
          <w:lang w:eastAsia="zh-TW"/>
        </w:rPr>
      </w:pPr>
      <w:r w:rsidRPr="00C8506E">
        <w:rPr>
          <w:b/>
          <w:sz w:val="24"/>
          <w:szCs w:val="24"/>
          <w:lang w:eastAsia="zh-TW"/>
        </w:rPr>
        <w:t>3.3.1</w:t>
      </w:r>
      <w:r w:rsidRPr="00C8506E">
        <w:rPr>
          <w:b/>
          <w:sz w:val="24"/>
          <w:szCs w:val="24"/>
          <w:lang w:eastAsia="zh-TW"/>
        </w:rPr>
        <w:tab/>
        <w:t>Introduction</w:t>
      </w:r>
      <w:r w:rsidRPr="00C8506E">
        <w:rPr>
          <w:b/>
          <w:sz w:val="24"/>
          <w:szCs w:val="24"/>
          <w:lang w:eastAsia="zh-TW"/>
        </w:rPr>
        <w:tab/>
        <w:t>40</w:t>
      </w:r>
    </w:p>
    <w:p w:rsidR="00890020" w:rsidRPr="00C8506E" w:rsidRDefault="00890020" w:rsidP="00890020">
      <w:pPr>
        <w:tabs>
          <w:tab w:val="left" w:pos="8505"/>
        </w:tabs>
        <w:spacing w:after="0" w:line="240" w:lineRule="auto"/>
        <w:ind w:left="1418" w:hanging="709"/>
        <w:rPr>
          <w:b/>
          <w:sz w:val="24"/>
          <w:szCs w:val="24"/>
          <w:lang w:eastAsia="zh-TW"/>
        </w:rPr>
      </w:pPr>
      <w:r w:rsidRPr="00C8506E">
        <w:rPr>
          <w:b/>
          <w:sz w:val="24"/>
          <w:szCs w:val="24"/>
          <w:lang w:eastAsia="zh-TW"/>
        </w:rPr>
        <w:t>3.3.2</w:t>
      </w:r>
      <w:r w:rsidRPr="00C8506E">
        <w:rPr>
          <w:b/>
          <w:sz w:val="24"/>
          <w:szCs w:val="24"/>
          <w:lang w:eastAsia="zh-TW"/>
        </w:rPr>
        <w:tab/>
        <w:t>Results</w:t>
      </w:r>
      <w:r w:rsidRPr="00C8506E">
        <w:rPr>
          <w:b/>
          <w:sz w:val="24"/>
          <w:szCs w:val="24"/>
          <w:lang w:eastAsia="zh-TW"/>
        </w:rPr>
        <w:tab/>
        <w:t>40</w:t>
      </w:r>
    </w:p>
    <w:p w:rsidR="00890020" w:rsidRPr="00C8506E" w:rsidRDefault="00890020" w:rsidP="00890020">
      <w:pPr>
        <w:pStyle w:val="Paragraphedeliste"/>
        <w:tabs>
          <w:tab w:val="left" w:pos="8505"/>
        </w:tabs>
        <w:spacing w:after="0" w:line="240" w:lineRule="auto"/>
        <w:ind w:left="1418" w:hanging="709"/>
        <w:rPr>
          <w:b/>
          <w:sz w:val="24"/>
          <w:szCs w:val="24"/>
          <w:lang w:eastAsia="en-GB"/>
        </w:rPr>
      </w:pPr>
      <w:r w:rsidRPr="00C8506E">
        <w:rPr>
          <w:b/>
          <w:sz w:val="24"/>
          <w:szCs w:val="24"/>
          <w:lang w:eastAsia="en-GB"/>
        </w:rPr>
        <w:t>3.3.3</w:t>
      </w:r>
      <w:r w:rsidRPr="00C8506E">
        <w:rPr>
          <w:b/>
          <w:sz w:val="24"/>
          <w:szCs w:val="24"/>
          <w:lang w:eastAsia="en-GB"/>
        </w:rPr>
        <w:tab/>
        <w:t>Conclusion</w:t>
      </w:r>
      <w:r w:rsidRPr="00C8506E">
        <w:rPr>
          <w:b/>
          <w:sz w:val="24"/>
          <w:szCs w:val="24"/>
          <w:lang w:eastAsia="en-GB"/>
        </w:rPr>
        <w:tab/>
        <w:t>42</w:t>
      </w:r>
    </w:p>
    <w:p w:rsidR="00890020" w:rsidRPr="00C8506E" w:rsidRDefault="00890020" w:rsidP="00890020">
      <w:pPr>
        <w:pStyle w:val="Titre2"/>
        <w:tabs>
          <w:tab w:val="left" w:pos="8505"/>
        </w:tabs>
        <w:spacing w:before="0" w:line="240" w:lineRule="auto"/>
        <w:ind w:left="709" w:hanging="709"/>
        <w:rPr>
          <w:rFonts w:asciiTheme="minorHAnsi" w:hAnsiTheme="minorHAnsi"/>
          <w:color w:val="auto"/>
          <w:sz w:val="24"/>
          <w:szCs w:val="24"/>
          <w:lang w:eastAsia="en-GB"/>
        </w:rPr>
      </w:pPr>
      <w:r w:rsidRPr="00C8506E">
        <w:rPr>
          <w:rFonts w:asciiTheme="minorHAnsi" w:hAnsiTheme="minorHAnsi"/>
          <w:color w:val="auto"/>
          <w:sz w:val="24"/>
          <w:szCs w:val="24"/>
          <w:lang w:eastAsia="en-GB"/>
        </w:rPr>
        <w:t>3.4</w:t>
      </w:r>
      <w:r w:rsidRPr="00C8506E">
        <w:rPr>
          <w:rFonts w:asciiTheme="minorHAnsi" w:hAnsiTheme="minorHAnsi"/>
          <w:color w:val="auto"/>
          <w:sz w:val="24"/>
          <w:szCs w:val="24"/>
          <w:lang w:eastAsia="en-GB"/>
        </w:rPr>
        <w:tab/>
        <w:t>Representation of Ecosystem Services in the Country Case studies</w:t>
      </w:r>
      <w:r w:rsidRPr="00C8506E">
        <w:rPr>
          <w:rFonts w:asciiTheme="minorHAnsi" w:hAnsiTheme="minorHAnsi"/>
          <w:color w:val="auto"/>
          <w:sz w:val="24"/>
          <w:szCs w:val="24"/>
          <w:lang w:eastAsia="en-GB"/>
        </w:rPr>
        <w:tab/>
        <w:t>43</w:t>
      </w:r>
    </w:p>
    <w:p w:rsidR="00890020" w:rsidRPr="00C8506E" w:rsidRDefault="00890020" w:rsidP="00890020">
      <w:pPr>
        <w:pStyle w:val="Titre2"/>
        <w:tabs>
          <w:tab w:val="left" w:pos="8505"/>
        </w:tabs>
        <w:spacing w:before="0" w:line="240" w:lineRule="auto"/>
        <w:ind w:left="709" w:hanging="709"/>
        <w:rPr>
          <w:rFonts w:asciiTheme="minorHAnsi" w:hAnsiTheme="minorHAnsi"/>
          <w:color w:val="auto"/>
          <w:sz w:val="24"/>
          <w:szCs w:val="24"/>
          <w:lang w:eastAsia="en-GB"/>
        </w:rPr>
      </w:pPr>
      <w:r w:rsidRPr="00C8506E">
        <w:rPr>
          <w:rFonts w:asciiTheme="minorHAnsi" w:hAnsiTheme="minorHAnsi"/>
          <w:color w:val="auto"/>
          <w:sz w:val="24"/>
          <w:szCs w:val="24"/>
          <w:lang w:eastAsia="en-GB"/>
        </w:rPr>
        <w:t xml:space="preserve">3.5 </w:t>
      </w:r>
      <w:r w:rsidRPr="00C8506E">
        <w:rPr>
          <w:rFonts w:asciiTheme="minorHAnsi" w:hAnsiTheme="minorHAnsi"/>
          <w:color w:val="auto"/>
          <w:sz w:val="24"/>
          <w:szCs w:val="24"/>
          <w:lang w:eastAsia="en-GB"/>
        </w:rPr>
        <w:tab/>
        <w:t>Comparative analysis of mapping approaches</w:t>
      </w:r>
      <w:r w:rsidRPr="00C8506E">
        <w:rPr>
          <w:rFonts w:asciiTheme="minorHAnsi" w:hAnsiTheme="minorHAnsi"/>
          <w:color w:val="auto"/>
          <w:sz w:val="24"/>
          <w:szCs w:val="24"/>
          <w:lang w:eastAsia="en-GB"/>
        </w:rPr>
        <w:tab/>
        <w:t>49</w:t>
      </w:r>
    </w:p>
    <w:p w:rsidR="00890020" w:rsidRPr="00C8506E" w:rsidRDefault="00890020" w:rsidP="00890020">
      <w:pPr>
        <w:tabs>
          <w:tab w:val="left" w:pos="8505"/>
        </w:tabs>
        <w:spacing w:after="0" w:line="240" w:lineRule="auto"/>
        <w:ind w:left="1418" w:hanging="709"/>
        <w:jc w:val="both"/>
        <w:rPr>
          <w:b/>
          <w:sz w:val="24"/>
          <w:szCs w:val="24"/>
        </w:rPr>
      </w:pPr>
      <w:r w:rsidRPr="00C8506E">
        <w:rPr>
          <w:b/>
          <w:sz w:val="24"/>
          <w:szCs w:val="24"/>
          <w:lang w:eastAsia="en-GB"/>
        </w:rPr>
        <w:t>3.5.1</w:t>
      </w:r>
      <w:r w:rsidRPr="00C8506E">
        <w:rPr>
          <w:b/>
          <w:sz w:val="24"/>
          <w:szCs w:val="24"/>
          <w:lang w:eastAsia="en-GB"/>
        </w:rPr>
        <w:tab/>
        <w:t>Ecosystems</w:t>
      </w:r>
      <w:r w:rsidRPr="00C8506E">
        <w:rPr>
          <w:b/>
          <w:sz w:val="24"/>
          <w:szCs w:val="24"/>
          <w:lang w:eastAsia="en-GB"/>
        </w:rPr>
        <w:tab/>
        <w:t>49</w:t>
      </w:r>
    </w:p>
    <w:p w:rsidR="00890020" w:rsidRPr="00C8506E" w:rsidRDefault="00890020" w:rsidP="00890020">
      <w:pPr>
        <w:pStyle w:val="Titre2"/>
        <w:tabs>
          <w:tab w:val="left" w:pos="8505"/>
        </w:tabs>
        <w:spacing w:before="0" w:line="240" w:lineRule="auto"/>
        <w:ind w:left="1418" w:hanging="709"/>
        <w:rPr>
          <w:rFonts w:asciiTheme="minorHAnsi" w:hAnsiTheme="minorHAnsi"/>
          <w:color w:val="auto"/>
          <w:sz w:val="24"/>
          <w:szCs w:val="24"/>
          <w:lang w:eastAsia="en-GB"/>
        </w:rPr>
      </w:pPr>
      <w:r w:rsidRPr="00C8506E">
        <w:rPr>
          <w:rFonts w:asciiTheme="minorHAnsi" w:hAnsiTheme="minorHAnsi"/>
          <w:color w:val="auto"/>
          <w:sz w:val="24"/>
          <w:szCs w:val="24"/>
          <w:lang w:eastAsia="en-GB"/>
        </w:rPr>
        <w:lastRenderedPageBreak/>
        <w:t>3.5.2</w:t>
      </w:r>
      <w:r w:rsidRPr="00C8506E">
        <w:rPr>
          <w:rFonts w:asciiTheme="minorHAnsi" w:hAnsiTheme="minorHAnsi"/>
          <w:color w:val="auto"/>
          <w:sz w:val="24"/>
          <w:szCs w:val="24"/>
          <w:lang w:eastAsia="en-GB"/>
        </w:rPr>
        <w:tab/>
        <w:t>Ecosystem services maps</w:t>
      </w:r>
      <w:r w:rsidRPr="00C8506E">
        <w:rPr>
          <w:rFonts w:asciiTheme="minorHAnsi" w:hAnsiTheme="minorHAnsi"/>
          <w:color w:val="auto"/>
          <w:sz w:val="24"/>
          <w:szCs w:val="24"/>
          <w:lang w:eastAsia="en-GB"/>
        </w:rPr>
        <w:tab/>
        <w:t>51</w:t>
      </w:r>
    </w:p>
    <w:p w:rsidR="00890020" w:rsidRPr="00C8506E" w:rsidRDefault="00890020" w:rsidP="00890020">
      <w:pPr>
        <w:pStyle w:val="Titre2"/>
        <w:tabs>
          <w:tab w:val="left" w:pos="8505"/>
        </w:tabs>
        <w:spacing w:before="0" w:line="240" w:lineRule="auto"/>
        <w:ind w:left="1418" w:hanging="709"/>
        <w:rPr>
          <w:rFonts w:asciiTheme="minorHAnsi" w:hAnsiTheme="minorHAnsi"/>
          <w:color w:val="auto"/>
          <w:sz w:val="24"/>
          <w:szCs w:val="24"/>
        </w:rPr>
      </w:pPr>
      <w:r w:rsidRPr="00C8506E">
        <w:rPr>
          <w:rFonts w:asciiTheme="minorHAnsi" w:hAnsiTheme="minorHAnsi"/>
          <w:color w:val="auto"/>
          <w:sz w:val="24"/>
          <w:szCs w:val="24"/>
        </w:rPr>
        <w:t>3.5.3</w:t>
      </w:r>
      <w:r w:rsidRPr="00C8506E">
        <w:rPr>
          <w:rFonts w:asciiTheme="minorHAnsi" w:hAnsiTheme="minorHAnsi"/>
          <w:color w:val="auto"/>
          <w:sz w:val="24"/>
          <w:szCs w:val="24"/>
        </w:rPr>
        <w:tab/>
        <w:t>Comparison of the distinct approaches from the country cases</w:t>
      </w:r>
      <w:r w:rsidRPr="00C8506E">
        <w:rPr>
          <w:rFonts w:asciiTheme="minorHAnsi" w:hAnsiTheme="minorHAnsi"/>
          <w:color w:val="auto"/>
          <w:sz w:val="24"/>
          <w:szCs w:val="24"/>
        </w:rPr>
        <w:tab/>
        <w:t>58</w:t>
      </w:r>
    </w:p>
    <w:p w:rsidR="00890020" w:rsidRPr="00C8506E" w:rsidRDefault="00890020" w:rsidP="00890020">
      <w:pPr>
        <w:pStyle w:val="Titre2"/>
        <w:tabs>
          <w:tab w:val="left" w:pos="8505"/>
        </w:tabs>
        <w:spacing w:before="0" w:line="240" w:lineRule="auto"/>
        <w:ind w:left="1418" w:hanging="709"/>
        <w:rPr>
          <w:rFonts w:asciiTheme="minorHAnsi" w:hAnsiTheme="minorHAnsi"/>
          <w:color w:val="auto"/>
          <w:sz w:val="24"/>
          <w:szCs w:val="24"/>
        </w:rPr>
      </w:pPr>
      <w:r w:rsidRPr="00C8506E">
        <w:rPr>
          <w:rFonts w:asciiTheme="minorHAnsi" w:hAnsiTheme="minorHAnsi"/>
          <w:color w:val="auto"/>
          <w:sz w:val="24"/>
          <w:szCs w:val="24"/>
        </w:rPr>
        <w:t>3.5.4</w:t>
      </w:r>
      <w:r w:rsidRPr="00C8506E">
        <w:rPr>
          <w:rFonts w:asciiTheme="minorHAnsi" w:hAnsiTheme="minorHAnsi"/>
          <w:color w:val="auto"/>
          <w:sz w:val="24"/>
          <w:szCs w:val="24"/>
        </w:rPr>
        <w:tab/>
        <w:t>The trade-off to assess and map ES</w:t>
      </w:r>
      <w:r w:rsidRPr="00C8506E">
        <w:rPr>
          <w:rFonts w:asciiTheme="minorHAnsi" w:hAnsiTheme="minorHAnsi"/>
          <w:color w:val="auto"/>
          <w:sz w:val="24"/>
          <w:szCs w:val="24"/>
        </w:rPr>
        <w:tab/>
        <w:t>61</w:t>
      </w:r>
    </w:p>
    <w:p w:rsidR="00890020" w:rsidRPr="00C8506E" w:rsidRDefault="00890020" w:rsidP="00890020">
      <w:pPr>
        <w:pStyle w:val="Titre2"/>
        <w:tabs>
          <w:tab w:val="left" w:pos="8505"/>
        </w:tabs>
        <w:spacing w:before="0" w:line="240" w:lineRule="auto"/>
        <w:ind w:left="1418" w:hanging="709"/>
        <w:rPr>
          <w:rFonts w:asciiTheme="minorHAnsi" w:eastAsia="Malgun Gothic" w:hAnsiTheme="minorHAnsi"/>
          <w:color w:val="auto"/>
          <w:sz w:val="24"/>
          <w:szCs w:val="24"/>
        </w:rPr>
      </w:pPr>
      <w:r w:rsidRPr="00C8506E">
        <w:rPr>
          <w:rFonts w:asciiTheme="minorHAnsi" w:hAnsiTheme="minorHAnsi"/>
          <w:color w:val="auto"/>
          <w:sz w:val="24"/>
          <w:szCs w:val="24"/>
        </w:rPr>
        <w:t>3.5.5</w:t>
      </w:r>
      <w:r w:rsidRPr="00C8506E">
        <w:rPr>
          <w:rFonts w:asciiTheme="minorHAnsi" w:hAnsiTheme="minorHAnsi"/>
          <w:color w:val="auto"/>
          <w:sz w:val="24"/>
          <w:szCs w:val="24"/>
        </w:rPr>
        <w:tab/>
      </w:r>
      <w:r w:rsidRPr="00C8506E">
        <w:rPr>
          <w:rFonts w:asciiTheme="minorHAnsi" w:eastAsia="Malgun Gothic" w:hAnsiTheme="minorHAnsi"/>
          <w:color w:val="auto"/>
          <w:sz w:val="24"/>
          <w:szCs w:val="24"/>
        </w:rPr>
        <w:t xml:space="preserve">A Tiered process for EU mapping of ecosystem services: Suggestions from Switzerland </w:t>
      </w:r>
      <w:r w:rsidRPr="00C8506E">
        <w:rPr>
          <w:rFonts w:asciiTheme="minorHAnsi" w:eastAsia="Malgun Gothic" w:hAnsiTheme="minorHAnsi"/>
          <w:color w:val="auto"/>
          <w:sz w:val="24"/>
          <w:szCs w:val="24"/>
        </w:rPr>
        <w:tab/>
        <w:t>62</w:t>
      </w:r>
    </w:p>
    <w:p w:rsidR="00890020" w:rsidRPr="00C8506E" w:rsidRDefault="00890020" w:rsidP="00890020">
      <w:pPr>
        <w:pStyle w:val="Titre1"/>
        <w:tabs>
          <w:tab w:val="left" w:pos="8505"/>
        </w:tabs>
        <w:spacing w:before="0" w:line="240" w:lineRule="auto"/>
        <w:ind w:left="709" w:hanging="709"/>
        <w:rPr>
          <w:rFonts w:asciiTheme="minorHAnsi" w:hAnsiTheme="minorHAnsi"/>
          <w:color w:val="auto"/>
          <w:sz w:val="24"/>
          <w:szCs w:val="24"/>
        </w:rPr>
      </w:pPr>
    </w:p>
    <w:p w:rsidR="00890020" w:rsidRPr="00C8506E" w:rsidRDefault="00890020" w:rsidP="00890020">
      <w:pPr>
        <w:pStyle w:val="Titre1"/>
        <w:tabs>
          <w:tab w:val="left" w:pos="8505"/>
        </w:tabs>
        <w:spacing w:before="0" w:line="240" w:lineRule="auto"/>
        <w:ind w:left="709" w:hanging="709"/>
        <w:rPr>
          <w:rFonts w:asciiTheme="minorHAnsi" w:hAnsiTheme="minorHAnsi"/>
          <w:color w:val="auto"/>
          <w:sz w:val="24"/>
          <w:szCs w:val="24"/>
        </w:rPr>
      </w:pPr>
      <w:r w:rsidRPr="00C8506E">
        <w:rPr>
          <w:rFonts w:asciiTheme="minorHAnsi" w:hAnsiTheme="minorHAnsi"/>
          <w:color w:val="auto"/>
          <w:sz w:val="24"/>
          <w:szCs w:val="24"/>
        </w:rPr>
        <w:t>REFERENCES</w:t>
      </w:r>
      <w:r w:rsidRPr="00C8506E">
        <w:rPr>
          <w:rFonts w:asciiTheme="minorHAnsi" w:hAnsiTheme="minorHAnsi"/>
          <w:color w:val="auto"/>
          <w:sz w:val="24"/>
          <w:szCs w:val="24"/>
        </w:rPr>
        <w:tab/>
        <w:t>65</w:t>
      </w:r>
    </w:p>
    <w:p w:rsidR="00890020" w:rsidRPr="00C8506E" w:rsidRDefault="00890020" w:rsidP="00890020">
      <w:pPr>
        <w:pStyle w:val="Titre1"/>
        <w:tabs>
          <w:tab w:val="left" w:pos="8505"/>
        </w:tabs>
        <w:spacing w:before="0" w:line="240" w:lineRule="auto"/>
        <w:ind w:left="709" w:hanging="709"/>
        <w:rPr>
          <w:rFonts w:asciiTheme="minorHAnsi" w:hAnsiTheme="minorHAnsi"/>
          <w:color w:val="auto"/>
          <w:sz w:val="24"/>
          <w:szCs w:val="24"/>
        </w:rPr>
      </w:pPr>
      <w:r w:rsidRPr="00C8506E">
        <w:rPr>
          <w:rFonts w:asciiTheme="minorHAnsi" w:hAnsiTheme="minorHAnsi"/>
          <w:color w:val="auto"/>
          <w:sz w:val="24"/>
          <w:szCs w:val="24"/>
        </w:rPr>
        <w:t>SOURCES OF INFORMATION FOR COUNTRY CASES</w:t>
      </w:r>
      <w:r w:rsidRPr="00C8506E">
        <w:rPr>
          <w:rFonts w:asciiTheme="minorHAnsi" w:hAnsiTheme="minorHAnsi"/>
          <w:color w:val="auto"/>
          <w:sz w:val="24"/>
          <w:szCs w:val="24"/>
        </w:rPr>
        <w:tab/>
        <w:t xml:space="preserve">68 </w:t>
      </w:r>
    </w:p>
    <w:p w:rsidR="00890020" w:rsidRPr="000B381C" w:rsidRDefault="00890020" w:rsidP="000B381C">
      <w:pPr>
        <w:shd w:val="clear" w:color="auto" w:fill="DBE5F1" w:themeFill="accent1" w:themeFillTint="33"/>
        <w:rPr>
          <w:b/>
          <w:sz w:val="40"/>
          <w:szCs w:val="40"/>
        </w:rPr>
      </w:pPr>
      <w:r>
        <w:rPr>
          <w:color w:val="4F81BD" w:themeColor="accent1"/>
          <w:sz w:val="40"/>
          <w:szCs w:val="40"/>
        </w:rPr>
        <w:br w:type="page"/>
      </w:r>
      <w:r w:rsidRPr="000B381C">
        <w:rPr>
          <w:b/>
          <w:sz w:val="40"/>
          <w:szCs w:val="40"/>
        </w:rPr>
        <w:lastRenderedPageBreak/>
        <w:t>PART 3:</w:t>
      </w:r>
    </w:p>
    <w:p w:rsidR="00890020" w:rsidRPr="003A41E6" w:rsidRDefault="00890020" w:rsidP="000B381C">
      <w:pPr>
        <w:shd w:val="clear" w:color="auto" w:fill="DBE5F1" w:themeFill="accent1" w:themeFillTint="33"/>
        <w:rPr>
          <w:b/>
          <w:sz w:val="40"/>
          <w:szCs w:val="40"/>
        </w:rPr>
      </w:pPr>
      <w:r w:rsidRPr="000B381C">
        <w:rPr>
          <w:b/>
          <w:sz w:val="40"/>
          <w:szCs w:val="40"/>
        </w:rPr>
        <w:t>Task 2-Comparison of ecosystem status assessment across scales</w:t>
      </w:r>
    </w:p>
    <w:p w:rsidR="00890020" w:rsidRDefault="00890020" w:rsidP="00890020">
      <w:pPr>
        <w:spacing w:after="0" w:line="240" w:lineRule="auto"/>
        <w:rPr>
          <w:b/>
          <w:sz w:val="24"/>
          <w:szCs w:val="24"/>
        </w:rPr>
      </w:pPr>
      <w:r w:rsidRPr="00C8506E">
        <w:rPr>
          <w:b/>
          <w:sz w:val="24"/>
          <w:szCs w:val="24"/>
        </w:rPr>
        <w:t xml:space="preserve">Authors: </w:t>
      </w:r>
    </w:p>
    <w:p w:rsidR="00890020" w:rsidRPr="005B6E8B" w:rsidRDefault="00890020" w:rsidP="00890020">
      <w:pPr>
        <w:spacing w:after="0" w:line="240" w:lineRule="auto"/>
        <w:rPr>
          <w:b/>
          <w:sz w:val="24"/>
          <w:szCs w:val="24"/>
        </w:rPr>
      </w:pPr>
      <w:r w:rsidRPr="00C8506E">
        <w:rPr>
          <w:b/>
          <w:sz w:val="24"/>
          <w:szCs w:val="24"/>
          <w:lang w:val="es-ES"/>
        </w:rPr>
        <w:t>I</w:t>
      </w:r>
      <w:r>
        <w:rPr>
          <w:b/>
          <w:sz w:val="24"/>
          <w:szCs w:val="24"/>
          <w:lang w:val="es-ES"/>
        </w:rPr>
        <w:t>.</w:t>
      </w:r>
      <w:r w:rsidRPr="00C8506E">
        <w:rPr>
          <w:b/>
          <w:sz w:val="24"/>
          <w:szCs w:val="24"/>
          <w:lang w:val="es-ES"/>
        </w:rPr>
        <w:t xml:space="preserve"> Bouwma (Alterra)</w:t>
      </w:r>
      <w:r w:rsidRPr="005B6E8B">
        <w:rPr>
          <w:b/>
          <w:sz w:val="24"/>
          <w:szCs w:val="24"/>
        </w:rPr>
        <w:t xml:space="preserve">, </w:t>
      </w:r>
      <w:r w:rsidRPr="00C8506E">
        <w:rPr>
          <w:b/>
          <w:sz w:val="24"/>
          <w:szCs w:val="24"/>
          <w:lang w:val="es-ES"/>
        </w:rPr>
        <w:t>A</w:t>
      </w:r>
      <w:r>
        <w:rPr>
          <w:b/>
          <w:sz w:val="24"/>
          <w:szCs w:val="24"/>
          <w:lang w:val="es-ES"/>
        </w:rPr>
        <w:t>.</w:t>
      </w:r>
      <w:r w:rsidRPr="00C8506E">
        <w:rPr>
          <w:b/>
          <w:sz w:val="24"/>
          <w:szCs w:val="24"/>
          <w:lang w:val="es-ES"/>
        </w:rPr>
        <w:t xml:space="preserve"> Torre-Marin (ECNC)</w:t>
      </w:r>
      <w:r w:rsidRPr="005B6E8B">
        <w:rPr>
          <w:b/>
          <w:sz w:val="24"/>
          <w:szCs w:val="24"/>
        </w:rPr>
        <w:t xml:space="preserve">, G. Banko (EAA) ,T. van Daele(INBO), </w:t>
      </w:r>
      <w:r w:rsidRPr="00C8506E">
        <w:rPr>
          <w:b/>
          <w:sz w:val="24"/>
          <w:szCs w:val="24"/>
          <w:lang w:val="es-ES"/>
        </w:rPr>
        <w:t>F</w:t>
      </w:r>
      <w:r>
        <w:rPr>
          <w:b/>
          <w:sz w:val="24"/>
          <w:szCs w:val="24"/>
          <w:lang w:val="es-ES"/>
        </w:rPr>
        <w:t>.</w:t>
      </w:r>
      <w:r w:rsidRPr="00C8506E">
        <w:rPr>
          <w:b/>
          <w:sz w:val="24"/>
          <w:szCs w:val="24"/>
          <w:lang w:val="es-ES"/>
        </w:rPr>
        <w:t xml:space="preserve"> Santos Martin (UAM).</w:t>
      </w:r>
    </w:p>
    <w:p w:rsidR="00890020" w:rsidRPr="005B6E8B" w:rsidRDefault="00890020" w:rsidP="00890020">
      <w:pPr>
        <w:spacing w:after="0" w:line="240" w:lineRule="auto"/>
        <w:rPr>
          <w:b/>
          <w:sz w:val="24"/>
          <w:szCs w:val="24"/>
        </w:rPr>
      </w:pPr>
    </w:p>
    <w:p w:rsidR="00890020" w:rsidRDefault="00890020" w:rsidP="00890020">
      <w:pPr>
        <w:spacing w:after="0"/>
        <w:rPr>
          <w:b/>
          <w:sz w:val="36"/>
          <w:szCs w:val="36"/>
          <w:highlight w:val="yellow"/>
        </w:rPr>
      </w:pPr>
      <w:r w:rsidRPr="00C8506E">
        <w:rPr>
          <w:b/>
          <w:sz w:val="36"/>
          <w:szCs w:val="36"/>
        </w:rPr>
        <w:t>TABLE OF CONTENTS</w:t>
      </w:r>
    </w:p>
    <w:sdt>
      <w:sdtPr>
        <w:rPr>
          <w:rFonts w:asciiTheme="minorHAnsi" w:eastAsiaTheme="minorHAnsi" w:hAnsiTheme="minorHAnsi" w:cstheme="minorBidi"/>
          <w:b w:val="0"/>
          <w:bCs w:val="0"/>
          <w:color w:val="auto"/>
          <w:sz w:val="20"/>
          <w:szCs w:val="22"/>
          <w:lang w:val="en-GB" w:eastAsia="en-US"/>
        </w:rPr>
        <w:id w:val="-1758123554"/>
        <w:docPartObj>
          <w:docPartGallery w:val="Table of Contents"/>
          <w:docPartUnique/>
        </w:docPartObj>
      </w:sdtPr>
      <w:sdtEndPr>
        <w:rPr>
          <w:noProof/>
          <w:sz w:val="22"/>
        </w:rPr>
      </w:sdtEndPr>
      <w:sdtContent>
        <w:p w:rsidR="00890020" w:rsidRPr="00CB73A3" w:rsidRDefault="00890020" w:rsidP="00890020">
          <w:pPr>
            <w:pStyle w:val="En-ttedetabledesmatires"/>
            <w:spacing w:before="0" w:line="240" w:lineRule="auto"/>
            <w:rPr>
              <w:rFonts w:asciiTheme="minorHAnsi" w:hAnsiTheme="minorHAnsi"/>
              <w:sz w:val="24"/>
              <w:szCs w:val="24"/>
            </w:rPr>
          </w:pPr>
        </w:p>
        <w:p w:rsidR="00890020" w:rsidRPr="00CB73A3" w:rsidRDefault="00AC6501" w:rsidP="00890020">
          <w:pPr>
            <w:pStyle w:val="TM1"/>
            <w:tabs>
              <w:tab w:val="left" w:pos="440"/>
              <w:tab w:val="right" w:leader="dot" w:pos="9062"/>
            </w:tabs>
            <w:rPr>
              <w:rFonts w:asciiTheme="minorHAnsi" w:eastAsiaTheme="minorEastAsia" w:hAnsiTheme="minorHAnsi"/>
              <w:b/>
              <w:noProof/>
              <w:sz w:val="24"/>
              <w:szCs w:val="24"/>
              <w:lang w:eastAsia="en-GB"/>
            </w:rPr>
          </w:pPr>
          <w:r w:rsidRPr="00AC6501">
            <w:rPr>
              <w:rFonts w:asciiTheme="minorHAnsi" w:hAnsiTheme="minorHAnsi"/>
              <w:b/>
              <w:sz w:val="24"/>
              <w:szCs w:val="24"/>
            </w:rPr>
            <w:fldChar w:fldCharType="begin"/>
          </w:r>
          <w:r w:rsidR="00890020" w:rsidRPr="00CB73A3">
            <w:rPr>
              <w:rFonts w:asciiTheme="minorHAnsi" w:hAnsiTheme="minorHAnsi"/>
              <w:b/>
              <w:sz w:val="24"/>
              <w:szCs w:val="24"/>
            </w:rPr>
            <w:instrText xml:space="preserve"> TOC \o "1-3" \h \z \u </w:instrText>
          </w:r>
          <w:r w:rsidRPr="00AC6501">
            <w:rPr>
              <w:rFonts w:asciiTheme="minorHAnsi" w:hAnsiTheme="minorHAnsi"/>
              <w:b/>
              <w:sz w:val="24"/>
              <w:szCs w:val="24"/>
            </w:rPr>
            <w:fldChar w:fldCharType="separate"/>
          </w:r>
          <w:hyperlink w:anchor="_Toc356484289" w:history="1">
            <w:r w:rsidR="00890020" w:rsidRPr="00CB73A3">
              <w:rPr>
                <w:rStyle w:val="Lienhypertexte"/>
                <w:rFonts w:asciiTheme="minorHAnsi" w:hAnsiTheme="minorHAnsi"/>
                <w:b/>
                <w:noProof/>
                <w:sz w:val="24"/>
                <w:szCs w:val="24"/>
              </w:rPr>
              <w:t>1.</w:t>
            </w:r>
            <w:r w:rsidR="00890020" w:rsidRPr="00CB73A3">
              <w:rPr>
                <w:rFonts w:asciiTheme="minorHAnsi" w:eastAsiaTheme="minorEastAsia" w:hAnsiTheme="minorHAnsi"/>
                <w:b/>
                <w:noProof/>
                <w:sz w:val="24"/>
                <w:szCs w:val="24"/>
                <w:lang w:eastAsia="en-GB"/>
              </w:rPr>
              <w:tab/>
            </w:r>
            <w:r w:rsidR="00890020" w:rsidRPr="00CB73A3">
              <w:rPr>
                <w:rStyle w:val="Lienhypertexte"/>
                <w:rFonts w:asciiTheme="minorHAnsi" w:hAnsiTheme="minorHAnsi"/>
                <w:b/>
                <w:noProof/>
                <w:sz w:val="24"/>
                <w:szCs w:val="24"/>
              </w:rPr>
              <w:t>Introduction</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_Toc356484289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4</w:t>
            </w:r>
            <w:r w:rsidRPr="00CB73A3">
              <w:rPr>
                <w:rFonts w:asciiTheme="minorHAnsi" w:hAnsiTheme="minorHAnsi"/>
                <w:b/>
                <w:noProof/>
                <w:webHidden/>
                <w:sz w:val="24"/>
                <w:szCs w:val="24"/>
              </w:rPr>
              <w:fldChar w:fldCharType="end"/>
            </w:r>
          </w:hyperlink>
        </w:p>
        <w:p w:rsidR="00890020" w:rsidRPr="00CB73A3" w:rsidRDefault="00AC6501" w:rsidP="00890020">
          <w:pPr>
            <w:pStyle w:val="TM1"/>
            <w:tabs>
              <w:tab w:val="left" w:pos="440"/>
              <w:tab w:val="right" w:leader="dot" w:pos="9062"/>
            </w:tabs>
            <w:rPr>
              <w:rFonts w:asciiTheme="minorHAnsi" w:eastAsiaTheme="minorEastAsia" w:hAnsiTheme="minorHAnsi"/>
              <w:b/>
              <w:noProof/>
              <w:sz w:val="24"/>
              <w:szCs w:val="24"/>
              <w:lang w:eastAsia="en-GB"/>
            </w:rPr>
          </w:pPr>
          <w:hyperlink w:anchor="_Toc356484290" w:history="1">
            <w:r w:rsidR="00890020" w:rsidRPr="00CB73A3">
              <w:rPr>
                <w:rStyle w:val="Lienhypertexte"/>
                <w:rFonts w:asciiTheme="minorHAnsi" w:hAnsiTheme="minorHAnsi"/>
                <w:b/>
                <w:noProof/>
                <w:sz w:val="24"/>
                <w:szCs w:val="24"/>
              </w:rPr>
              <w:t>2.</w:t>
            </w:r>
            <w:r w:rsidR="00890020" w:rsidRPr="00CB73A3">
              <w:rPr>
                <w:rFonts w:asciiTheme="minorHAnsi" w:eastAsiaTheme="minorEastAsia" w:hAnsiTheme="minorHAnsi"/>
                <w:b/>
                <w:noProof/>
                <w:sz w:val="24"/>
                <w:szCs w:val="24"/>
                <w:lang w:eastAsia="en-GB"/>
              </w:rPr>
              <w:tab/>
            </w:r>
            <w:r w:rsidR="00890020" w:rsidRPr="00CB73A3">
              <w:rPr>
                <w:rStyle w:val="Lienhypertexte"/>
                <w:rFonts w:asciiTheme="minorHAnsi" w:hAnsiTheme="minorHAnsi"/>
                <w:b/>
                <w:noProof/>
                <w:sz w:val="24"/>
                <w:szCs w:val="24"/>
              </w:rPr>
              <w:t>Measuring the state of ecosystems</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_Toc356484290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6</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291" w:history="1">
            <w:r w:rsidR="00890020" w:rsidRPr="00CB73A3">
              <w:rPr>
                <w:rStyle w:val="Lienhypertexte"/>
                <w:rFonts w:asciiTheme="minorHAnsi" w:hAnsiTheme="minorHAnsi"/>
                <w:b/>
                <w:noProof/>
                <w:sz w:val="24"/>
                <w:szCs w:val="24"/>
              </w:rPr>
              <w:t>2.1 Challenges and pitfalls</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_Toc356484291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6</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292" w:history="1">
            <w:r w:rsidR="00890020" w:rsidRPr="00CB73A3">
              <w:rPr>
                <w:rStyle w:val="Lienhypertexte"/>
                <w:rFonts w:asciiTheme="minorHAnsi" w:hAnsiTheme="minorHAnsi"/>
                <w:b/>
                <w:noProof/>
                <w:sz w:val="24"/>
                <w:szCs w:val="24"/>
              </w:rPr>
              <w:t>2.2 EU reporting &amp; assessment</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_Toc356484292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7</w:t>
            </w:r>
            <w:r w:rsidRPr="00CB73A3">
              <w:rPr>
                <w:rFonts w:asciiTheme="minorHAnsi" w:hAnsiTheme="minorHAnsi"/>
                <w:b/>
                <w:noProof/>
                <w:webHidden/>
                <w:sz w:val="24"/>
                <w:szCs w:val="24"/>
              </w:rPr>
              <w:fldChar w:fldCharType="end"/>
            </w:r>
          </w:hyperlink>
        </w:p>
        <w:p w:rsidR="00890020" w:rsidRPr="00CB73A3" w:rsidRDefault="00AC6501" w:rsidP="00890020">
          <w:pPr>
            <w:pStyle w:val="TM1"/>
            <w:tabs>
              <w:tab w:val="left" w:pos="440"/>
              <w:tab w:val="right" w:leader="dot" w:pos="9062"/>
            </w:tabs>
            <w:rPr>
              <w:rFonts w:asciiTheme="minorHAnsi" w:eastAsiaTheme="minorEastAsia" w:hAnsiTheme="minorHAnsi"/>
              <w:b/>
              <w:noProof/>
              <w:sz w:val="24"/>
              <w:szCs w:val="24"/>
              <w:lang w:eastAsia="en-GB"/>
            </w:rPr>
          </w:pPr>
          <w:hyperlink w:anchor="_Toc356484293" w:history="1">
            <w:r w:rsidR="00890020" w:rsidRPr="00CB73A3">
              <w:rPr>
                <w:rStyle w:val="Lienhypertexte"/>
                <w:rFonts w:asciiTheme="minorHAnsi" w:hAnsiTheme="minorHAnsi"/>
                <w:b/>
                <w:noProof/>
                <w:sz w:val="24"/>
                <w:szCs w:val="24"/>
              </w:rPr>
              <w:t>3.</w:t>
            </w:r>
            <w:r w:rsidR="00890020" w:rsidRPr="00CB73A3">
              <w:rPr>
                <w:rFonts w:asciiTheme="minorHAnsi" w:eastAsiaTheme="minorEastAsia" w:hAnsiTheme="minorHAnsi"/>
                <w:b/>
                <w:noProof/>
                <w:sz w:val="24"/>
                <w:szCs w:val="24"/>
                <w:lang w:eastAsia="en-GB"/>
              </w:rPr>
              <w:tab/>
            </w:r>
            <w:r w:rsidR="00890020" w:rsidRPr="00CB73A3">
              <w:rPr>
                <w:rStyle w:val="Lienhypertexte"/>
                <w:rFonts w:asciiTheme="minorHAnsi" w:hAnsiTheme="minorHAnsi"/>
                <w:b/>
                <w:noProof/>
                <w:sz w:val="24"/>
                <w:szCs w:val="24"/>
              </w:rPr>
              <w:t>Methodology used to report on the state of biodiversity in three EU assessments</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_Toc356484293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12</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294" w:history="1">
            <w:r w:rsidR="00890020" w:rsidRPr="00CB73A3">
              <w:rPr>
                <w:rStyle w:val="Lienhypertexte"/>
                <w:rFonts w:asciiTheme="minorHAnsi" w:hAnsiTheme="minorHAnsi"/>
                <w:b/>
                <w:noProof/>
                <w:sz w:val="24"/>
                <w:szCs w:val="24"/>
              </w:rPr>
              <w:t>3.1 Birds &amp; Habitats Directive</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_Toc356484294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12</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295" w:history="1">
            <w:r w:rsidR="00890020" w:rsidRPr="00CB73A3">
              <w:rPr>
                <w:rStyle w:val="Lienhypertexte"/>
                <w:rFonts w:asciiTheme="minorHAnsi" w:hAnsiTheme="minorHAnsi"/>
                <w:b/>
                <w:noProof/>
                <w:sz w:val="24"/>
                <w:szCs w:val="24"/>
              </w:rPr>
              <w:t>3.2 Water Framework Directive</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_Toc356484295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13</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296" w:history="1">
            <w:r w:rsidR="00890020" w:rsidRPr="00CB73A3">
              <w:rPr>
                <w:rStyle w:val="Lienhypertexte"/>
                <w:rFonts w:asciiTheme="minorHAnsi" w:hAnsiTheme="minorHAnsi"/>
                <w:b/>
                <w:noProof/>
                <w:sz w:val="24"/>
                <w:szCs w:val="24"/>
              </w:rPr>
              <w:t>3.3 Marine Strategy Framework Directive</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_Toc356484296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14</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297" w:history="1">
            <w:r w:rsidR="00890020" w:rsidRPr="00CB73A3">
              <w:rPr>
                <w:rStyle w:val="Lienhypertexte"/>
                <w:rFonts w:asciiTheme="minorHAnsi" w:hAnsiTheme="minorHAnsi"/>
                <w:b/>
                <w:noProof/>
                <w:sz w:val="24"/>
                <w:szCs w:val="24"/>
              </w:rPr>
              <w:t>3.4  SEBI 2010 indicators</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_Toc356484297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15</w:t>
            </w:r>
            <w:r w:rsidRPr="00CB73A3">
              <w:rPr>
                <w:rFonts w:asciiTheme="minorHAnsi" w:hAnsiTheme="minorHAnsi"/>
                <w:b/>
                <w:noProof/>
                <w:webHidden/>
                <w:sz w:val="24"/>
                <w:szCs w:val="24"/>
              </w:rPr>
              <w:fldChar w:fldCharType="end"/>
            </w:r>
          </w:hyperlink>
        </w:p>
        <w:p w:rsidR="00890020" w:rsidRPr="00CB73A3" w:rsidRDefault="00AC6501" w:rsidP="00890020">
          <w:pPr>
            <w:pStyle w:val="TM1"/>
            <w:tabs>
              <w:tab w:val="left" w:pos="440"/>
              <w:tab w:val="right" w:leader="dot" w:pos="9062"/>
            </w:tabs>
            <w:rPr>
              <w:rFonts w:asciiTheme="minorHAnsi" w:eastAsiaTheme="minorEastAsia" w:hAnsiTheme="minorHAnsi"/>
              <w:b/>
              <w:noProof/>
              <w:sz w:val="24"/>
              <w:szCs w:val="24"/>
              <w:lang w:eastAsia="en-GB"/>
            </w:rPr>
          </w:pPr>
          <w:hyperlink w:anchor="_Toc356484298" w:history="1">
            <w:r w:rsidR="00890020" w:rsidRPr="00CB73A3">
              <w:rPr>
                <w:rStyle w:val="Lienhypertexte"/>
                <w:rFonts w:asciiTheme="minorHAnsi" w:hAnsiTheme="minorHAnsi"/>
                <w:b/>
                <w:noProof/>
                <w:sz w:val="24"/>
                <w:szCs w:val="24"/>
              </w:rPr>
              <w:t>4.</w:t>
            </w:r>
            <w:r w:rsidR="00890020" w:rsidRPr="00CB73A3">
              <w:rPr>
                <w:rFonts w:asciiTheme="minorHAnsi" w:eastAsiaTheme="minorEastAsia" w:hAnsiTheme="minorHAnsi"/>
                <w:b/>
                <w:noProof/>
                <w:sz w:val="24"/>
                <w:szCs w:val="24"/>
                <w:lang w:eastAsia="en-GB"/>
              </w:rPr>
              <w:tab/>
            </w:r>
            <w:r w:rsidR="00890020" w:rsidRPr="00CB73A3">
              <w:rPr>
                <w:rStyle w:val="Lienhypertexte"/>
                <w:rFonts w:asciiTheme="minorHAnsi" w:hAnsiTheme="minorHAnsi"/>
                <w:b/>
                <w:noProof/>
                <w:sz w:val="24"/>
                <w:szCs w:val="24"/>
              </w:rPr>
              <w:t>Country Case studies</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_Toc356484298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18</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299" w:history="1">
            <w:r w:rsidR="00890020" w:rsidRPr="00CB73A3">
              <w:rPr>
                <w:rStyle w:val="Lienhypertexte"/>
                <w:rFonts w:asciiTheme="minorHAnsi" w:hAnsiTheme="minorHAnsi"/>
                <w:b/>
                <w:noProof/>
                <w:sz w:val="24"/>
                <w:szCs w:val="24"/>
              </w:rPr>
              <w:t>4.1 The Netherlands</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_Toc356484299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18</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300" w:history="1">
            <w:r w:rsidR="00890020" w:rsidRPr="00CB73A3">
              <w:rPr>
                <w:rStyle w:val="Lienhypertexte"/>
                <w:rFonts w:asciiTheme="minorHAnsi" w:hAnsiTheme="minorHAnsi"/>
                <w:b/>
                <w:noProof/>
                <w:sz w:val="24"/>
                <w:szCs w:val="24"/>
              </w:rPr>
              <w:t>4.2 Flanders</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_Toc356484300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25</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301" w:history="1">
            <w:r w:rsidR="00890020" w:rsidRPr="00CB73A3">
              <w:rPr>
                <w:rStyle w:val="Lienhypertexte"/>
                <w:rFonts w:asciiTheme="minorHAnsi" w:hAnsiTheme="minorHAnsi"/>
                <w:b/>
                <w:noProof/>
                <w:sz w:val="24"/>
                <w:szCs w:val="24"/>
                <w:lang w:val="es-ES"/>
              </w:rPr>
              <w:t>4.3 Spain</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_Toc356484301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31</w:t>
            </w:r>
            <w:r w:rsidRPr="00CB73A3">
              <w:rPr>
                <w:rFonts w:asciiTheme="minorHAnsi" w:hAnsiTheme="minorHAnsi"/>
                <w:b/>
                <w:noProof/>
                <w:webHidden/>
                <w:sz w:val="24"/>
                <w:szCs w:val="24"/>
              </w:rPr>
              <w:fldChar w:fldCharType="end"/>
            </w:r>
          </w:hyperlink>
        </w:p>
        <w:p w:rsidR="00890020" w:rsidRPr="00CB73A3" w:rsidRDefault="00AC6501" w:rsidP="00890020">
          <w:pPr>
            <w:pStyle w:val="TM2"/>
            <w:tabs>
              <w:tab w:val="right" w:leader="dot" w:pos="9062"/>
            </w:tabs>
            <w:rPr>
              <w:rFonts w:asciiTheme="minorHAnsi" w:eastAsiaTheme="minorEastAsia" w:hAnsiTheme="minorHAnsi"/>
              <w:b/>
              <w:noProof/>
              <w:sz w:val="24"/>
              <w:szCs w:val="24"/>
              <w:lang w:eastAsia="en-GB"/>
            </w:rPr>
          </w:pPr>
          <w:hyperlink w:anchor="_Toc356484302" w:history="1">
            <w:r w:rsidR="00890020" w:rsidRPr="00CB73A3">
              <w:rPr>
                <w:rStyle w:val="Lienhypertexte"/>
                <w:rFonts w:asciiTheme="minorHAnsi" w:hAnsiTheme="minorHAnsi"/>
                <w:b/>
                <w:noProof/>
                <w:sz w:val="24"/>
                <w:szCs w:val="24"/>
                <w:lang w:val="es-ES"/>
              </w:rPr>
              <w:t>4.4 Austria</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_Toc356484302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31</w:t>
            </w:r>
            <w:r w:rsidRPr="00CB73A3">
              <w:rPr>
                <w:rFonts w:asciiTheme="minorHAnsi" w:hAnsiTheme="minorHAnsi"/>
                <w:b/>
                <w:noProof/>
                <w:webHidden/>
                <w:sz w:val="24"/>
                <w:szCs w:val="24"/>
              </w:rPr>
              <w:fldChar w:fldCharType="end"/>
            </w:r>
          </w:hyperlink>
        </w:p>
        <w:p w:rsidR="00890020" w:rsidRPr="00CB73A3" w:rsidRDefault="00AC6501" w:rsidP="00890020">
          <w:pPr>
            <w:pStyle w:val="TM1"/>
            <w:tabs>
              <w:tab w:val="left" w:pos="440"/>
              <w:tab w:val="right" w:leader="dot" w:pos="9062"/>
            </w:tabs>
            <w:rPr>
              <w:rFonts w:asciiTheme="minorHAnsi" w:eastAsiaTheme="minorEastAsia" w:hAnsiTheme="minorHAnsi"/>
              <w:b/>
              <w:noProof/>
              <w:sz w:val="24"/>
              <w:szCs w:val="24"/>
              <w:lang w:eastAsia="en-GB"/>
            </w:rPr>
          </w:pPr>
          <w:hyperlink w:anchor="_Toc356484303" w:history="1">
            <w:r w:rsidR="00890020" w:rsidRPr="00CB73A3">
              <w:rPr>
                <w:rStyle w:val="Lienhypertexte"/>
                <w:rFonts w:asciiTheme="minorHAnsi" w:hAnsiTheme="minorHAnsi"/>
                <w:b/>
                <w:noProof/>
                <w:sz w:val="24"/>
                <w:szCs w:val="24"/>
              </w:rPr>
              <w:t>5.</w:t>
            </w:r>
            <w:r w:rsidR="00890020" w:rsidRPr="00CB73A3">
              <w:rPr>
                <w:rFonts w:asciiTheme="minorHAnsi" w:eastAsiaTheme="minorEastAsia" w:hAnsiTheme="minorHAnsi"/>
                <w:b/>
                <w:noProof/>
                <w:sz w:val="24"/>
                <w:szCs w:val="24"/>
                <w:lang w:eastAsia="en-GB"/>
              </w:rPr>
              <w:tab/>
            </w:r>
            <w:r w:rsidR="00890020" w:rsidRPr="00CB73A3">
              <w:rPr>
                <w:rStyle w:val="Lienhypertexte"/>
                <w:rFonts w:asciiTheme="minorHAnsi" w:hAnsiTheme="minorHAnsi"/>
                <w:b/>
                <w:noProof/>
                <w:sz w:val="24"/>
                <w:szCs w:val="24"/>
              </w:rPr>
              <w:t>Conclusions</w:t>
            </w:r>
            <w:r w:rsidR="00890020" w:rsidRPr="00CB73A3">
              <w:rPr>
                <w:rFonts w:asciiTheme="minorHAnsi" w:hAnsiTheme="minorHAnsi"/>
                <w:b/>
                <w:noProof/>
                <w:webHidden/>
                <w:sz w:val="24"/>
                <w:szCs w:val="24"/>
              </w:rPr>
              <w:tab/>
            </w:r>
            <w:r w:rsidRPr="00CB73A3">
              <w:rPr>
                <w:rFonts w:asciiTheme="minorHAnsi" w:hAnsiTheme="minorHAnsi"/>
                <w:b/>
                <w:noProof/>
                <w:webHidden/>
                <w:sz w:val="24"/>
                <w:szCs w:val="24"/>
              </w:rPr>
              <w:fldChar w:fldCharType="begin"/>
            </w:r>
            <w:r w:rsidR="00890020" w:rsidRPr="00CB73A3">
              <w:rPr>
                <w:rFonts w:asciiTheme="minorHAnsi" w:hAnsiTheme="minorHAnsi"/>
                <w:b/>
                <w:noProof/>
                <w:webHidden/>
                <w:sz w:val="24"/>
                <w:szCs w:val="24"/>
              </w:rPr>
              <w:instrText xml:space="preserve"> PAGEREF _Toc356484303 \h </w:instrText>
            </w:r>
            <w:r w:rsidRPr="00CB73A3">
              <w:rPr>
                <w:rFonts w:asciiTheme="minorHAnsi" w:hAnsiTheme="minorHAnsi"/>
                <w:b/>
                <w:noProof/>
                <w:webHidden/>
                <w:sz w:val="24"/>
                <w:szCs w:val="24"/>
              </w:rPr>
            </w:r>
            <w:r w:rsidRPr="00CB73A3">
              <w:rPr>
                <w:rFonts w:asciiTheme="minorHAnsi" w:hAnsiTheme="minorHAnsi"/>
                <w:b/>
                <w:noProof/>
                <w:webHidden/>
                <w:sz w:val="24"/>
                <w:szCs w:val="24"/>
              </w:rPr>
              <w:fldChar w:fldCharType="separate"/>
            </w:r>
            <w:r w:rsidR="00890020" w:rsidRPr="00CB73A3">
              <w:rPr>
                <w:rFonts w:asciiTheme="minorHAnsi" w:hAnsiTheme="minorHAnsi"/>
                <w:b/>
                <w:noProof/>
                <w:webHidden/>
                <w:sz w:val="24"/>
                <w:szCs w:val="24"/>
              </w:rPr>
              <w:t>50</w:t>
            </w:r>
            <w:r w:rsidRPr="00CB73A3">
              <w:rPr>
                <w:rFonts w:asciiTheme="minorHAnsi" w:hAnsiTheme="minorHAnsi"/>
                <w:b/>
                <w:noProof/>
                <w:webHidden/>
                <w:sz w:val="24"/>
                <w:szCs w:val="24"/>
              </w:rPr>
              <w:fldChar w:fldCharType="end"/>
            </w:r>
          </w:hyperlink>
        </w:p>
        <w:p w:rsidR="00890020" w:rsidRDefault="00AC6501" w:rsidP="00890020">
          <w:pPr>
            <w:rPr>
              <w:noProof/>
            </w:rPr>
          </w:pPr>
          <w:r w:rsidRPr="00CB73A3">
            <w:rPr>
              <w:b/>
              <w:bCs/>
              <w:noProof/>
              <w:sz w:val="24"/>
              <w:szCs w:val="24"/>
            </w:rPr>
            <w:fldChar w:fldCharType="end"/>
          </w:r>
        </w:p>
      </w:sdtContent>
    </w:sdt>
    <w:p w:rsidR="00890020" w:rsidRDefault="00890020" w:rsidP="00890020">
      <w:pPr>
        <w:rPr>
          <w:b/>
          <w:sz w:val="40"/>
          <w:szCs w:val="40"/>
          <w:highlight w:val="yellow"/>
        </w:rPr>
      </w:pPr>
      <w:r>
        <w:rPr>
          <w:b/>
          <w:sz w:val="40"/>
          <w:szCs w:val="40"/>
          <w:highlight w:val="yellow"/>
        </w:rPr>
        <w:br w:type="page"/>
      </w:r>
    </w:p>
    <w:p w:rsidR="00890020" w:rsidRPr="000B381C" w:rsidRDefault="00890020" w:rsidP="000B381C">
      <w:pPr>
        <w:shd w:val="clear" w:color="auto" w:fill="DBE5F1" w:themeFill="accent1" w:themeFillTint="33"/>
        <w:rPr>
          <w:b/>
          <w:sz w:val="40"/>
          <w:szCs w:val="40"/>
        </w:rPr>
      </w:pPr>
      <w:r w:rsidRPr="000B381C">
        <w:rPr>
          <w:b/>
          <w:sz w:val="40"/>
          <w:szCs w:val="40"/>
        </w:rPr>
        <w:lastRenderedPageBreak/>
        <w:t>PART 4</w:t>
      </w:r>
    </w:p>
    <w:p w:rsidR="00890020" w:rsidRPr="003A41E6" w:rsidRDefault="00890020" w:rsidP="000B381C">
      <w:pPr>
        <w:shd w:val="clear" w:color="auto" w:fill="DBE5F1" w:themeFill="accent1" w:themeFillTint="33"/>
        <w:rPr>
          <w:b/>
          <w:sz w:val="40"/>
          <w:szCs w:val="40"/>
        </w:rPr>
      </w:pPr>
      <w:r w:rsidRPr="000B381C">
        <w:rPr>
          <w:b/>
          <w:sz w:val="40"/>
          <w:szCs w:val="40"/>
        </w:rPr>
        <w:t>Task 3 - Gap analysis and recommendations</w:t>
      </w:r>
    </w:p>
    <w:p w:rsidR="00890020" w:rsidRPr="00242D50" w:rsidRDefault="00890020" w:rsidP="00890020">
      <w:pPr>
        <w:spacing w:after="0" w:line="240" w:lineRule="auto"/>
        <w:rPr>
          <w:b/>
          <w:sz w:val="24"/>
          <w:szCs w:val="24"/>
        </w:rPr>
      </w:pPr>
      <w:r w:rsidRPr="00242D50">
        <w:rPr>
          <w:b/>
          <w:sz w:val="24"/>
          <w:szCs w:val="24"/>
        </w:rPr>
        <w:t>Authors:</w:t>
      </w:r>
    </w:p>
    <w:p w:rsidR="00890020" w:rsidRPr="00487E20" w:rsidRDefault="00890020" w:rsidP="00890020">
      <w:pPr>
        <w:spacing w:after="0" w:line="240" w:lineRule="auto"/>
        <w:rPr>
          <w:b/>
          <w:sz w:val="24"/>
          <w:szCs w:val="24"/>
        </w:rPr>
      </w:pPr>
      <w:r w:rsidRPr="00487E20">
        <w:rPr>
          <w:b/>
          <w:sz w:val="24"/>
          <w:szCs w:val="24"/>
        </w:rPr>
        <w:t xml:space="preserve">L.C. Braat (Alterra), </w:t>
      </w:r>
      <w:r w:rsidRPr="00333EA9">
        <w:rPr>
          <w:b/>
          <w:sz w:val="24"/>
          <w:szCs w:val="24"/>
        </w:rPr>
        <w:t>G. Banko (EAA)</w:t>
      </w:r>
      <w:r>
        <w:rPr>
          <w:b/>
          <w:sz w:val="24"/>
          <w:szCs w:val="24"/>
        </w:rPr>
        <w:t>,</w:t>
      </w:r>
      <w:r w:rsidRPr="00487E20">
        <w:rPr>
          <w:b/>
          <w:sz w:val="24"/>
          <w:szCs w:val="24"/>
        </w:rPr>
        <w:t>F. Boeraeve (U</w:t>
      </w:r>
      <w:r>
        <w:rPr>
          <w:b/>
          <w:sz w:val="24"/>
          <w:szCs w:val="24"/>
        </w:rPr>
        <w:t>-</w:t>
      </w:r>
      <w:r w:rsidRPr="00487E20">
        <w:rPr>
          <w:b/>
          <w:sz w:val="24"/>
          <w:szCs w:val="24"/>
        </w:rPr>
        <w:t>Utrecht/Alterra), I. Bouwma (Alterra), T. van Daele (INBO), N. Dendoncker (FUND P), A. Grêt-Regamy, C. Klok (IMARES</w:t>
      </w:r>
      <w:r>
        <w:rPr>
          <w:b/>
          <w:sz w:val="24"/>
          <w:szCs w:val="24"/>
        </w:rPr>
        <w:t>/Alterra</w:t>
      </w:r>
      <w:r w:rsidRPr="00487E20">
        <w:rPr>
          <w:b/>
          <w:sz w:val="24"/>
          <w:szCs w:val="24"/>
        </w:rPr>
        <w:t>), M. Perez-Soba</w:t>
      </w:r>
      <w:r>
        <w:rPr>
          <w:b/>
          <w:sz w:val="24"/>
          <w:szCs w:val="24"/>
        </w:rPr>
        <w:t xml:space="preserve"> (Alterra)</w:t>
      </w:r>
      <w:r w:rsidRPr="00487E20">
        <w:rPr>
          <w:b/>
          <w:sz w:val="24"/>
          <w:szCs w:val="24"/>
        </w:rPr>
        <w:t>, F. Santos-Martin (UAM), P. Scholefield (CEH), A. Torre-Marin (ECNC)</w:t>
      </w:r>
      <w:r>
        <w:rPr>
          <w:b/>
          <w:sz w:val="24"/>
          <w:szCs w:val="24"/>
        </w:rPr>
        <w:t>,B. Weibel (ETH-Zurich).</w:t>
      </w:r>
    </w:p>
    <w:p w:rsidR="00890020" w:rsidRPr="00242D50" w:rsidRDefault="00890020" w:rsidP="00890020">
      <w:pPr>
        <w:spacing w:after="0" w:line="240" w:lineRule="auto"/>
        <w:rPr>
          <w:b/>
          <w:sz w:val="24"/>
          <w:szCs w:val="24"/>
        </w:rPr>
      </w:pPr>
    </w:p>
    <w:p w:rsidR="00890020" w:rsidRPr="00242D50" w:rsidRDefault="00890020" w:rsidP="00890020">
      <w:pPr>
        <w:spacing w:after="0" w:line="240" w:lineRule="auto"/>
        <w:rPr>
          <w:b/>
          <w:sz w:val="24"/>
          <w:szCs w:val="24"/>
        </w:rPr>
      </w:pPr>
      <w:r w:rsidRPr="00242D50">
        <w:rPr>
          <w:b/>
          <w:sz w:val="24"/>
          <w:szCs w:val="24"/>
        </w:rPr>
        <w:t>Contributions in the Workshop (in addition to the authors):</w:t>
      </w:r>
    </w:p>
    <w:p w:rsidR="00890020" w:rsidRDefault="00890020" w:rsidP="00890020">
      <w:pPr>
        <w:pStyle w:val="En-tte"/>
        <w:rPr>
          <w:b/>
          <w:sz w:val="24"/>
          <w:szCs w:val="24"/>
          <w:lang w:val="en-US"/>
        </w:rPr>
      </w:pPr>
      <w:r>
        <w:rPr>
          <w:b/>
          <w:sz w:val="24"/>
          <w:szCs w:val="24"/>
          <w:lang w:val="en-US"/>
        </w:rPr>
        <w:t>Jiska van Dijk</w:t>
      </w:r>
      <w:r w:rsidRPr="00242D50">
        <w:rPr>
          <w:b/>
          <w:sz w:val="24"/>
          <w:szCs w:val="24"/>
          <w:lang w:val="en-US"/>
        </w:rPr>
        <w:t xml:space="preserve"> Markus Erhard</w:t>
      </w:r>
      <w:r w:rsidRPr="004C7168">
        <w:rPr>
          <w:b/>
          <w:sz w:val="24"/>
          <w:szCs w:val="24"/>
          <w:lang w:val="en-US"/>
        </w:rPr>
        <w:t xml:space="preserve">, </w:t>
      </w:r>
      <w:r w:rsidRPr="00242D50">
        <w:rPr>
          <w:b/>
          <w:sz w:val="24"/>
          <w:szCs w:val="24"/>
          <w:lang w:val="en-US"/>
        </w:rPr>
        <w:t xml:space="preserve">Marco Fritz, </w:t>
      </w:r>
      <w:r w:rsidRPr="00242D50">
        <w:rPr>
          <w:rStyle w:val="Lienhypertexte"/>
          <w:b/>
          <w:color w:val="auto"/>
          <w:sz w:val="24"/>
          <w:szCs w:val="24"/>
          <w:u w:val="none"/>
          <w:lang w:val="en-US"/>
        </w:rPr>
        <w:t>Lawrence</w:t>
      </w:r>
      <w:r w:rsidRPr="00242D50">
        <w:rPr>
          <w:rStyle w:val="g2"/>
          <w:b/>
          <w:sz w:val="24"/>
          <w:szCs w:val="24"/>
          <w:lang w:val="en-US"/>
        </w:rPr>
        <w:t>Jones-Walters,</w:t>
      </w:r>
      <w:r w:rsidRPr="00242D50">
        <w:rPr>
          <w:b/>
          <w:sz w:val="24"/>
          <w:szCs w:val="24"/>
          <w:lang w:val="en-US"/>
        </w:rPr>
        <w:t>LeenaKopperoinen, Johan Lammerant</w:t>
      </w:r>
      <w:r>
        <w:rPr>
          <w:b/>
          <w:sz w:val="24"/>
          <w:szCs w:val="24"/>
          <w:lang w:val="en-US"/>
        </w:rPr>
        <w:t xml:space="preserve">, </w:t>
      </w:r>
      <w:r w:rsidRPr="00242D50">
        <w:rPr>
          <w:b/>
          <w:sz w:val="24"/>
          <w:szCs w:val="24"/>
          <w:lang w:val="en-US"/>
        </w:rPr>
        <w:t xml:space="preserve">Sandra Lavorel, Joachim Maes, Josiane Masson, </w:t>
      </w:r>
      <w:r>
        <w:rPr>
          <w:b/>
          <w:sz w:val="24"/>
          <w:szCs w:val="24"/>
          <w:lang w:val="en-US"/>
        </w:rPr>
        <w:t>Andrze</w:t>
      </w:r>
      <w:r w:rsidRPr="004C7168">
        <w:rPr>
          <w:b/>
          <w:sz w:val="24"/>
          <w:szCs w:val="24"/>
          <w:lang w:val="en-US"/>
        </w:rPr>
        <w:t>jMizgajski</w:t>
      </w:r>
      <w:r w:rsidRPr="00242D50">
        <w:rPr>
          <w:b/>
          <w:sz w:val="24"/>
          <w:szCs w:val="24"/>
          <w:lang w:val="en-US"/>
        </w:rPr>
        <w:t>, Patrick Murphy, ChristovStrahil, Anne Teller, Elena Vercillo, Ricc</w:t>
      </w:r>
      <w:r>
        <w:rPr>
          <w:b/>
          <w:sz w:val="24"/>
          <w:szCs w:val="24"/>
          <w:lang w:val="en-US"/>
        </w:rPr>
        <w:t>ardo Simoncini, , Mark Snethlage</w:t>
      </w:r>
    </w:p>
    <w:p w:rsidR="00890020" w:rsidRPr="00242D50" w:rsidRDefault="00890020" w:rsidP="00890020">
      <w:pPr>
        <w:pStyle w:val="En-tte"/>
        <w:rPr>
          <w:b/>
          <w:sz w:val="24"/>
          <w:szCs w:val="24"/>
          <w:lang w:val="en-US"/>
        </w:rPr>
      </w:pPr>
    </w:p>
    <w:p w:rsidR="00890020" w:rsidRPr="003A41E6" w:rsidRDefault="00890020" w:rsidP="00890020">
      <w:pPr>
        <w:rPr>
          <w:b/>
          <w:sz w:val="36"/>
          <w:szCs w:val="36"/>
        </w:rPr>
      </w:pPr>
      <w:r w:rsidRPr="003A41E6">
        <w:rPr>
          <w:b/>
          <w:sz w:val="36"/>
          <w:szCs w:val="36"/>
        </w:rPr>
        <w:t>TABLE OF CONTENTS</w:t>
      </w:r>
    </w:p>
    <w:p w:rsidR="00890020" w:rsidRPr="00242D50" w:rsidRDefault="00890020" w:rsidP="00622218">
      <w:pPr>
        <w:pStyle w:val="Titre1"/>
        <w:numPr>
          <w:ilvl w:val="0"/>
          <w:numId w:val="20"/>
        </w:numPr>
        <w:tabs>
          <w:tab w:val="left" w:pos="709"/>
          <w:tab w:val="left" w:pos="8505"/>
        </w:tabs>
        <w:spacing w:before="0" w:line="240" w:lineRule="auto"/>
        <w:ind w:hanging="720"/>
        <w:rPr>
          <w:rFonts w:asciiTheme="minorHAnsi" w:hAnsiTheme="minorHAnsi"/>
          <w:color w:val="auto"/>
          <w:sz w:val="24"/>
          <w:szCs w:val="24"/>
        </w:rPr>
      </w:pPr>
      <w:r w:rsidRPr="00242D50">
        <w:rPr>
          <w:rFonts w:asciiTheme="minorHAnsi" w:hAnsiTheme="minorHAnsi"/>
          <w:color w:val="auto"/>
          <w:sz w:val="24"/>
          <w:szCs w:val="24"/>
        </w:rPr>
        <w:t>TASK 3: GAP ANALYSIS AND RECOMMENDATIONS</w:t>
      </w:r>
      <w:r w:rsidRPr="00242D50">
        <w:rPr>
          <w:rFonts w:asciiTheme="minorHAnsi" w:hAnsiTheme="minorHAnsi"/>
          <w:color w:val="auto"/>
          <w:sz w:val="24"/>
          <w:szCs w:val="24"/>
        </w:rPr>
        <w:tab/>
        <w:t>4</w:t>
      </w:r>
    </w:p>
    <w:p w:rsidR="00890020" w:rsidRPr="00242D50" w:rsidRDefault="00890020" w:rsidP="00890020">
      <w:pPr>
        <w:pStyle w:val="Titre1"/>
        <w:tabs>
          <w:tab w:val="left" w:pos="709"/>
          <w:tab w:val="left" w:pos="8505"/>
        </w:tabs>
        <w:spacing w:before="0" w:line="240" w:lineRule="auto"/>
        <w:ind w:left="720"/>
        <w:rPr>
          <w:rFonts w:asciiTheme="minorHAnsi" w:hAnsiTheme="minorHAnsi"/>
          <w:color w:val="auto"/>
          <w:sz w:val="24"/>
          <w:szCs w:val="24"/>
        </w:rPr>
      </w:pPr>
    </w:p>
    <w:p w:rsidR="00890020" w:rsidRPr="00242D50" w:rsidRDefault="00890020" w:rsidP="00622218">
      <w:pPr>
        <w:pStyle w:val="Titre1"/>
        <w:numPr>
          <w:ilvl w:val="0"/>
          <w:numId w:val="20"/>
        </w:numPr>
        <w:tabs>
          <w:tab w:val="left" w:pos="709"/>
          <w:tab w:val="left" w:pos="8505"/>
        </w:tabs>
        <w:spacing w:before="0" w:line="240" w:lineRule="auto"/>
        <w:ind w:hanging="720"/>
        <w:rPr>
          <w:rFonts w:asciiTheme="minorHAnsi" w:hAnsiTheme="minorHAnsi"/>
          <w:color w:val="auto"/>
          <w:sz w:val="24"/>
          <w:szCs w:val="24"/>
          <w:lang w:eastAsia="en-GB"/>
        </w:rPr>
      </w:pPr>
      <w:r w:rsidRPr="00242D50">
        <w:rPr>
          <w:rFonts w:asciiTheme="minorHAnsi" w:hAnsiTheme="minorHAnsi"/>
          <w:color w:val="auto"/>
          <w:sz w:val="24"/>
          <w:szCs w:val="24"/>
          <w:lang w:eastAsia="en-GB"/>
        </w:rPr>
        <w:t xml:space="preserve">RESULTS </w:t>
      </w:r>
      <w:r w:rsidRPr="00242D50">
        <w:rPr>
          <w:rFonts w:asciiTheme="minorHAnsi" w:hAnsiTheme="minorHAnsi"/>
          <w:color w:val="auto"/>
          <w:sz w:val="24"/>
          <w:szCs w:val="24"/>
          <w:lang w:eastAsia="en-GB"/>
        </w:rPr>
        <w:tab/>
        <w:t>5</w:t>
      </w:r>
    </w:p>
    <w:p w:rsidR="00890020" w:rsidRPr="00242D50" w:rsidRDefault="00890020" w:rsidP="00890020">
      <w:pPr>
        <w:pStyle w:val="Titre2"/>
        <w:tabs>
          <w:tab w:val="left" w:pos="709"/>
          <w:tab w:val="left" w:pos="8505"/>
        </w:tabs>
        <w:spacing w:before="0" w:line="240" w:lineRule="auto"/>
        <w:rPr>
          <w:rFonts w:asciiTheme="minorHAnsi" w:hAnsiTheme="minorHAnsi"/>
          <w:color w:val="auto"/>
          <w:sz w:val="24"/>
          <w:szCs w:val="24"/>
          <w:lang w:eastAsia="en-GB"/>
        </w:rPr>
      </w:pPr>
    </w:p>
    <w:p w:rsidR="00890020" w:rsidRPr="00242D50" w:rsidRDefault="00890020" w:rsidP="00890020">
      <w:pPr>
        <w:pStyle w:val="Titre2"/>
        <w:tabs>
          <w:tab w:val="left" w:pos="709"/>
          <w:tab w:val="left" w:pos="8505"/>
        </w:tabs>
        <w:spacing w:before="0" w:line="240" w:lineRule="auto"/>
        <w:rPr>
          <w:rFonts w:asciiTheme="minorHAnsi" w:hAnsiTheme="minorHAnsi"/>
          <w:color w:val="auto"/>
          <w:sz w:val="24"/>
          <w:szCs w:val="24"/>
          <w:lang w:eastAsia="en-GB"/>
        </w:rPr>
      </w:pPr>
      <w:r w:rsidRPr="00242D50">
        <w:rPr>
          <w:rFonts w:asciiTheme="minorHAnsi" w:hAnsiTheme="minorHAnsi"/>
          <w:color w:val="auto"/>
          <w:sz w:val="24"/>
          <w:szCs w:val="24"/>
          <w:lang w:eastAsia="en-GB"/>
        </w:rPr>
        <w:t>2.1</w:t>
      </w:r>
      <w:r w:rsidRPr="00242D50">
        <w:rPr>
          <w:rFonts w:asciiTheme="minorHAnsi" w:hAnsiTheme="minorHAnsi"/>
          <w:color w:val="auto"/>
          <w:sz w:val="24"/>
          <w:szCs w:val="24"/>
          <w:lang w:eastAsia="en-GB"/>
        </w:rPr>
        <w:tab/>
        <w:t>Introduction</w:t>
      </w:r>
      <w:r w:rsidRPr="00242D50">
        <w:rPr>
          <w:rFonts w:asciiTheme="minorHAnsi" w:hAnsiTheme="minorHAnsi"/>
          <w:color w:val="auto"/>
          <w:sz w:val="24"/>
          <w:szCs w:val="24"/>
          <w:lang w:eastAsia="en-GB"/>
        </w:rPr>
        <w:tab/>
        <w:t>5</w:t>
      </w:r>
    </w:p>
    <w:p w:rsidR="00890020" w:rsidRPr="00242D50" w:rsidRDefault="00890020" w:rsidP="00890020">
      <w:pPr>
        <w:pStyle w:val="Titre2"/>
        <w:tabs>
          <w:tab w:val="left" w:pos="709"/>
          <w:tab w:val="left" w:pos="8505"/>
        </w:tabs>
        <w:spacing w:before="0" w:line="240" w:lineRule="auto"/>
        <w:ind w:left="709" w:hanging="709"/>
        <w:rPr>
          <w:rFonts w:asciiTheme="minorHAnsi" w:hAnsiTheme="minorHAnsi"/>
          <w:color w:val="auto"/>
          <w:sz w:val="24"/>
          <w:szCs w:val="24"/>
          <w:lang w:eastAsia="en-GB"/>
        </w:rPr>
      </w:pPr>
      <w:r w:rsidRPr="00242D50">
        <w:rPr>
          <w:rFonts w:asciiTheme="minorHAnsi" w:hAnsiTheme="minorHAnsi"/>
          <w:color w:val="auto"/>
          <w:sz w:val="24"/>
          <w:szCs w:val="24"/>
          <w:lang w:eastAsia="en-GB"/>
        </w:rPr>
        <w:t>2.2</w:t>
      </w:r>
      <w:r w:rsidRPr="00242D50">
        <w:rPr>
          <w:rFonts w:asciiTheme="minorHAnsi" w:hAnsiTheme="minorHAnsi"/>
          <w:color w:val="auto"/>
          <w:sz w:val="24"/>
          <w:szCs w:val="24"/>
          <w:lang w:eastAsia="en-GB"/>
        </w:rPr>
        <w:tab/>
        <w:t xml:space="preserve">The Results of Gap identification at the workshop and preliminary recommendations </w:t>
      </w:r>
      <w:r w:rsidRPr="00242D50">
        <w:rPr>
          <w:rFonts w:asciiTheme="minorHAnsi" w:hAnsiTheme="minorHAnsi"/>
          <w:color w:val="auto"/>
          <w:sz w:val="24"/>
          <w:szCs w:val="24"/>
          <w:lang w:eastAsia="en-GB"/>
        </w:rPr>
        <w:tab/>
        <w:t>5</w:t>
      </w:r>
    </w:p>
    <w:p w:rsidR="00890020" w:rsidRPr="00242D50" w:rsidRDefault="00890020" w:rsidP="00890020">
      <w:pPr>
        <w:pStyle w:val="Titre2"/>
        <w:tabs>
          <w:tab w:val="left" w:pos="567"/>
          <w:tab w:val="left" w:pos="709"/>
          <w:tab w:val="left" w:pos="8505"/>
        </w:tabs>
        <w:spacing w:before="0" w:line="240" w:lineRule="auto"/>
        <w:ind w:left="567" w:hanging="567"/>
        <w:rPr>
          <w:rFonts w:asciiTheme="minorHAnsi" w:hAnsiTheme="minorHAnsi"/>
          <w:color w:val="auto"/>
          <w:sz w:val="24"/>
          <w:szCs w:val="24"/>
          <w:lang w:eastAsia="en-GB"/>
        </w:rPr>
      </w:pPr>
      <w:r w:rsidRPr="00242D50">
        <w:rPr>
          <w:rFonts w:asciiTheme="minorHAnsi" w:hAnsiTheme="minorHAnsi"/>
          <w:color w:val="auto"/>
          <w:sz w:val="24"/>
          <w:szCs w:val="24"/>
          <w:lang w:eastAsia="en-GB"/>
        </w:rPr>
        <w:t xml:space="preserve">2.3 </w:t>
      </w:r>
      <w:r w:rsidRPr="00242D50">
        <w:rPr>
          <w:rFonts w:asciiTheme="minorHAnsi" w:hAnsiTheme="minorHAnsi"/>
          <w:color w:val="auto"/>
          <w:sz w:val="24"/>
          <w:szCs w:val="24"/>
          <w:lang w:eastAsia="en-GB"/>
        </w:rPr>
        <w:tab/>
      </w:r>
      <w:r w:rsidRPr="00242D50">
        <w:rPr>
          <w:rFonts w:asciiTheme="minorHAnsi" w:hAnsiTheme="minorHAnsi"/>
          <w:color w:val="auto"/>
          <w:sz w:val="24"/>
          <w:szCs w:val="24"/>
          <w:lang w:eastAsia="en-GB"/>
        </w:rPr>
        <w:tab/>
        <w:t xml:space="preserve">Observations and conclusions </w:t>
      </w:r>
      <w:r w:rsidRPr="00242D50">
        <w:rPr>
          <w:rFonts w:asciiTheme="minorHAnsi" w:hAnsiTheme="minorHAnsi"/>
          <w:color w:val="auto"/>
          <w:sz w:val="24"/>
          <w:szCs w:val="24"/>
          <w:lang w:eastAsia="en-GB"/>
        </w:rPr>
        <w:tab/>
        <w:t>10</w:t>
      </w:r>
    </w:p>
    <w:p w:rsidR="00890020" w:rsidRPr="00242D50" w:rsidRDefault="00890020" w:rsidP="00890020">
      <w:pPr>
        <w:pStyle w:val="Titre3"/>
        <w:tabs>
          <w:tab w:val="clear" w:pos="720"/>
          <w:tab w:val="left" w:pos="709"/>
          <w:tab w:val="num" w:pos="1701"/>
          <w:tab w:val="left" w:pos="8505"/>
        </w:tabs>
        <w:spacing w:before="0" w:after="0"/>
        <w:ind w:left="1701" w:hanging="992"/>
        <w:rPr>
          <w:rFonts w:asciiTheme="minorHAnsi" w:hAnsiTheme="minorHAnsi"/>
          <w:i w:val="0"/>
          <w:szCs w:val="24"/>
        </w:rPr>
      </w:pPr>
      <w:r w:rsidRPr="00242D50">
        <w:rPr>
          <w:rFonts w:asciiTheme="minorHAnsi" w:hAnsiTheme="minorHAnsi"/>
          <w:i w:val="0"/>
          <w:szCs w:val="24"/>
        </w:rPr>
        <w:t>2.3.1</w:t>
      </w:r>
      <w:r w:rsidRPr="00242D50">
        <w:rPr>
          <w:rFonts w:asciiTheme="minorHAnsi" w:hAnsiTheme="minorHAnsi"/>
          <w:i w:val="0"/>
          <w:szCs w:val="24"/>
        </w:rPr>
        <w:tab/>
        <w:t xml:space="preserve"> Policy</w:t>
      </w:r>
    </w:p>
    <w:p w:rsidR="00890020" w:rsidRPr="00242D50" w:rsidRDefault="00890020" w:rsidP="00890020">
      <w:pPr>
        <w:pStyle w:val="Titre3"/>
        <w:tabs>
          <w:tab w:val="clear" w:pos="720"/>
          <w:tab w:val="left" w:pos="709"/>
          <w:tab w:val="num" w:pos="1134"/>
          <w:tab w:val="num" w:pos="1701"/>
          <w:tab w:val="left" w:pos="8505"/>
        </w:tabs>
        <w:spacing w:before="0" w:after="0"/>
        <w:ind w:left="1134" w:hanging="425"/>
        <w:rPr>
          <w:rFonts w:asciiTheme="minorHAnsi" w:hAnsiTheme="minorHAnsi"/>
          <w:i w:val="0"/>
          <w:szCs w:val="24"/>
        </w:rPr>
      </w:pPr>
      <w:r w:rsidRPr="00242D50">
        <w:rPr>
          <w:rFonts w:asciiTheme="minorHAnsi" w:hAnsiTheme="minorHAnsi"/>
          <w:i w:val="0"/>
          <w:szCs w:val="24"/>
        </w:rPr>
        <w:t xml:space="preserve">2.3.2  </w:t>
      </w:r>
      <w:r w:rsidRPr="00242D50">
        <w:rPr>
          <w:rFonts w:asciiTheme="minorHAnsi" w:hAnsiTheme="minorHAnsi"/>
          <w:i w:val="0"/>
          <w:szCs w:val="24"/>
        </w:rPr>
        <w:tab/>
        <w:t>Methodology</w:t>
      </w:r>
    </w:p>
    <w:p w:rsidR="00890020" w:rsidRPr="00242D50" w:rsidRDefault="00890020" w:rsidP="00890020">
      <w:pPr>
        <w:pStyle w:val="Titre3"/>
        <w:tabs>
          <w:tab w:val="clear" w:pos="720"/>
          <w:tab w:val="left" w:pos="709"/>
          <w:tab w:val="num" w:pos="1134"/>
          <w:tab w:val="num" w:pos="1701"/>
          <w:tab w:val="left" w:pos="8505"/>
        </w:tabs>
        <w:spacing w:before="0" w:after="0"/>
        <w:ind w:left="1134" w:hanging="425"/>
        <w:rPr>
          <w:rFonts w:asciiTheme="minorHAnsi" w:hAnsiTheme="minorHAnsi"/>
          <w:i w:val="0"/>
          <w:szCs w:val="24"/>
        </w:rPr>
      </w:pPr>
      <w:r w:rsidRPr="00242D50">
        <w:rPr>
          <w:rFonts w:asciiTheme="minorHAnsi" w:hAnsiTheme="minorHAnsi"/>
          <w:i w:val="0"/>
          <w:szCs w:val="24"/>
        </w:rPr>
        <w:t>2.3.3</w:t>
      </w:r>
      <w:r w:rsidRPr="00242D50">
        <w:rPr>
          <w:rFonts w:asciiTheme="minorHAnsi" w:hAnsiTheme="minorHAnsi"/>
          <w:i w:val="0"/>
          <w:szCs w:val="24"/>
        </w:rPr>
        <w:tab/>
        <w:t>Data</w:t>
      </w:r>
    </w:p>
    <w:p w:rsidR="00890020" w:rsidRPr="00242D50" w:rsidRDefault="00890020" w:rsidP="00890020">
      <w:pPr>
        <w:tabs>
          <w:tab w:val="left" w:pos="709"/>
          <w:tab w:val="left" w:pos="8505"/>
        </w:tabs>
        <w:spacing w:after="0" w:line="240" w:lineRule="auto"/>
        <w:ind w:hanging="720"/>
        <w:jc w:val="both"/>
        <w:rPr>
          <w:b/>
          <w:i/>
          <w:sz w:val="24"/>
          <w:szCs w:val="24"/>
        </w:rPr>
      </w:pPr>
    </w:p>
    <w:p w:rsidR="00890020" w:rsidRPr="00242D50" w:rsidRDefault="00890020" w:rsidP="00890020">
      <w:pPr>
        <w:pStyle w:val="Titre1"/>
        <w:tabs>
          <w:tab w:val="left" w:pos="709"/>
          <w:tab w:val="left" w:pos="8505"/>
        </w:tabs>
        <w:spacing w:before="0" w:line="240" w:lineRule="auto"/>
        <w:rPr>
          <w:rFonts w:asciiTheme="minorHAnsi" w:hAnsiTheme="minorHAnsi"/>
          <w:color w:val="auto"/>
          <w:sz w:val="24"/>
          <w:szCs w:val="24"/>
          <w:lang w:eastAsia="en-GB"/>
        </w:rPr>
      </w:pPr>
      <w:r w:rsidRPr="00242D50">
        <w:rPr>
          <w:rFonts w:asciiTheme="minorHAnsi" w:hAnsiTheme="minorHAnsi"/>
          <w:color w:val="auto"/>
          <w:sz w:val="24"/>
          <w:szCs w:val="24"/>
          <w:lang w:eastAsia="en-GB"/>
        </w:rPr>
        <w:t xml:space="preserve">3. </w:t>
      </w:r>
      <w:r w:rsidRPr="00242D50">
        <w:rPr>
          <w:rFonts w:asciiTheme="minorHAnsi" w:hAnsiTheme="minorHAnsi"/>
          <w:color w:val="auto"/>
          <w:sz w:val="24"/>
          <w:szCs w:val="24"/>
          <w:lang w:eastAsia="en-GB"/>
        </w:rPr>
        <w:tab/>
        <w:t>GAPS IDENTIFIED IN THE COUNTRY CASE STUDIES</w:t>
      </w:r>
      <w:r w:rsidRPr="00242D50">
        <w:rPr>
          <w:rFonts w:asciiTheme="minorHAnsi" w:hAnsiTheme="minorHAnsi"/>
          <w:color w:val="auto"/>
          <w:sz w:val="24"/>
          <w:szCs w:val="24"/>
          <w:lang w:eastAsia="en-GB"/>
        </w:rPr>
        <w:tab/>
        <w:t>16</w:t>
      </w:r>
    </w:p>
    <w:p w:rsidR="00890020" w:rsidRPr="00242D50" w:rsidRDefault="00890020" w:rsidP="00890020">
      <w:pPr>
        <w:tabs>
          <w:tab w:val="left" w:pos="709"/>
          <w:tab w:val="left" w:pos="8505"/>
        </w:tabs>
        <w:spacing w:after="0"/>
        <w:rPr>
          <w:sz w:val="24"/>
          <w:szCs w:val="24"/>
          <w:lang w:eastAsia="en-GB"/>
        </w:rPr>
      </w:pPr>
    </w:p>
    <w:p w:rsidR="00890020" w:rsidRPr="00242D50" w:rsidRDefault="00890020" w:rsidP="00622218">
      <w:pPr>
        <w:pStyle w:val="Titre2"/>
        <w:numPr>
          <w:ilvl w:val="1"/>
          <w:numId w:val="21"/>
        </w:numPr>
        <w:tabs>
          <w:tab w:val="left" w:pos="709"/>
          <w:tab w:val="left" w:pos="8505"/>
        </w:tabs>
        <w:spacing w:before="0" w:line="240" w:lineRule="auto"/>
        <w:rPr>
          <w:rFonts w:asciiTheme="minorHAnsi" w:hAnsiTheme="minorHAnsi"/>
          <w:color w:val="auto"/>
          <w:sz w:val="24"/>
          <w:szCs w:val="24"/>
          <w:lang w:eastAsia="en-GB"/>
        </w:rPr>
      </w:pPr>
      <w:r w:rsidRPr="00242D50">
        <w:rPr>
          <w:rFonts w:asciiTheme="minorHAnsi" w:hAnsiTheme="minorHAnsi"/>
          <w:color w:val="auto"/>
          <w:sz w:val="24"/>
          <w:szCs w:val="24"/>
          <w:lang w:eastAsia="en-GB"/>
        </w:rPr>
        <w:t>Summary across the Fact Sheet categories</w:t>
      </w:r>
      <w:r w:rsidRPr="00242D50">
        <w:rPr>
          <w:rFonts w:asciiTheme="minorHAnsi" w:hAnsiTheme="minorHAnsi"/>
          <w:color w:val="auto"/>
          <w:sz w:val="24"/>
          <w:szCs w:val="24"/>
          <w:lang w:eastAsia="en-GB"/>
        </w:rPr>
        <w:tab/>
        <w:t>16</w:t>
      </w:r>
    </w:p>
    <w:p w:rsidR="00890020" w:rsidRPr="00242D50" w:rsidRDefault="00890020" w:rsidP="00622218">
      <w:pPr>
        <w:pStyle w:val="Titre2"/>
        <w:numPr>
          <w:ilvl w:val="1"/>
          <w:numId w:val="21"/>
        </w:numPr>
        <w:tabs>
          <w:tab w:val="left" w:pos="709"/>
          <w:tab w:val="left" w:pos="8505"/>
        </w:tabs>
        <w:spacing w:before="0" w:line="240" w:lineRule="auto"/>
        <w:rPr>
          <w:rFonts w:asciiTheme="minorHAnsi" w:hAnsiTheme="minorHAnsi"/>
          <w:color w:val="auto"/>
          <w:sz w:val="24"/>
          <w:szCs w:val="24"/>
          <w:lang w:eastAsia="en-GB"/>
        </w:rPr>
      </w:pPr>
      <w:r w:rsidRPr="00242D50">
        <w:rPr>
          <w:rFonts w:asciiTheme="minorHAnsi" w:hAnsiTheme="minorHAnsi"/>
          <w:color w:val="auto"/>
          <w:sz w:val="24"/>
          <w:szCs w:val="24"/>
        </w:rPr>
        <w:t>Conclusions</w:t>
      </w:r>
      <w:r w:rsidRPr="00242D50">
        <w:rPr>
          <w:rFonts w:asciiTheme="minorHAnsi" w:hAnsiTheme="minorHAnsi"/>
          <w:color w:val="auto"/>
          <w:sz w:val="24"/>
          <w:szCs w:val="24"/>
        </w:rPr>
        <w:tab/>
        <w:t>16</w:t>
      </w:r>
    </w:p>
    <w:p w:rsidR="00890020" w:rsidRPr="00242D50" w:rsidRDefault="00890020" w:rsidP="00890020">
      <w:pPr>
        <w:tabs>
          <w:tab w:val="left" w:pos="709"/>
          <w:tab w:val="left" w:pos="8505"/>
        </w:tabs>
        <w:spacing w:line="240" w:lineRule="auto"/>
        <w:ind w:hanging="720"/>
        <w:rPr>
          <w:b/>
          <w:sz w:val="24"/>
          <w:szCs w:val="24"/>
        </w:rPr>
      </w:pPr>
    </w:p>
    <w:p w:rsidR="00890020" w:rsidRPr="00242D50" w:rsidRDefault="00890020" w:rsidP="00890020">
      <w:pPr>
        <w:pStyle w:val="Titre1"/>
        <w:tabs>
          <w:tab w:val="left" w:pos="709"/>
          <w:tab w:val="left" w:pos="8505"/>
        </w:tabs>
        <w:spacing w:before="0" w:line="240" w:lineRule="auto"/>
        <w:rPr>
          <w:rFonts w:asciiTheme="minorHAnsi" w:hAnsiTheme="minorHAnsi"/>
          <w:color w:val="auto"/>
          <w:sz w:val="24"/>
          <w:szCs w:val="24"/>
        </w:rPr>
      </w:pPr>
      <w:r w:rsidRPr="00242D50">
        <w:rPr>
          <w:rFonts w:asciiTheme="minorHAnsi" w:hAnsiTheme="minorHAnsi"/>
          <w:color w:val="auto"/>
          <w:sz w:val="24"/>
          <w:szCs w:val="24"/>
        </w:rPr>
        <w:t xml:space="preserve">4. </w:t>
      </w:r>
      <w:r w:rsidRPr="00242D50">
        <w:rPr>
          <w:rFonts w:asciiTheme="minorHAnsi" w:hAnsiTheme="minorHAnsi"/>
          <w:color w:val="auto"/>
          <w:sz w:val="24"/>
          <w:szCs w:val="24"/>
        </w:rPr>
        <w:tab/>
        <w:t>GAPS AND RECOMMENDATIONS BASED ON TASK 2</w:t>
      </w:r>
      <w:r w:rsidRPr="00242D50">
        <w:rPr>
          <w:rFonts w:asciiTheme="minorHAnsi" w:hAnsiTheme="minorHAnsi"/>
          <w:color w:val="auto"/>
          <w:sz w:val="24"/>
          <w:szCs w:val="24"/>
        </w:rPr>
        <w:tab/>
        <w:t>17</w:t>
      </w:r>
    </w:p>
    <w:p w:rsidR="00890020" w:rsidRPr="00242D50" w:rsidRDefault="00890020" w:rsidP="00890020">
      <w:pPr>
        <w:pStyle w:val="Titre2"/>
        <w:tabs>
          <w:tab w:val="left" w:pos="709"/>
          <w:tab w:val="left" w:pos="8505"/>
        </w:tabs>
        <w:spacing w:before="0" w:line="240" w:lineRule="auto"/>
        <w:rPr>
          <w:rFonts w:asciiTheme="minorHAnsi" w:hAnsiTheme="minorHAnsi"/>
          <w:color w:val="auto"/>
          <w:sz w:val="24"/>
          <w:szCs w:val="24"/>
        </w:rPr>
      </w:pPr>
    </w:p>
    <w:p w:rsidR="00890020" w:rsidRPr="00242D50" w:rsidRDefault="00890020" w:rsidP="00890020">
      <w:pPr>
        <w:pStyle w:val="Titre2"/>
        <w:tabs>
          <w:tab w:val="left" w:pos="709"/>
          <w:tab w:val="left" w:pos="8505"/>
        </w:tabs>
        <w:spacing w:before="0" w:line="240" w:lineRule="auto"/>
        <w:rPr>
          <w:rFonts w:asciiTheme="minorHAnsi" w:hAnsiTheme="minorHAnsi"/>
          <w:color w:val="auto"/>
          <w:sz w:val="24"/>
          <w:szCs w:val="24"/>
        </w:rPr>
      </w:pPr>
      <w:r w:rsidRPr="00242D50">
        <w:rPr>
          <w:rFonts w:asciiTheme="minorHAnsi" w:hAnsiTheme="minorHAnsi"/>
          <w:color w:val="auto"/>
          <w:sz w:val="24"/>
          <w:szCs w:val="24"/>
        </w:rPr>
        <w:t>4.1</w:t>
      </w:r>
      <w:r w:rsidRPr="00242D50">
        <w:rPr>
          <w:rFonts w:asciiTheme="minorHAnsi" w:hAnsiTheme="minorHAnsi"/>
          <w:color w:val="auto"/>
          <w:sz w:val="24"/>
          <w:szCs w:val="24"/>
        </w:rPr>
        <w:tab/>
        <w:t>Countries in the case studies</w:t>
      </w:r>
      <w:r w:rsidRPr="00242D50">
        <w:rPr>
          <w:rFonts w:asciiTheme="minorHAnsi" w:hAnsiTheme="minorHAnsi"/>
          <w:color w:val="auto"/>
          <w:sz w:val="24"/>
          <w:szCs w:val="24"/>
        </w:rPr>
        <w:tab/>
        <w:t>17</w:t>
      </w:r>
    </w:p>
    <w:p w:rsidR="00890020" w:rsidRPr="00242D50" w:rsidRDefault="00890020" w:rsidP="00890020">
      <w:pPr>
        <w:pStyle w:val="Titre2"/>
        <w:tabs>
          <w:tab w:val="left" w:pos="709"/>
          <w:tab w:val="left" w:pos="8505"/>
        </w:tabs>
        <w:spacing w:before="0" w:line="240" w:lineRule="auto"/>
        <w:rPr>
          <w:rFonts w:asciiTheme="minorHAnsi" w:hAnsiTheme="minorHAnsi"/>
          <w:color w:val="auto"/>
          <w:sz w:val="24"/>
          <w:szCs w:val="24"/>
        </w:rPr>
      </w:pPr>
      <w:r w:rsidRPr="00242D50">
        <w:rPr>
          <w:rFonts w:asciiTheme="minorHAnsi" w:hAnsiTheme="minorHAnsi"/>
          <w:color w:val="auto"/>
          <w:sz w:val="24"/>
          <w:szCs w:val="24"/>
        </w:rPr>
        <w:t>4.2</w:t>
      </w:r>
      <w:r w:rsidRPr="00242D50">
        <w:rPr>
          <w:rFonts w:asciiTheme="minorHAnsi" w:hAnsiTheme="minorHAnsi"/>
          <w:color w:val="auto"/>
          <w:sz w:val="24"/>
          <w:szCs w:val="24"/>
        </w:rPr>
        <w:tab/>
        <w:t>General</w:t>
      </w:r>
      <w:r w:rsidRPr="00242D50">
        <w:rPr>
          <w:rFonts w:asciiTheme="minorHAnsi" w:hAnsiTheme="minorHAnsi"/>
          <w:color w:val="auto"/>
          <w:sz w:val="24"/>
          <w:szCs w:val="24"/>
        </w:rPr>
        <w:tab/>
        <w:t>17</w:t>
      </w:r>
    </w:p>
    <w:p w:rsidR="00890020" w:rsidRPr="00242D50" w:rsidRDefault="00890020" w:rsidP="00890020">
      <w:pPr>
        <w:pStyle w:val="Titre2"/>
        <w:tabs>
          <w:tab w:val="left" w:pos="709"/>
          <w:tab w:val="left" w:pos="8505"/>
        </w:tabs>
        <w:spacing w:before="0" w:line="240" w:lineRule="auto"/>
        <w:rPr>
          <w:rFonts w:asciiTheme="minorHAnsi" w:hAnsiTheme="minorHAnsi"/>
          <w:color w:val="auto"/>
          <w:sz w:val="24"/>
          <w:szCs w:val="24"/>
        </w:rPr>
      </w:pPr>
      <w:r w:rsidRPr="00242D50">
        <w:rPr>
          <w:rFonts w:asciiTheme="minorHAnsi" w:hAnsiTheme="minorHAnsi"/>
          <w:color w:val="auto"/>
          <w:sz w:val="24"/>
          <w:szCs w:val="24"/>
        </w:rPr>
        <w:t>4.3</w:t>
      </w:r>
      <w:r w:rsidRPr="00242D50">
        <w:rPr>
          <w:rFonts w:asciiTheme="minorHAnsi" w:hAnsiTheme="minorHAnsi"/>
          <w:color w:val="auto"/>
          <w:sz w:val="24"/>
          <w:szCs w:val="24"/>
        </w:rPr>
        <w:tab/>
        <w:t>Representativeness of indicator species for ecosystems</w:t>
      </w:r>
      <w:r w:rsidRPr="00242D50">
        <w:rPr>
          <w:rFonts w:asciiTheme="minorHAnsi" w:hAnsiTheme="minorHAnsi"/>
          <w:color w:val="auto"/>
          <w:sz w:val="24"/>
          <w:szCs w:val="24"/>
        </w:rPr>
        <w:tab/>
        <w:t>18</w:t>
      </w:r>
    </w:p>
    <w:p w:rsidR="00890020" w:rsidRPr="00242D50" w:rsidRDefault="00890020" w:rsidP="00890020">
      <w:pPr>
        <w:pStyle w:val="Titre2"/>
        <w:tabs>
          <w:tab w:val="left" w:pos="709"/>
          <w:tab w:val="left" w:pos="8505"/>
        </w:tabs>
        <w:spacing w:before="0" w:line="240" w:lineRule="auto"/>
        <w:rPr>
          <w:rFonts w:asciiTheme="minorHAnsi" w:hAnsiTheme="minorHAnsi"/>
          <w:color w:val="auto"/>
          <w:sz w:val="24"/>
          <w:szCs w:val="24"/>
        </w:rPr>
      </w:pPr>
      <w:r w:rsidRPr="00242D50">
        <w:rPr>
          <w:rFonts w:asciiTheme="minorHAnsi" w:hAnsiTheme="minorHAnsi"/>
          <w:color w:val="auto"/>
          <w:sz w:val="24"/>
          <w:szCs w:val="24"/>
        </w:rPr>
        <w:t>4.4</w:t>
      </w:r>
      <w:r w:rsidRPr="00242D50">
        <w:rPr>
          <w:rFonts w:asciiTheme="minorHAnsi" w:hAnsiTheme="minorHAnsi"/>
          <w:color w:val="auto"/>
          <w:sz w:val="24"/>
          <w:szCs w:val="24"/>
        </w:rPr>
        <w:tab/>
        <w:t>Recommendations</w:t>
      </w:r>
      <w:r w:rsidRPr="00242D50">
        <w:rPr>
          <w:rFonts w:asciiTheme="minorHAnsi" w:hAnsiTheme="minorHAnsi"/>
          <w:color w:val="auto"/>
          <w:sz w:val="24"/>
          <w:szCs w:val="24"/>
        </w:rPr>
        <w:tab/>
        <w:t>19</w:t>
      </w:r>
    </w:p>
    <w:p w:rsidR="00890020" w:rsidRPr="00242D50" w:rsidRDefault="00890020" w:rsidP="00890020">
      <w:pPr>
        <w:rPr>
          <w:b/>
          <w:color w:val="4F81BD" w:themeColor="accent1"/>
          <w:sz w:val="24"/>
          <w:szCs w:val="24"/>
        </w:rPr>
      </w:pPr>
    </w:p>
    <w:p w:rsidR="00890020" w:rsidRPr="00242D50" w:rsidRDefault="00890020" w:rsidP="00890020">
      <w:pPr>
        <w:pStyle w:val="Titre1"/>
        <w:tabs>
          <w:tab w:val="left" w:pos="709"/>
          <w:tab w:val="left" w:pos="8505"/>
        </w:tabs>
        <w:spacing w:before="0" w:line="240" w:lineRule="auto"/>
        <w:rPr>
          <w:rFonts w:asciiTheme="minorHAnsi" w:hAnsiTheme="minorHAnsi"/>
          <w:color w:val="auto"/>
          <w:sz w:val="24"/>
          <w:szCs w:val="24"/>
        </w:rPr>
      </w:pPr>
      <w:r w:rsidRPr="00242D50">
        <w:rPr>
          <w:rFonts w:asciiTheme="minorHAnsi" w:hAnsiTheme="minorHAnsi"/>
          <w:color w:val="auto"/>
          <w:sz w:val="24"/>
          <w:szCs w:val="24"/>
        </w:rPr>
        <w:t>REFERENCES</w:t>
      </w:r>
      <w:r w:rsidRPr="00242D50">
        <w:rPr>
          <w:rFonts w:asciiTheme="minorHAnsi" w:hAnsiTheme="minorHAnsi"/>
          <w:color w:val="auto"/>
          <w:sz w:val="24"/>
          <w:szCs w:val="24"/>
        </w:rPr>
        <w:tab/>
        <w:t>20</w:t>
      </w:r>
    </w:p>
    <w:p w:rsidR="00890020" w:rsidRPr="00242D50" w:rsidRDefault="00890020" w:rsidP="00890020">
      <w:pPr>
        <w:rPr>
          <w:rFonts w:eastAsiaTheme="majorEastAsia" w:cstheme="majorBidi"/>
          <w:b/>
          <w:bCs/>
          <w:sz w:val="24"/>
          <w:szCs w:val="24"/>
        </w:rPr>
      </w:pPr>
      <w:r w:rsidRPr="00242D50">
        <w:rPr>
          <w:sz w:val="24"/>
          <w:szCs w:val="24"/>
        </w:rPr>
        <w:br w:type="page"/>
      </w:r>
    </w:p>
    <w:p w:rsidR="00890020" w:rsidRPr="000B381C" w:rsidRDefault="00890020" w:rsidP="000B381C">
      <w:pPr>
        <w:shd w:val="clear" w:color="auto" w:fill="DBE5F1" w:themeFill="accent1" w:themeFillTint="33"/>
        <w:rPr>
          <w:b/>
          <w:sz w:val="40"/>
          <w:szCs w:val="40"/>
        </w:rPr>
      </w:pPr>
      <w:r w:rsidRPr="000B381C">
        <w:rPr>
          <w:b/>
          <w:sz w:val="40"/>
          <w:szCs w:val="40"/>
        </w:rPr>
        <w:lastRenderedPageBreak/>
        <w:t xml:space="preserve">PART 5: </w:t>
      </w:r>
    </w:p>
    <w:p w:rsidR="00890020" w:rsidRPr="003A41E6" w:rsidRDefault="00890020" w:rsidP="000B381C">
      <w:pPr>
        <w:shd w:val="clear" w:color="auto" w:fill="DBE5F1" w:themeFill="accent1" w:themeFillTint="33"/>
        <w:rPr>
          <w:b/>
          <w:sz w:val="40"/>
          <w:szCs w:val="40"/>
        </w:rPr>
      </w:pPr>
      <w:r w:rsidRPr="000B381C">
        <w:rPr>
          <w:b/>
          <w:sz w:val="40"/>
          <w:szCs w:val="40"/>
        </w:rPr>
        <w:t>Task 4 Recommendations on mapping approaches</w:t>
      </w:r>
    </w:p>
    <w:p w:rsidR="00890020" w:rsidRPr="00044684" w:rsidRDefault="00890020" w:rsidP="00890020">
      <w:pPr>
        <w:spacing w:after="0" w:line="240" w:lineRule="auto"/>
        <w:rPr>
          <w:b/>
          <w:sz w:val="24"/>
          <w:szCs w:val="24"/>
        </w:rPr>
      </w:pPr>
      <w:r w:rsidRPr="00044684">
        <w:rPr>
          <w:b/>
          <w:sz w:val="24"/>
          <w:szCs w:val="24"/>
        </w:rPr>
        <w:t>Author:</w:t>
      </w:r>
    </w:p>
    <w:p w:rsidR="00890020" w:rsidRPr="00044684" w:rsidRDefault="00890020" w:rsidP="00890020">
      <w:pPr>
        <w:spacing w:after="0" w:line="240" w:lineRule="auto"/>
        <w:rPr>
          <w:b/>
          <w:sz w:val="24"/>
          <w:szCs w:val="24"/>
        </w:rPr>
      </w:pPr>
      <w:r w:rsidRPr="00044684">
        <w:rPr>
          <w:b/>
          <w:sz w:val="24"/>
          <w:szCs w:val="24"/>
        </w:rPr>
        <w:t xml:space="preserve">L.C. Braat, </w:t>
      </w:r>
    </w:p>
    <w:p w:rsidR="00890020" w:rsidRPr="00044684" w:rsidRDefault="00890020" w:rsidP="00890020">
      <w:pPr>
        <w:spacing w:after="0" w:line="240" w:lineRule="auto"/>
        <w:rPr>
          <w:rFonts w:ascii="Calibri" w:hAnsi="Calibri"/>
          <w:b/>
          <w:sz w:val="24"/>
          <w:szCs w:val="24"/>
          <w:lang w:val="en-US"/>
        </w:rPr>
      </w:pPr>
      <w:r w:rsidRPr="00044684">
        <w:rPr>
          <w:b/>
          <w:sz w:val="24"/>
          <w:szCs w:val="24"/>
        </w:rPr>
        <w:t>with contributions from the MESEU project team</w:t>
      </w:r>
    </w:p>
    <w:p w:rsidR="00890020" w:rsidRDefault="00890020" w:rsidP="00890020">
      <w:pPr>
        <w:rPr>
          <w:b/>
          <w:sz w:val="24"/>
          <w:szCs w:val="24"/>
          <w:lang w:val="en-US"/>
        </w:rPr>
      </w:pPr>
    </w:p>
    <w:p w:rsidR="00890020" w:rsidRDefault="00890020" w:rsidP="00890020">
      <w:pPr>
        <w:rPr>
          <w:b/>
          <w:sz w:val="36"/>
          <w:szCs w:val="36"/>
        </w:rPr>
      </w:pPr>
      <w:r w:rsidRPr="0004316A">
        <w:rPr>
          <w:b/>
          <w:sz w:val="36"/>
          <w:szCs w:val="36"/>
        </w:rPr>
        <w:t>TABLE OF CONTENTS</w:t>
      </w:r>
    </w:p>
    <w:p w:rsidR="00890020" w:rsidRPr="00044684" w:rsidRDefault="00890020" w:rsidP="00622218">
      <w:pPr>
        <w:pStyle w:val="Paragraphedeliste"/>
        <w:numPr>
          <w:ilvl w:val="0"/>
          <w:numId w:val="22"/>
        </w:numPr>
        <w:tabs>
          <w:tab w:val="left" w:pos="8505"/>
        </w:tabs>
        <w:spacing w:after="0" w:line="240" w:lineRule="auto"/>
        <w:ind w:hanging="720"/>
        <w:jc w:val="both"/>
        <w:rPr>
          <w:rFonts w:cstheme="minorHAnsi"/>
          <w:b/>
          <w:sz w:val="24"/>
          <w:szCs w:val="24"/>
        </w:rPr>
      </w:pPr>
      <w:r w:rsidRPr="00044684">
        <w:rPr>
          <w:rFonts w:cstheme="minorHAnsi"/>
          <w:b/>
          <w:sz w:val="24"/>
          <w:szCs w:val="24"/>
        </w:rPr>
        <w:t>INTRODUCTION</w:t>
      </w:r>
      <w:r w:rsidRPr="00044684">
        <w:rPr>
          <w:rFonts w:cstheme="minorHAnsi"/>
          <w:b/>
          <w:sz w:val="24"/>
          <w:szCs w:val="24"/>
        </w:rPr>
        <w:tab/>
        <w:t>4</w:t>
      </w:r>
    </w:p>
    <w:p w:rsidR="00890020" w:rsidRPr="00044684" w:rsidRDefault="00890020" w:rsidP="00890020">
      <w:pPr>
        <w:pStyle w:val="Paragraphedeliste"/>
        <w:tabs>
          <w:tab w:val="left" w:pos="8505"/>
        </w:tabs>
        <w:spacing w:after="0" w:line="240" w:lineRule="auto"/>
        <w:jc w:val="both"/>
        <w:rPr>
          <w:rFonts w:cstheme="minorHAnsi"/>
          <w:b/>
          <w:sz w:val="24"/>
          <w:szCs w:val="24"/>
        </w:rPr>
      </w:pPr>
    </w:p>
    <w:p w:rsidR="00890020" w:rsidRPr="00044684" w:rsidRDefault="00890020" w:rsidP="00622218">
      <w:pPr>
        <w:pStyle w:val="Titre2"/>
        <w:numPr>
          <w:ilvl w:val="0"/>
          <w:numId w:val="22"/>
        </w:numPr>
        <w:tabs>
          <w:tab w:val="left" w:pos="8505"/>
        </w:tabs>
        <w:spacing w:before="0" w:line="240" w:lineRule="auto"/>
        <w:ind w:hanging="720"/>
        <w:rPr>
          <w:rFonts w:asciiTheme="minorHAnsi" w:eastAsia="PMingLiU" w:hAnsiTheme="minorHAnsi"/>
          <w:color w:val="auto"/>
          <w:sz w:val="24"/>
          <w:szCs w:val="24"/>
          <w:lang w:eastAsia="zh-TW"/>
        </w:rPr>
      </w:pPr>
      <w:r w:rsidRPr="00044684">
        <w:rPr>
          <w:rFonts w:asciiTheme="minorHAnsi" w:eastAsia="PMingLiU" w:hAnsiTheme="minorHAnsi"/>
          <w:color w:val="auto"/>
          <w:sz w:val="24"/>
          <w:szCs w:val="24"/>
          <w:lang w:eastAsia="zh-TW"/>
        </w:rPr>
        <w:t xml:space="preserve">CONTEXT AND BACKGROUND </w:t>
      </w:r>
      <w:r w:rsidRPr="00044684">
        <w:rPr>
          <w:rFonts w:asciiTheme="minorHAnsi" w:eastAsia="PMingLiU" w:hAnsiTheme="minorHAnsi"/>
          <w:color w:val="auto"/>
          <w:sz w:val="24"/>
          <w:szCs w:val="24"/>
          <w:lang w:eastAsia="zh-TW"/>
        </w:rPr>
        <w:tab/>
        <w:t>6</w:t>
      </w:r>
    </w:p>
    <w:p w:rsidR="00890020" w:rsidRPr="00044684" w:rsidRDefault="00890020" w:rsidP="00622218">
      <w:pPr>
        <w:pStyle w:val="Titre2"/>
        <w:numPr>
          <w:ilvl w:val="1"/>
          <w:numId w:val="23"/>
        </w:numPr>
        <w:tabs>
          <w:tab w:val="left" w:pos="8505"/>
        </w:tabs>
        <w:spacing w:before="0" w:line="240" w:lineRule="auto"/>
        <w:rPr>
          <w:rFonts w:asciiTheme="minorHAnsi" w:eastAsia="PMingLiU" w:hAnsiTheme="minorHAnsi"/>
          <w:color w:val="auto"/>
          <w:sz w:val="24"/>
          <w:szCs w:val="24"/>
          <w:lang w:eastAsia="zh-TW"/>
        </w:rPr>
      </w:pPr>
      <w:r w:rsidRPr="00044684">
        <w:rPr>
          <w:rFonts w:asciiTheme="minorHAnsi" w:eastAsia="PMingLiU" w:hAnsiTheme="minorHAnsi"/>
          <w:color w:val="auto"/>
          <w:sz w:val="24"/>
          <w:szCs w:val="24"/>
          <w:lang w:eastAsia="zh-TW"/>
        </w:rPr>
        <w:t>Introduction</w:t>
      </w:r>
      <w:r w:rsidRPr="00044684">
        <w:rPr>
          <w:rFonts w:asciiTheme="minorHAnsi" w:eastAsia="PMingLiU" w:hAnsiTheme="minorHAnsi"/>
          <w:color w:val="auto"/>
          <w:sz w:val="24"/>
          <w:szCs w:val="24"/>
          <w:lang w:eastAsia="zh-TW"/>
        </w:rPr>
        <w:tab/>
        <w:t>6</w:t>
      </w:r>
    </w:p>
    <w:p w:rsidR="00890020" w:rsidRPr="00044684" w:rsidRDefault="00890020" w:rsidP="00622218">
      <w:pPr>
        <w:pStyle w:val="Titre2"/>
        <w:numPr>
          <w:ilvl w:val="1"/>
          <w:numId w:val="23"/>
        </w:numPr>
        <w:tabs>
          <w:tab w:val="left" w:pos="8505"/>
        </w:tabs>
        <w:spacing w:before="0" w:line="240" w:lineRule="auto"/>
        <w:rPr>
          <w:rFonts w:asciiTheme="minorHAnsi" w:hAnsiTheme="minorHAnsi"/>
          <w:color w:val="auto"/>
          <w:sz w:val="24"/>
          <w:szCs w:val="24"/>
        </w:rPr>
      </w:pPr>
      <w:r w:rsidRPr="00044684">
        <w:rPr>
          <w:rFonts w:asciiTheme="minorHAnsi" w:hAnsiTheme="minorHAnsi"/>
          <w:color w:val="auto"/>
          <w:sz w:val="24"/>
          <w:szCs w:val="24"/>
        </w:rPr>
        <w:t>Guidance Manual examples</w:t>
      </w:r>
      <w:r w:rsidRPr="00044684">
        <w:rPr>
          <w:rFonts w:asciiTheme="minorHAnsi" w:hAnsiTheme="minorHAnsi"/>
          <w:color w:val="auto"/>
          <w:sz w:val="24"/>
          <w:szCs w:val="24"/>
        </w:rPr>
        <w:tab/>
        <w:t>7</w:t>
      </w:r>
    </w:p>
    <w:p w:rsidR="00890020" w:rsidRPr="00044684" w:rsidRDefault="00890020" w:rsidP="00890020">
      <w:pPr>
        <w:tabs>
          <w:tab w:val="left" w:pos="8505"/>
        </w:tabs>
        <w:rPr>
          <w:sz w:val="24"/>
          <w:szCs w:val="24"/>
          <w:lang w:eastAsia="zh-TW"/>
        </w:rPr>
      </w:pPr>
    </w:p>
    <w:p w:rsidR="00890020" w:rsidRPr="00044684" w:rsidRDefault="00890020" w:rsidP="00622218">
      <w:pPr>
        <w:pStyle w:val="Titre2"/>
        <w:numPr>
          <w:ilvl w:val="0"/>
          <w:numId w:val="23"/>
        </w:numPr>
        <w:tabs>
          <w:tab w:val="left" w:pos="8505"/>
        </w:tabs>
        <w:spacing w:before="0" w:line="240" w:lineRule="auto"/>
        <w:ind w:left="709" w:hanging="709"/>
        <w:rPr>
          <w:rFonts w:asciiTheme="minorHAnsi" w:hAnsiTheme="minorHAnsi"/>
          <w:color w:val="auto"/>
          <w:sz w:val="24"/>
          <w:szCs w:val="24"/>
        </w:rPr>
      </w:pPr>
      <w:r w:rsidRPr="00044684">
        <w:rPr>
          <w:rFonts w:asciiTheme="minorHAnsi" w:hAnsiTheme="minorHAnsi"/>
          <w:color w:val="auto"/>
          <w:sz w:val="24"/>
          <w:szCs w:val="24"/>
        </w:rPr>
        <w:t>METHODOLOGY: A FLOW CHART APPROACH</w:t>
      </w:r>
      <w:r w:rsidRPr="00044684">
        <w:rPr>
          <w:rFonts w:asciiTheme="minorHAnsi" w:hAnsiTheme="minorHAnsi"/>
          <w:color w:val="auto"/>
          <w:sz w:val="24"/>
          <w:szCs w:val="24"/>
        </w:rPr>
        <w:tab/>
        <w:t>10</w:t>
      </w:r>
    </w:p>
    <w:p w:rsidR="00890020" w:rsidRPr="00044684" w:rsidRDefault="00890020" w:rsidP="00622218">
      <w:pPr>
        <w:pStyle w:val="Titre2"/>
        <w:numPr>
          <w:ilvl w:val="1"/>
          <w:numId w:val="23"/>
        </w:numPr>
        <w:tabs>
          <w:tab w:val="left" w:pos="8505"/>
        </w:tabs>
        <w:spacing w:before="0" w:line="240" w:lineRule="auto"/>
        <w:rPr>
          <w:rFonts w:asciiTheme="minorHAnsi" w:hAnsiTheme="minorHAnsi"/>
          <w:color w:val="auto"/>
          <w:sz w:val="24"/>
          <w:szCs w:val="24"/>
        </w:rPr>
      </w:pPr>
      <w:r w:rsidRPr="00044684">
        <w:rPr>
          <w:rFonts w:asciiTheme="minorHAnsi" w:hAnsiTheme="minorHAnsi"/>
          <w:color w:val="auto"/>
          <w:sz w:val="24"/>
          <w:szCs w:val="24"/>
          <w:lang w:eastAsia="en-GB"/>
        </w:rPr>
        <w:t>Introduction</w:t>
      </w:r>
      <w:r w:rsidRPr="00044684">
        <w:rPr>
          <w:rFonts w:asciiTheme="minorHAnsi" w:hAnsiTheme="minorHAnsi"/>
          <w:color w:val="auto"/>
          <w:sz w:val="24"/>
          <w:szCs w:val="24"/>
          <w:lang w:eastAsia="en-GB"/>
        </w:rPr>
        <w:tab/>
        <w:t>10</w:t>
      </w:r>
    </w:p>
    <w:p w:rsidR="00890020" w:rsidRPr="00044684" w:rsidRDefault="00890020" w:rsidP="00622218">
      <w:pPr>
        <w:pStyle w:val="Paragraphedeliste"/>
        <w:numPr>
          <w:ilvl w:val="1"/>
          <w:numId w:val="23"/>
        </w:numPr>
        <w:tabs>
          <w:tab w:val="left" w:pos="8505"/>
        </w:tabs>
        <w:spacing w:after="0" w:line="240" w:lineRule="auto"/>
        <w:rPr>
          <w:b/>
          <w:sz w:val="24"/>
          <w:szCs w:val="24"/>
          <w:lang w:eastAsia="en-GB"/>
        </w:rPr>
      </w:pPr>
      <w:r w:rsidRPr="00044684">
        <w:rPr>
          <w:b/>
          <w:sz w:val="24"/>
          <w:szCs w:val="24"/>
          <w:lang w:eastAsia="en-GB"/>
        </w:rPr>
        <w:t>Start</w:t>
      </w:r>
      <w:r w:rsidRPr="00044684">
        <w:rPr>
          <w:b/>
          <w:sz w:val="24"/>
          <w:szCs w:val="24"/>
          <w:lang w:eastAsia="en-GB"/>
        </w:rPr>
        <w:tab/>
        <w:t>11</w:t>
      </w:r>
    </w:p>
    <w:p w:rsidR="00890020" w:rsidRPr="00044684" w:rsidRDefault="00890020" w:rsidP="00622218">
      <w:pPr>
        <w:pStyle w:val="Paragraphedeliste"/>
        <w:numPr>
          <w:ilvl w:val="1"/>
          <w:numId w:val="23"/>
        </w:numPr>
        <w:tabs>
          <w:tab w:val="left" w:pos="8505"/>
        </w:tabs>
        <w:spacing w:after="0" w:line="240" w:lineRule="auto"/>
        <w:rPr>
          <w:b/>
          <w:sz w:val="24"/>
          <w:szCs w:val="24"/>
          <w:lang w:eastAsia="en-GB"/>
        </w:rPr>
      </w:pPr>
      <w:r w:rsidRPr="00044684">
        <w:rPr>
          <w:b/>
          <w:sz w:val="24"/>
          <w:szCs w:val="24"/>
          <w:lang w:eastAsia="en-GB"/>
        </w:rPr>
        <w:t>The FLOW CHART steps</w:t>
      </w:r>
      <w:r w:rsidRPr="00044684">
        <w:rPr>
          <w:b/>
          <w:sz w:val="24"/>
          <w:szCs w:val="24"/>
          <w:lang w:eastAsia="en-GB"/>
        </w:rPr>
        <w:tab/>
        <w:t>12</w:t>
      </w:r>
    </w:p>
    <w:p w:rsidR="00890020" w:rsidRPr="00044684" w:rsidRDefault="00890020" w:rsidP="00890020">
      <w:pPr>
        <w:pStyle w:val="Paragraphedeliste"/>
        <w:tabs>
          <w:tab w:val="left" w:pos="8505"/>
        </w:tabs>
        <w:spacing w:after="0" w:line="240" w:lineRule="auto"/>
        <w:ind w:left="1440"/>
        <w:rPr>
          <w:b/>
          <w:sz w:val="24"/>
          <w:szCs w:val="24"/>
          <w:lang w:eastAsia="en-GB"/>
        </w:rPr>
      </w:pPr>
    </w:p>
    <w:p w:rsidR="00890020" w:rsidRPr="00044684" w:rsidRDefault="00890020" w:rsidP="00622218">
      <w:pPr>
        <w:pStyle w:val="Paragraphedeliste"/>
        <w:numPr>
          <w:ilvl w:val="0"/>
          <w:numId w:val="23"/>
        </w:numPr>
        <w:tabs>
          <w:tab w:val="left" w:pos="8505"/>
        </w:tabs>
        <w:spacing w:after="0" w:line="240" w:lineRule="auto"/>
        <w:ind w:left="709" w:hanging="709"/>
        <w:rPr>
          <w:b/>
          <w:sz w:val="24"/>
          <w:szCs w:val="24"/>
          <w:lang w:eastAsia="en-GB"/>
        </w:rPr>
      </w:pPr>
      <w:r w:rsidRPr="00044684">
        <w:rPr>
          <w:b/>
          <w:sz w:val="24"/>
          <w:szCs w:val="24"/>
          <w:lang w:eastAsia="en-GB"/>
        </w:rPr>
        <w:t>CONCLUSION</w:t>
      </w:r>
      <w:r w:rsidRPr="00044684">
        <w:rPr>
          <w:b/>
          <w:sz w:val="24"/>
          <w:szCs w:val="24"/>
          <w:lang w:eastAsia="en-GB"/>
        </w:rPr>
        <w:tab/>
        <w:t>36</w:t>
      </w:r>
    </w:p>
    <w:p w:rsidR="00890020" w:rsidRPr="00044684" w:rsidRDefault="00890020" w:rsidP="00890020">
      <w:pPr>
        <w:tabs>
          <w:tab w:val="left" w:pos="8505"/>
        </w:tabs>
        <w:spacing w:after="0" w:line="240" w:lineRule="auto"/>
        <w:rPr>
          <w:b/>
          <w:sz w:val="24"/>
          <w:szCs w:val="24"/>
          <w:lang w:eastAsia="en-GB"/>
        </w:rPr>
      </w:pPr>
    </w:p>
    <w:p w:rsidR="00890020" w:rsidRPr="00044684" w:rsidRDefault="00890020" w:rsidP="00890020">
      <w:pPr>
        <w:tabs>
          <w:tab w:val="left" w:pos="8505"/>
        </w:tabs>
        <w:spacing w:after="0" w:line="240" w:lineRule="auto"/>
        <w:rPr>
          <w:b/>
          <w:sz w:val="24"/>
          <w:szCs w:val="24"/>
          <w:lang w:eastAsia="en-GB"/>
        </w:rPr>
      </w:pPr>
      <w:r w:rsidRPr="00044684">
        <w:rPr>
          <w:b/>
          <w:sz w:val="24"/>
          <w:szCs w:val="24"/>
          <w:lang w:eastAsia="en-GB"/>
        </w:rPr>
        <w:t>REFERENCES</w:t>
      </w:r>
      <w:r w:rsidRPr="00044684">
        <w:rPr>
          <w:b/>
          <w:sz w:val="24"/>
          <w:szCs w:val="24"/>
          <w:lang w:eastAsia="en-GB"/>
        </w:rPr>
        <w:tab/>
        <w:t>37</w:t>
      </w:r>
    </w:p>
    <w:p w:rsidR="00890020" w:rsidRDefault="00890020" w:rsidP="000B381C">
      <w:pPr>
        <w:shd w:val="clear" w:color="auto" w:fill="DBE5F1" w:themeFill="accent1" w:themeFillTint="33"/>
        <w:rPr>
          <w:rFonts w:cstheme="minorHAnsi"/>
          <w:b/>
          <w:sz w:val="40"/>
          <w:szCs w:val="40"/>
        </w:rPr>
      </w:pPr>
      <w:r w:rsidRPr="00044684">
        <w:rPr>
          <w:sz w:val="24"/>
          <w:szCs w:val="24"/>
        </w:rPr>
        <w:br w:type="page"/>
      </w:r>
      <w:r w:rsidRPr="00ED425B">
        <w:rPr>
          <w:rFonts w:cstheme="minorHAnsi"/>
          <w:b/>
          <w:sz w:val="40"/>
          <w:szCs w:val="40"/>
        </w:rPr>
        <w:lastRenderedPageBreak/>
        <w:t>ANNEX 1: FACT SHEETSTASK 1-Text</w:t>
      </w:r>
    </w:p>
    <w:p w:rsidR="00890020" w:rsidRPr="00BA1A81" w:rsidRDefault="00890020" w:rsidP="00890020">
      <w:pPr>
        <w:rPr>
          <w:rFonts w:cstheme="minorHAnsi"/>
          <w:b/>
          <w:sz w:val="28"/>
          <w:szCs w:val="28"/>
        </w:rPr>
      </w:pPr>
      <w:r w:rsidRPr="00BA1A81">
        <w:rPr>
          <w:rFonts w:cstheme="minorHAnsi"/>
          <w:b/>
          <w:sz w:val="28"/>
          <w:szCs w:val="28"/>
        </w:rPr>
        <w:t>Country Cases:</w:t>
      </w:r>
    </w:p>
    <w:p w:rsidR="00890020" w:rsidRPr="00BA1A81" w:rsidRDefault="00890020" w:rsidP="00622218">
      <w:pPr>
        <w:pStyle w:val="Paragraphedeliste"/>
        <w:numPr>
          <w:ilvl w:val="0"/>
          <w:numId w:val="24"/>
        </w:numPr>
        <w:rPr>
          <w:rFonts w:cstheme="minorHAnsi"/>
          <w:b/>
          <w:sz w:val="28"/>
          <w:szCs w:val="28"/>
        </w:rPr>
      </w:pPr>
      <w:r w:rsidRPr="00BA1A81">
        <w:rPr>
          <w:rFonts w:cstheme="minorHAnsi"/>
          <w:b/>
          <w:sz w:val="28"/>
          <w:szCs w:val="28"/>
        </w:rPr>
        <w:t>UK</w:t>
      </w:r>
    </w:p>
    <w:p w:rsidR="00890020" w:rsidRPr="00BA1A81" w:rsidRDefault="00890020" w:rsidP="00622218">
      <w:pPr>
        <w:pStyle w:val="Paragraphedeliste"/>
        <w:numPr>
          <w:ilvl w:val="0"/>
          <w:numId w:val="24"/>
        </w:numPr>
        <w:rPr>
          <w:rFonts w:cstheme="minorHAnsi"/>
          <w:b/>
          <w:sz w:val="28"/>
          <w:szCs w:val="28"/>
        </w:rPr>
      </w:pPr>
      <w:r w:rsidRPr="00BA1A81">
        <w:rPr>
          <w:rFonts w:cstheme="minorHAnsi"/>
          <w:b/>
          <w:sz w:val="28"/>
          <w:szCs w:val="28"/>
        </w:rPr>
        <w:t>Spain</w:t>
      </w:r>
    </w:p>
    <w:p w:rsidR="00890020" w:rsidRPr="00BA1A81" w:rsidRDefault="00890020" w:rsidP="00622218">
      <w:pPr>
        <w:pStyle w:val="Paragraphedeliste"/>
        <w:numPr>
          <w:ilvl w:val="0"/>
          <w:numId w:val="24"/>
        </w:numPr>
        <w:rPr>
          <w:rFonts w:cstheme="minorHAnsi"/>
          <w:b/>
          <w:sz w:val="28"/>
          <w:szCs w:val="28"/>
        </w:rPr>
      </w:pPr>
      <w:r w:rsidRPr="00BA1A81">
        <w:rPr>
          <w:rFonts w:cstheme="minorHAnsi"/>
          <w:b/>
          <w:sz w:val="28"/>
          <w:szCs w:val="28"/>
        </w:rPr>
        <w:t>Belgium</w:t>
      </w:r>
    </w:p>
    <w:p w:rsidR="00890020" w:rsidRPr="00BA1A81" w:rsidRDefault="00890020" w:rsidP="00622218">
      <w:pPr>
        <w:pStyle w:val="Paragraphedeliste"/>
        <w:numPr>
          <w:ilvl w:val="0"/>
          <w:numId w:val="24"/>
        </w:numPr>
        <w:rPr>
          <w:rFonts w:cstheme="minorHAnsi"/>
          <w:b/>
          <w:sz w:val="28"/>
          <w:szCs w:val="28"/>
        </w:rPr>
      </w:pPr>
      <w:r w:rsidRPr="00BA1A81">
        <w:rPr>
          <w:rFonts w:cstheme="minorHAnsi"/>
          <w:b/>
          <w:sz w:val="28"/>
          <w:szCs w:val="28"/>
        </w:rPr>
        <w:t>Austria</w:t>
      </w:r>
    </w:p>
    <w:p w:rsidR="00890020" w:rsidRPr="00BA1A81" w:rsidRDefault="00890020" w:rsidP="00622218">
      <w:pPr>
        <w:pStyle w:val="Paragraphedeliste"/>
        <w:numPr>
          <w:ilvl w:val="0"/>
          <w:numId w:val="24"/>
        </w:numPr>
        <w:rPr>
          <w:rFonts w:cstheme="minorHAnsi"/>
          <w:b/>
          <w:sz w:val="28"/>
          <w:szCs w:val="28"/>
        </w:rPr>
      </w:pPr>
      <w:r w:rsidRPr="00BA1A81">
        <w:rPr>
          <w:rFonts w:cstheme="minorHAnsi"/>
          <w:b/>
          <w:sz w:val="28"/>
          <w:szCs w:val="28"/>
        </w:rPr>
        <w:t>Switzerland</w:t>
      </w:r>
    </w:p>
    <w:p w:rsidR="00890020" w:rsidRPr="00BA1A81" w:rsidRDefault="00890020" w:rsidP="00622218">
      <w:pPr>
        <w:pStyle w:val="Paragraphedeliste"/>
        <w:numPr>
          <w:ilvl w:val="0"/>
          <w:numId w:val="24"/>
        </w:numPr>
        <w:rPr>
          <w:rFonts w:cstheme="minorHAnsi"/>
          <w:b/>
          <w:sz w:val="28"/>
          <w:szCs w:val="28"/>
        </w:rPr>
      </w:pPr>
      <w:r w:rsidRPr="00BA1A81">
        <w:rPr>
          <w:rFonts w:cstheme="minorHAnsi"/>
          <w:b/>
          <w:sz w:val="28"/>
          <w:szCs w:val="28"/>
        </w:rPr>
        <w:t>Balkan Region</w:t>
      </w:r>
    </w:p>
    <w:p w:rsidR="00890020" w:rsidRPr="005B6E8B" w:rsidRDefault="00890020" w:rsidP="00622218">
      <w:pPr>
        <w:pStyle w:val="Paragraphedeliste"/>
        <w:numPr>
          <w:ilvl w:val="0"/>
          <w:numId w:val="24"/>
        </w:numPr>
        <w:rPr>
          <w:rFonts w:cstheme="minorHAnsi"/>
          <w:b/>
          <w:sz w:val="24"/>
          <w:szCs w:val="24"/>
        </w:rPr>
      </w:pPr>
      <w:r w:rsidRPr="00BA1A81">
        <w:rPr>
          <w:rFonts w:cstheme="minorHAnsi"/>
          <w:b/>
          <w:sz w:val="28"/>
          <w:szCs w:val="28"/>
        </w:rPr>
        <w:t>Netherlands-Marine</w:t>
      </w:r>
      <w:r w:rsidRPr="005B6E8B">
        <w:rPr>
          <w:rFonts w:cstheme="minorHAnsi"/>
          <w:b/>
          <w:sz w:val="24"/>
          <w:szCs w:val="24"/>
        </w:rPr>
        <w:tab/>
      </w:r>
      <w:r w:rsidRPr="005B6E8B">
        <w:rPr>
          <w:rFonts w:cstheme="minorHAnsi"/>
          <w:b/>
          <w:sz w:val="24"/>
          <w:szCs w:val="24"/>
        </w:rPr>
        <w:tab/>
      </w:r>
      <w:r w:rsidRPr="005B6E8B">
        <w:rPr>
          <w:rFonts w:cstheme="minorHAnsi"/>
          <w:b/>
          <w:sz w:val="24"/>
          <w:szCs w:val="24"/>
        </w:rPr>
        <w:tab/>
      </w:r>
      <w:r w:rsidRPr="005B6E8B">
        <w:rPr>
          <w:rFonts w:cstheme="minorHAnsi"/>
          <w:b/>
          <w:sz w:val="24"/>
          <w:szCs w:val="24"/>
        </w:rPr>
        <w:tab/>
      </w:r>
    </w:p>
    <w:p w:rsidR="00890020" w:rsidRDefault="00890020" w:rsidP="000B381C">
      <w:pPr>
        <w:shd w:val="clear" w:color="auto" w:fill="DBE5F1" w:themeFill="accent1" w:themeFillTint="33"/>
        <w:spacing w:line="240" w:lineRule="auto"/>
        <w:rPr>
          <w:rFonts w:cstheme="minorHAnsi"/>
          <w:b/>
          <w:sz w:val="40"/>
          <w:szCs w:val="40"/>
        </w:rPr>
      </w:pPr>
      <w:r w:rsidRPr="00ED425B">
        <w:rPr>
          <w:rFonts w:cstheme="minorHAnsi"/>
          <w:b/>
          <w:sz w:val="40"/>
          <w:szCs w:val="40"/>
        </w:rPr>
        <w:t>ANNEX 2: FACT SHEETS</w:t>
      </w:r>
      <w:r w:rsidRPr="00ED425B">
        <w:rPr>
          <w:rFonts w:cstheme="minorHAnsi"/>
          <w:b/>
          <w:sz w:val="40"/>
          <w:szCs w:val="40"/>
        </w:rPr>
        <w:tab/>
        <w:t>TASK 1- Maps</w:t>
      </w:r>
      <w:r w:rsidRPr="00ED425B">
        <w:rPr>
          <w:rFonts w:cstheme="minorHAnsi"/>
          <w:b/>
          <w:sz w:val="40"/>
          <w:szCs w:val="40"/>
        </w:rPr>
        <w:tab/>
      </w:r>
    </w:p>
    <w:p w:rsidR="00890020" w:rsidRPr="00BA1A81" w:rsidRDefault="00890020" w:rsidP="00890020">
      <w:pPr>
        <w:rPr>
          <w:rFonts w:cstheme="minorHAnsi"/>
          <w:b/>
          <w:sz w:val="28"/>
          <w:szCs w:val="28"/>
        </w:rPr>
      </w:pPr>
      <w:r w:rsidRPr="00BA1A81">
        <w:rPr>
          <w:rFonts w:cstheme="minorHAnsi"/>
          <w:b/>
          <w:sz w:val="28"/>
          <w:szCs w:val="28"/>
        </w:rPr>
        <w:t>Country Cases:</w:t>
      </w:r>
    </w:p>
    <w:p w:rsidR="00890020" w:rsidRPr="00BA1A81" w:rsidRDefault="00890020" w:rsidP="00622218">
      <w:pPr>
        <w:pStyle w:val="Paragraphedeliste"/>
        <w:numPr>
          <w:ilvl w:val="0"/>
          <w:numId w:val="25"/>
        </w:numPr>
        <w:rPr>
          <w:rFonts w:cstheme="minorHAnsi"/>
          <w:b/>
          <w:sz w:val="28"/>
          <w:szCs w:val="28"/>
        </w:rPr>
      </w:pPr>
      <w:r w:rsidRPr="00BA1A81">
        <w:rPr>
          <w:rFonts w:cstheme="minorHAnsi"/>
          <w:b/>
          <w:sz w:val="28"/>
          <w:szCs w:val="28"/>
        </w:rPr>
        <w:t>UK</w:t>
      </w:r>
    </w:p>
    <w:p w:rsidR="00890020" w:rsidRPr="00BA1A81" w:rsidRDefault="00890020" w:rsidP="00622218">
      <w:pPr>
        <w:pStyle w:val="Paragraphedeliste"/>
        <w:numPr>
          <w:ilvl w:val="0"/>
          <w:numId w:val="25"/>
        </w:numPr>
        <w:rPr>
          <w:rFonts w:cstheme="minorHAnsi"/>
          <w:b/>
          <w:sz w:val="28"/>
          <w:szCs w:val="28"/>
        </w:rPr>
      </w:pPr>
      <w:r w:rsidRPr="00BA1A81">
        <w:rPr>
          <w:rFonts w:cstheme="minorHAnsi"/>
          <w:b/>
          <w:sz w:val="28"/>
          <w:szCs w:val="28"/>
        </w:rPr>
        <w:t>Spain</w:t>
      </w:r>
    </w:p>
    <w:p w:rsidR="00890020" w:rsidRPr="00BA1A81" w:rsidRDefault="00890020" w:rsidP="00622218">
      <w:pPr>
        <w:pStyle w:val="Paragraphedeliste"/>
        <w:numPr>
          <w:ilvl w:val="0"/>
          <w:numId w:val="25"/>
        </w:numPr>
        <w:rPr>
          <w:rFonts w:cstheme="minorHAnsi"/>
          <w:b/>
          <w:sz w:val="28"/>
          <w:szCs w:val="28"/>
        </w:rPr>
      </w:pPr>
      <w:r w:rsidRPr="00BA1A81">
        <w:rPr>
          <w:rFonts w:cstheme="minorHAnsi"/>
          <w:b/>
          <w:sz w:val="28"/>
          <w:szCs w:val="28"/>
        </w:rPr>
        <w:t>Belgium</w:t>
      </w:r>
    </w:p>
    <w:p w:rsidR="00890020" w:rsidRPr="00BA1A81" w:rsidRDefault="00890020" w:rsidP="00622218">
      <w:pPr>
        <w:pStyle w:val="Paragraphedeliste"/>
        <w:numPr>
          <w:ilvl w:val="0"/>
          <w:numId w:val="25"/>
        </w:numPr>
        <w:rPr>
          <w:rFonts w:cstheme="minorHAnsi"/>
          <w:b/>
          <w:sz w:val="28"/>
          <w:szCs w:val="28"/>
        </w:rPr>
      </w:pPr>
      <w:r w:rsidRPr="00BA1A81">
        <w:rPr>
          <w:rFonts w:cstheme="minorHAnsi"/>
          <w:b/>
          <w:sz w:val="28"/>
          <w:szCs w:val="28"/>
        </w:rPr>
        <w:t>Austria</w:t>
      </w:r>
    </w:p>
    <w:p w:rsidR="00890020" w:rsidRPr="00BA1A81" w:rsidRDefault="00890020" w:rsidP="00622218">
      <w:pPr>
        <w:pStyle w:val="Paragraphedeliste"/>
        <w:numPr>
          <w:ilvl w:val="0"/>
          <w:numId w:val="25"/>
        </w:numPr>
        <w:rPr>
          <w:rFonts w:cstheme="minorHAnsi"/>
          <w:b/>
          <w:sz w:val="28"/>
          <w:szCs w:val="28"/>
        </w:rPr>
      </w:pPr>
      <w:r w:rsidRPr="00BA1A81">
        <w:rPr>
          <w:rFonts w:cstheme="minorHAnsi"/>
          <w:b/>
          <w:sz w:val="28"/>
          <w:szCs w:val="28"/>
        </w:rPr>
        <w:t>Switzerland</w:t>
      </w:r>
    </w:p>
    <w:p w:rsidR="00890020" w:rsidRPr="00BA1A81" w:rsidRDefault="00890020" w:rsidP="00622218">
      <w:pPr>
        <w:pStyle w:val="Paragraphedeliste"/>
        <w:numPr>
          <w:ilvl w:val="0"/>
          <w:numId w:val="25"/>
        </w:numPr>
        <w:rPr>
          <w:rFonts w:cstheme="minorHAnsi"/>
          <w:b/>
          <w:sz w:val="28"/>
          <w:szCs w:val="28"/>
        </w:rPr>
      </w:pPr>
      <w:r w:rsidRPr="00BA1A81">
        <w:rPr>
          <w:rFonts w:cstheme="minorHAnsi"/>
          <w:b/>
          <w:sz w:val="28"/>
          <w:szCs w:val="28"/>
        </w:rPr>
        <w:t>Balkan Region</w:t>
      </w:r>
    </w:p>
    <w:p w:rsidR="00890020" w:rsidRPr="005B6E8B" w:rsidRDefault="00890020" w:rsidP="00622218">
      <w:pPr>
        <w:pStyle w:val="Paragraphedeliste"/>
        <w:numPr>
          <w:ilvl w:val="0"/>
          <w:numId w:val="25"/>
        </w:numPr>
        <w:rPr>
          <w:rFonts w:cstheme="minorHAnsi"/>
          <w:b/>
          <w:sz w:val="24"/>
          <w:szCs w:val="24"/>
        </w:rPr>
      </w:pPr>
      <w:r w:rsidRPr="00BA1A81">
        <w:rPr>
          <w:rFonts w:cstheme="minorHAnsi"/>
          <w:b/>
          <w:sz w:val="28"/>
          <w:szCs w:val="28"/>
        </w:rPr>
        <w:t>Netherlands-Marine</w:t>
      </w:r>
      <w:r w:rsidRPr="00BA1A81">
        <w:rPr>
          <w:rFonts w:cstheme="minorHAnsi"/>
          <w:b/>
          <w:sz w:val="28"/>
          <w:szCs w:val="28"/>
        </w:rPr>
        <w:tab/>
      </w:r>
      <w:r w:rsidRPr="005B6E8B">
        <w:rPr>
          <w:rFonts w:cstheme="minorHAnsi"/>
          <w:b/>
          <w:sz w:val="40"/>
          <w:szCs w:val="40"/>
        </w:rPr>
        <w:tab/>
      </w:r>
      <w:r w:rsidRPr="005B6E8B">
        <w:rPr>
          <w:rFonts w:cstheme="minorHAnsi"/>
          <w:b/>
          <w:sz w:val="40"/>
          <w:szCs w:val="40"/>
        </w:rPr>
        <w:tab/>
      </w:r>
    </w:p>
    <w:p w:rsidR="00890020" w:rsidRPr="00ED425B" w:rsidRDefault="00890020" w:rsidP="000B381C">
      <w:pPr>
        <w:shd w:val="clear" w:color="auto" w:fill="DBE5F1" w:themeFill="accent1" w:themeFillTint="33"/>
        <w:spacing w:line="240" w:lineRule="auto"/>
        <w:rPr>
          <w:b/>
          <w:sz w:val="40"/>
          <w:szCs w:val="40"/>
        </w:rPr>
      </w:pPr>
      <w:r w:rsidRPr="00ED425B">
        <w:rPr>
          <w:rFonts w:cstheme="minorHAnsi"/>
          <w:b/>
          <w:sz w:val="40"/>
          <w:szCs w:val="40"/>
        </w:rPr>
        <w:t xml:space="preserve">ANNEX 3: SURVEY Questionnaire  </w:t>
      </w:r>
      <w:r w:rsidRPr="00ED425B">
        <w:rPr>
          <w:rFonts w:cstheme="minorHAnsi"/>
          <w:b/>
          <w:sz w:val="40"/>
          <w:szCs w:val="40"/>
        </w:rPr>
        <w:tab/>
      </w:r>
      <w:r w:rsidRPr="00ED425B">
        <w:rPr>
          <w:rFonts w:cstheme="minorHAnsi"/>
          <w:b/>
          <w:sz w:val="40"/>
          <w:szCs w:val="40"/>
        </w:rPr>
        <w:tab/>
      </w:r>
      <w:r w:rsidRPr="00ED425B">
        <w:rPr>
          <w:rFonts w:cstheme="minorHAnsi"/>
          <w:b/>
          <w:sz w:val="40"/>
          <w:szCs w:val="40"/>
        </w:rPr>
        <w:tab/>
      </w:r>
    </w:p>
    <w:p w:rsidR="00890020" w:rsidRPr="00890020" w:rsidRDefault="00890020" w:rsidP="00890020">
      <w:pPr>
        <w:ind w:left="360"/>
        <w:rPr>
          <w:b/>
          <w:sz w:val="24"/>
          <w:szCs w:val="24"/>
        </w:rPr>
      </w:pPr>
      <w:r w:rsidRPr="00890020">
        <w:rPr>
          <w:b/>
          <w:sz w:val="24"/>
          <w:szCs w:val="24"/>
        </w:rPr>
        <w:t>1.Invitation to the MAES Survey</w:t>
      </w:r>
    </w:p>
    <w:p w:rsidR="00EA4B32" w:rsidRDefault="00890020" w:rsidP="00890020">
      <w:pPr>
        <w:ind w:left="360"/>
        <w:rPr>
          <w:b/>
          <w:sz w:val="24"/>
          <w:szCs w:val="24"/>
        </w:rPr>
      </w:pPr>
      <w:r w:rsidRPr="00890020">
        <w:rPr>
          <w:b/>
          <w:sz w:val="24"/>
          <w:szCs w:val="24"/>
        </w:rPr>
        <w:t>2. Survey v2-070613</w:t>
      </w:r>
    </w:p>
    <w:p w:rsidR="00E219EC" w:rsidRDefault="00E219EC">
      <w:pPr>
        <w:rPr>
          <w:b/>
          <w:sz w:val="24"/>
          <w:szCs w:val="24"/>
        </w:rPr>
      </w:pPr>
      <w:r>
        <w:rPr>
          <w:b/>
          <w:sz w:val="24"/>
          <w:szCs w:val="24"/>
        </w:rPr>
        <w:br w:type="page"/>
      </w:r>
    </w:p>
    <w:p w:rsidR="001C55F3" w:rsidRDefault="001C55F3" w:rsidP="000E7623">
      <w:pPr>
        <w:autoSpaceDE w:val="0"/>
        <w:autoSpaceDN w:val="0"/>
        <w:adjustRightInd w:val="0"/>
        <w:spacing w:after="0" w:line="240" w:lineRule="auto"/>
      </w:pPr>
      <w:r w:rsidRPr="008A53DA">
        <w:rPr>
          <w:b/>
          <w:noProof/>
          <w:lang w:val="fr-BE" w:eastAsia="fr-BE"/>
        </w:rPr>
        <w:lastRenderedPageBreak/>
        <w:drawing>
          <wp:inline distT="0" distB="0" distL="0" distR="0">
            <wp:extent cx="4043519" cy="716280"/>
            <wp:effectExtent l="0" t="0" r="0" b="7620"/>
            <wp:docPr id="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4066715" cy="720389"/>
                    </a:xfrm>
                    <a:prstGeom prst="rect">
                      <a:avLst/>
                    </a:prstGeom>
                    <a:noFill/>
                    <a:ln w="9525">
                      <a:noFill/>
                      <a:miter lim="800000"/>
                      <a:headEnd/>
                      <a:tailEnd/>
                    </a:ln>
                  </pic:spPr>
                </pic:pic>
              </a:graphicData>
            </a:graphic>
          </wp:inline>
        </w:drawing>
      </w:r>
    </w:p>
    <w:p w:rsidR="001C55F3" w:rsidRDefault="001C55F3" w:rsidP="00C874F5">
      <w:pPr>
        <w:autoSpaceDE w:val="0"/>
        <w:autoSpaceDN w:val="0"/>
        <w:adjustRightInd w:val="0"/>
        <w:spacing w:after="0" w:line="240" w:lineRule="auto"/>
        <w:rPr>
          <w:rFonts w:ascii="Times New Roman" w:hAnsi="Times New Roman" w:cs="Times New Roman"/>
          <w:b/>
          <w:bCs/>
          <w:sz w:val="28"/>
          <w:szCs w:val="28"/>
        </w:rPr>
      </w:pPr>
    </w:p>
    <w:p w:rsidR="001C55F3" w:rsidRDefault="001C55F3" w:rsidP="00C874F5">
      <w:pPr>
        <w:autoSpaceDE w:val="0"/>
        <w:autoSpaceDN w:val="0"/>
        <w:adjustRightInd w:val="0"/>
        <w:spacing w:after="0" w:line="240" w:lineRule="auto"/>
        <w:rPr>
          <w:rFonts w:ascii="Times New Roman" w:hAnsi="Times New Roman" w:cs="Times New Roman"/>
          <w:b/>
          <w:bCs/>
          <w:sz w:val="28"/>
          <w:szCs w:val="28"/>
        </w:rPr>
      </w:pPr>
    </w:p>
    <w:p w:rsidR="001C55F3" w:rsidRPr="00970638" w:rsidRDefault="001C55F3" w:rsidP="002667E5">
      <w:pPr>
        <w:autoSpaceDE w:val="0"/>
        <w:autoSpaceDN w:val="0"/>
        <w:adjustRightInd w:val="0"/>
        <w:spacing w:after="0" w:line="240" w:lineRule="auto"/>
      </w:pPr>
      <w:r w:rsidRPr="00970638">
        <w:rPr>
          <w:rFonts w:cstheme="minorHAnsi"/>
          <w:b/>
          <w:i/>
          <w:iCs/>
          <w:sz w:val="40"/>
          <w:szCs w:val="40"/>
        </w:rPr>
        <w:t xml:space="preserve">Mapping of </w:t>
      </w:r>
      <w:r>
        <w:rPr>
          <w:rFonts w:cstheme="minorHAnsi"/>
          <w:b/>
          <w:i/>
          <w:iCs/>
          <w:sz w:val="40"/>
          <w:szCs w:val="40"/>
        </w:rPr>
        <w:t>E</w:t>
      </w:r>
      <w:r w:rsidRPr="00970638">
        <w:rPr>
          <w:rFonts w:cstheme="minorHAnsi"/>
          <w:b/>
          <w:i/>
          <w:iCs/>
          <w:sz w:val="40"/>
          <w:szCs w:val="40"/>
        </w:rPr>
        <w:t xml:space="preserve">cosystems and their </w:t>
      </w:r>
      <w:r>
        <w:rPr>
          <w:rFonts w:cstheme="minorHAnsi"/>
          <w:b/>
          <w:i/>
          <w:iCs/>
          <w:sz w:val="40"/>
          <w:szCs w:val="40"/>
        </w:rPr>
        <w:t>S</w:t>
      </w:r>
      <w:r w:rsidRPr="00970638">
        <w:rPr>
          <w:rFonts w:cstheme="minorHAnsi"/>
          <w:b/>
          <w:i/>
          <w:iCs/>
          <w:sz w:val="40"/>
          <w:szCs w:val="40"/>
        </w:rPr>
        <w:t>ervices in the EU and its MemberStates</w:t>
      </w:r>
      <w:r>
        <w:rPr>
          <w:rFonts w:cstheme="minorHAnsi"/>
          <w:b/>
          <w:i/>
          <w:iCs/>
          <w:sz w:val="40"/>
          <w:szCs w:val="40"/>
        </w:rPr>
        <w:t xml:space="preserve"> (MESEU)</w:t>
      </w:r>
    </w:p>
    <w:p w:rsidR="001C55F3" w:rsidRPr="00970638" w:rsidRDefault="001C55F3"/>
    <w:p w:rsidR="001C55F3" w:rsidRPr="00970638" w:rsidRDefault="001C55F3">
      <w:pPr>
        <w:rPr>
          <w:b/>
          <w:sz w:val="28"/>
          <w:szCs w:val="28"/>
        </w:rPr>
      </w:pPr>
    </w:p>
    <w:p w:rsidR="001C55F3" w:rsidRPr="00970638" w:rsidRDefault="001C55F3" w:rsidP="00D02A89">
      <w:pPr>
        <w:autoSpaceDE w:val="0"/>
        <w:autoSpaceDN w:val="0"/>
        <w:adjustRightInd w:val="0"/>
        <w:spacing w:line="240" w:lineRule="auto"/>
        <w:rPr>
          <w:rFonts w:cstheme="minorHAnsi"/>
          <w:b/>
          <w:bCs/>
          <w:sz w:val="28"/>
          <w:szCs w:val="28"/>
        </w:rPr>
      </w:pPr>
      <w:r w:rsidRPr="00970638">
        <w:rPr>
          <w:rFonts w:cstheme="minorHAnsi"/>
          <w:b/>
          <w:bCs/>
          <w:sz w:val="28"/>
          <w:szCs w:val="28"/>
        </w:rPr>
        <w:t>ENV.B.2/SER/2012/0016</w:t>
      </w:r>
    </w:p>
    <w:p w:rsidR="001C55F3" w:rsidRPr="00970638" w:rsidRDefault="001C55F3">
      <w:pPr>
        <w:rPr>
          <w:b/>
          <w:sz w:val="28"/>
          <w:szCs w:val="28"/>
        </w:rPr>
      </w:pPr>
      <w:r>
        <w:rPr>
          <w:b/>
          <w:sz w:val="28"/>
          <w:szCs w:val="28"/>
        </w:rPr>
        <w:t>October 31, 2013</w:t>
      </w:r>
    </w:p>
    <w:p w:rsidR="001C55F3" w:rsidRDefault="001C55F3"/>
    <w:p w:rsidR="001C55F3" w:rsidRPr="000E4FF5" w:rsidRDefault="001C55F3" w:rsidP="001C55F3">
      <w:pPr>
        <w:shd w:val="clear" w:color="auto" w:fill="DBE5F1" w:themeFill="accent1" w:themeFillTint="33"/>
        <w:rPr>
          <w:b/>
          <w:sz w:val="40"/>
          <w:szCs w:val="40"/>
        </w:rPr>
      </w:pPr>
      <w:r w:rsidRPr="000E4FF5">
        <w:rPr>
          <w:b/>
          <w:sz w:val="40"/>
          <w:szCs w:val="40"/>
        </w:rPr>
        <w:t>FINAL REPORT</w:t>
      </w:r>
    </w:p>
    <w:p w:rsidR="001C55F3" w:rsidRPr="000E4FF5" w:rsidRDefault="001C55F3" w:rsidP="001C55F3">
      <w:pPr>
        <w:shd w:val="clear" w:color="auto" w:fill="DBE5F1" w:themeFill="accent1" w:themeFillTint="33"/>
        <w:rPr>
          <w:b/>
          <w:sz w:val="36"/>
          <w:szCs w:val="36"/>
        </w:rPr>
      </w:pPr>
      <w:r w:rsidRPr="000E4FF5">
        <w:rPr>
          <w:b/>
          <w:sz w:val="36"/>
          <w:szCs w:val="36"/>
        </w:rPr>
        <w:t>Part 2: Task 1: Scoping exercise on mapping approaches</w:t>
      </w:r>
    </w:p>
    <w:p w:rsidR="001C55F3" w:rsidRPr="00970638" w:rsidRDefault="001C55F3"/>
    <w:p w:rsidR="001C55F3" w:rsidRPr="00970638" w:rsidRDefault="001C55F3"/>
    <w:p w:rsidR="001C55F3" w:rsidRPr="00970638" w:rsidRDefault="001C55F3">
      <w:pPr>
        <w:rPr>
          <w:b/>
        </w:rPr>
      </w:pPr>
      <w:r w:rsidRPr="00970638">
        <w:rPr>
          <w:b/>
          <w:noProof/>
          <w:lang w:val="fr-BE" w:eastAsia="fr-BE"/>
        </w:rPr>
        <w:drawing>
          <wp:inline distT="0" distB="0" distL="0" distR="0">
            <wp:extent cx="2698280" cy="477981"/>
            <wp:effectExtent l="0" t="0" r="6985" b="0"/>
            <wp:docPr id="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2712954" cy="480580"/>
                    </a:xfrm>
                    <a:prstGeom prst="rect">
                      <a:avLst/>
                    </a:prstGeom>
                    <a:noFill/>
                    <a:ln w="9525">
                      <a:noFill/>
                      <a:miter lim="800000"/>
                      <a:headEnd/>
                      <a:tailEnd/>
                    </a:ln>
                  </pic:spPr>
                </pic:pic>
              </a:graphicData>
            </a:graphic>
          </wp:inline>
        </w:drawing>
      </w:r>
      <w:r w:rsidRPr="00970638">
        <w:rPr>
          <w:b/>
        </w:rPr>
        <w:tab/>
      </w:r>
      <w:r w:rsidRPr="00970638">
        <w:rPr>
          <w:b/>
        </w:rPr>
        <w:tab/>
      </w:r>
    </w:p>
    <w:p w:rsidR="001C55F3" w:rsidRPr="00970638" w:rsidRDefault="001C55F3">
      <w:pPr>
        <w:rPr>
          <w:b/>
        </w:rPr>
      </w:pPr>
    </w:p>
    <w:p w:rsidR="001C55F3" w:rsidRPr="00970638" w:rsidRDefault="001C55F3" w:rsidP="00051234">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2502435" cy="540327"/>
            <wp:effectExtent l="0" t="0" r="0" b="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2" name="Picture 13"/>
                    <pic:cNvPicPr>
                      <a:picLocks noChangeAspect="1" noChangeArrowheads="1"/>
                    </pic:cNvPicPr>
                  </pic:nvPicPr>
                  <pic:blipFill>
                    <a:blip r:embed="rId9"/>
                    <a:srcRect/>
                    <a:stretch>
                      <a:fillRect/>
                    </a:stretch>
                  </pic:blipFill>
                  <pic:spPr bwMode="auto">
                    <a:xfrm>
                      <a:off x="0" y="0"/>
                      <a:ext cx="2501867" cy="540204"/>
                    </a:xfrm>
                    <a:prstGeom prst="rect">
                      <a:avLst/>
                    </a:prstGeom>
                    <a:noFill/>
                    <a:ln w="9525">
                      <a:noFill/>
                      <a:miter lim="800000"/>
                      <a:headEnd/>
                      <a:tailEnd/>
                    </a:ln>
                  </pic:spPr>
                </pic:pic>
              </a:graphicData>
            </a:graphic>
          </wp:inline>
        </w:drawing>
      </w:r>
      <w:r w:rsidRPr="00970638">
        <w:rPr>
          <w:b/>
        </w:rPr>
        <w:tab/>
      </w:r>
      <w:r w:rsidRPr="00970638">
        <w:rPr>
          <w:b/>
        </w:rPr>
        <w:tab/>
      </w:r>
      <w:r w:rsidRPr="00970638">
        <w:rPr>
          <w:b/>
          <w:noProof/>
          <w:lang w:val="fr-BE" w:eastAsia="fr-BE"/>
        </w:rPr>
        <w:drawing>
          <wp:inline distT="0" distB="0" distL="0" distR="0">
            <wp:extent cx="1794164" cy="666969"/>
            <wp:effectExtent l="0" t="0" r="0" b="0"/>
            <wp:docPr id="13" name="Picture 25" descr="ECNC good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 name="Picture 25" descr="ECNC good quality"/>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5643" cy="667519"/>
                    </a:xfrm>
                    <a:prstGeom prst="rect">
                      <a:avLst/>
                    </a:prstGeom>
                    <a:noFill/>
                    <a:ln>
                      <a:noFill/>
                    </a:ln>
                    <a:extLst/>
                  </pic:spPr>
                </pic:pic>
              </a:graphicData>
            </a:graphic>
          </wp:inline>
        </w:drawing>
      </w:r>
      <w:r w:rsidRPr="00970638">
        <w:rPr>
          <w:b/>
        </w:rPr>
        <w:tab/>
      </w:r>
    </w:p>
    <w:p w:rsidR="001C55F3" w:rsidRPr="00970638" w:rsidRDefault="001C55F3" w:rsidP="00051234">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sz w:val="28"/>
          <w:szCs w:val="28"/>
          <w:lang w:val="fr-BE" w:eastAsia="fr-BE"/>
        </w:rPr>
        <w:drawing>
          <wp:inline distT="0" distB="0" distL="0" distR="0">
            <wp:extent cx="1593657" cy="403860"/>
            <wp:effectExtent l="0" t="0" r="6985"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_logo_black.tif"/>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93657" cy="403860"/>
                    </a:xfrm>
                    <a:prstGeom prst="rect">
                      <a:avLst/>
                    </a:prstGeom>
                  </pic:spPr>
                </pic:pic>
              </a:graphicData>
            </a:graphic>
          </wp:inline>
        </w:drawing>
      </w:r>
      <w:r w:rsidRPr="00970638">
        <w:rPr>
          <w:b/>
          <w:noProof/>
          <w:lang w:val="fr-BE" w:eastAsia="fr-BE"/>
        </w:rPr>
        <w:drawing>
          <wp:inline distT="0" distB="0" distL="0" distR="0">
            <wp:extent cx="852055" cy="769830"/>
            <wp:effectExtent l="0" t="0" r="5715" b="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1961" cy="769745"/>
                    </a:xfrm>
                    <a:prstGeom prst="rect">
                      <a:avLst/>
                    </a:prstGeom>
                    <a:noFill/>
                    <a:ln>
                      <a:noFill/>
                    </a:ln>
                  </pic:spPr>
                </pic:pic>
              </a:graphicData>
            </a:graphic>
          </wp:inline>
        </w:drawing>
      </w:r>
      <w:r w:rsidRPr="00970638">
        <w:rPr>
          <w:b/>
          <w:sz w:val="40"/>
          <w:szCs w:val="40"/>
        </w:rPr>
        <w:tab/>
      </w:r>
      <w:r w:rsidRPr="00970638">
        <w:rPr>
          <w:b/>
          <w:sz w:val="40"/>
          <w:szCs w:val="40"/>
        </w:rPr>
        <w:tab/>
      </w:r>
      <w:r w:rsidRPr="00970638">
        <w:rPr>
          <w:b/>
          <w:noProof/>
          <w:lang w:val="fr-BE" w:eastAsia="fr-BE"/>
        </w:rPr>
        <w:drawing>
          <wp:inline distT="0" distB="0" distL="0" distR="0">
            <wp:extent cx="2030442" cy="698018"/>
            <wp:effectExtent l="0" t="0" r="8255" b="6985"/>
            <wp:docPr id="1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nbo.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9036" cy="697535"/>
                    </a:xfrm>
                    <a:prstGeom prst="rect">
                      <a:avLst/>
                    </a:prstGeom>
                  </pic:spPr>
                </pic:pic>
              </a:graphicData>
            </a:graphic>
          </wp:inline>
        </w:drawing>
      </w:r>
    </w:p>
    <w:p w:rsidR="001C55F3" w:rsidRPr="00970638" w:rsidRDefault="001C55F3" w:rsidP="00051234">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1216365" cy="748532"/>
            <wp:effectExtent l="0" t="0" r="3175"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AM.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6365" cy="748532"/>
                    </a:xfrm>
                    <a:prstGeom prst="rect">
                      <a:avLst/>
                    </a:prstGeom>
                  </pic:spPr>
                </pic:pic>
              </a:graphicData>
            </a:graphic>
          </wp:inline>
        </w:drawing>
      </w:r>
      <w:r w:rsidRPr="00970638">
        <w:rPr>
          <w:b/>
        </w:rPr>
        <w:tab/>
      </w:r>
      <w:r w:rsidRPr="00970638">
        <w:rPr>
          <w:b/>
        </w:rPr>
        <w:tab/>
      </w:r>
      <w:r w:rsidRPr="00970638">
        <w:rPr>
          <w:b/>
        </w:rPr>
        <w:tab/>
      </w:r>
      <w:r w:rsidRPr="00970638">
        <w:rPr>
          <w:b/>
        </w:rPr>
        <w:tab/>
      </w:r>
      <w:r w:rsidRPr="00970638">
        <w:rPr>
          <w:b/>
        </w:rPr>
        <w:tab/>
      </w:r>
      <w:r w:rsidRPr="00970638">
        <w:rPr>
          <w:b/>
          <w:noProof/>
          <w:lang w:val="fr-BE" w:eastAsia="fr-BE"/>
        </w:rPr>
        <w:drawing>
          <wp:inline distT="0" distB="0" distL="0" distR="0">
            <wp:extent cx="2477537" cy="462357"/>
            <wp:effectExtent l="19050" t="0" r="0" b="0"/>
            <wp:docPr id="18" name="Bild 1" descr="yyUBA_logo_2010.gif"/>
            <wp:cNvGraphicFramePr/>
            <a:graphic xmlns:a="http://schemas.openxmlformats.org/drawingml/2006/main">
              <a:graphicData uri="http://schemas.openxmlformats.org/drawingml/2006/picture">
                <pic:pic xmlns:pic="http://schemas.openxmlformats.org/drawingml/2006/picture">
                  <pic:nvPicPr>
                    <pic:cNvPr id="31" name="Grafik 30" descr="yyUBA_logo_2010.gif"/>
                    <pic:cNvPicPr>
                      <a:picLocks noChangeAspect="1"/>
                    </pic:cNvPicPr>
                  </pic:nvPicPr>
                  <pic:blipFill>
                    <a:blip r:embed="rId15" cstate="screen"/>
                    <a:stretch>
                      <a:fillRect/>
                    </a:stretch>
                  </pic:blipFill>
                  <pic:spPr>
                    <a:xfrm>
                      <a:off x="0" y="0"/>
                      <a:ext cx="2477537" cy="462357"/>
                    </a:xfrm>
                    <a:prstGeom prst="rect">
                      <a:avLst/>
                    </a:prstGeom>
                    <a:solidFill>
                      <a:schemeClr val="bg1"/>
                    </a:solidFill>
                  </pic:spPr>
                </pic:pic>
              </a:graphicData>
            </a:graphic>
          </wp:inline>
        </w:drawing>
      </w:r>
    </w:p>
    <w:p w:rsidR="001C55F3" w:rsidRPr="00970638" w:rsidRDefault="001C55F3">
      <w:pPr>
        <w:rPr>
          <w:sz w:val="28"/>
          <w:szCs w:val="28"/>
        </w:rPr>
      </w:pPr>
      <w:r w:rsidRPr="00970638">
        <w:rPr>
          <w:sz w:val="28"/>
          <w:szCs w:val="28"/>
        </w:rPr>
        <w:lastRenderedPageBreak/>
        <w:t xml:space="preserve">This </w:t>
      </w:r>
      <w:r>
        <w:rPr>
          <w:sz w:val="28"/>
          <w:szCs w:val="28"/>
        </w:rPr>
        <w:t>Final</w:t>
      </w:r>
      <w:r w:rsidRPr="00970638">
        <w:rPr>
          <w:sz w:val="28"/>
          <w:szCs w:val="28"/>
        </w:rPr>
        <w:t xml:space="preserve"> Report is submitted by:</w:t>
      </w:r>
    </w:p>
    <w:p w:rsidR="001C55F3" w:rsidRPr="00970638" w:rsidRDefault="001C55F3">
      <w:pPr>
        <w:rPr>
          <w:b/>
          <w:sz w:val="28"/>
          <w:szCs w:val="28"/>
        </w:rPr>
      </w:pPr>
      <w:r w:rsidRPr="00970638">
        <w:rPr>
          <w:b/>
          <w:sz w:val="28"/>
          <w:szCs w:val="28"/>
        </w:rPr>
        <w:t>Alterra,</w:t>
      </w:r>
    </w:p>
    <w:p w:rsidR="001C55F3" w:rsidRPr="00970638" w:rsidRDefault="001C55F3">
      <w:pPr>
        <w:rPr>
          <w:b/>
          <w:sz w:val="28"/>
          <w:szCs w:val="28"/>
        </w:rPr>
      </w:pPr>
      <w:r w:rsidRPr="00970638">
        <w:rPr>
          <w:b/>
          <w:sz w:val="28"/>
          <w:szCs w:val="28"/>
        </w:rPr>
        <w:t>Institute within the legal entity of StichtingDLO</w:t>
      </w:r>
    </w:p>
    <w:p w:rsidR="001C55F3" w:rsidRPr="00970638" w:rsidRDefault="001C55F3" w:rsidP="0014680A">
      <w:pPr>
        <w:spacing w:after="0" w:line="240" w:lineRule="auto"/>
        <w:rPr>
          <w:b/>
          <w:sz w:val="28"/>
          <w:szCs w:val="28"/>
        </w:rPr>
      </w:pPr>
      <w:r w:rsidRPr="00970638">
        <w:rPr>
          <w:b/>
          <w:sz w:val="28"/>
          <w:szCs w:val="28"/>
        </w:rPr>
        <w:t>P.O. Box 47</w:t>
      </w:r>
    </w:p>
    <w:p w:rsidR="001C55F3" w:rsidRPr="00970638" w:rsidRDefault="001C55F3" w:rsidP="0014680A">
      <w:pPr>
        <w:spacing w:after="0" w:line="240" w:lineRule="auto"/>
        <w:rPr>
          <w:b/>
          <w:sz w:val="28"/>
          <w:szCs w:val="28"/>
        </w:rPr>
      </w:pPr>
      <w:r w:rsidRPr="00970638">
        <w:rPr>
          <w:b/>
          <w:sz w:val="28"/>
          <w:szCs w:val="28"/>
        </w:rPr>
        <w:t>6700 AA, Wageningen</w:t>
      </w:r>
    </w:p>
    <w:p w:rsidR="001C55F3" w:rsidRPr="00970638" w:rsidRDefault="001C55F3" w:rsidP="0014680A">
      <w:pPr>
        <w:spacing w:after="0" w:line="240" w:lineRule="auto"/>
        <w:rPr>
          <w:b/>
          <w:sz w:val="28"/>
          <w:szCs w:val="28"/>
        </w:rPr>
      </w:pPr>
      <w:r w:rsidRPr="00970638">
        <w:rPr>
          <w:b/>
          <w:sz w:val="28"/>
          <w:szCs w:val="28"/>
        </w:rPr>
        <w:t>The Netherlands</w:t>
      </w:r>
    </w:p>
    <w:p w:rsidR="001C55F3" w:rsidRPr="00970638"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r w:rsidRPr="00970638">
        <w:rPr>
          <w:b/>
          <w:sz w:val="28"/>
          <w:szCs w:val="28"/>
        </w:rPr>
        <w:t>Building 100+101</w:t>
      </w:r>
    </w:p>
    <w:p w:rsidR="001C55F3" w:rsidRPr="00970638" w:rsidRDefault="001C55F3" w:rsidP="0014680A">
      <w:pPr>
        <w:spacing w:after="0" w:line="240" w:lineRule="auto"/>
        <w:rPr>
          <w:b/>
          <w:sz w:val="28"/>
          <w:szCs w:val="28"/>
        </w:rPr>
      </w:pPr>
      <w:r w:rsidRPr="00970638">
        <w:rPr>
          <w:b/>
          <w:sz w:val="28"/>
          <w:szCs w:val="28"/>
        </w:rPr>
        <w:t>Droevendaalsesteeg 3</w:t>
      </w:r>
    </w:p>
    <w:p w:rsidR="001C55F3" w:rsidRPr="00970638" w:rsidRDefault="001C55F3" w:rsidP="0014680A">
      <w:pPr>
        <w:spacing w:after="0" w:line="240" w:lineRule="auto"/>
        <w:rPr>
          <w:b/>
          <w:sz w:val="28"/>
          <w:szCs w:val="28"/>
        </w:rPr>
      </w:pPr>
      <w:r w:rsidRPr="00970638">
        <w:rPr>
          <w:b/>
          <w:sz w:val="28"/>
          <w:szCs w:val="28"/>
        </w:rPr>
        <w:t>6708 PB, Wageningen</w:t>
      </w:r>
    </w:p>
    <w:p w:rsidR="001C55F3" w:rsidRPr="00970638" w:rsidRDefault="001C55F3" w:rsidP="0014680A">
      <w:pPr>
        <w:spacing w:after="0" w:line="240" w:lineRule="auto"/>
        <w:rPr>
          <w:b/>
          <w:sz w:val="28"/>
          <w:szCs w:val="28"/>
        </w:rPr>
      </w:pPr>
      <w:r w:rsidRPr="00970638">
        <w:rPr>
          <w:b/>
          <w:sz w:val="28"/>
          <w:szCs w:val="28"/>
        </w:rPr>
        <w:t>The Netherlands</w:t>
      </w:r>
    </w:p>
    <w:p w:rsidR="001C55F3" w:rsidRPr="00970638"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p>
    <w:p w:rsidR="001C55F3" w:rsidRPr="004A3781" w:rsidRDefault="001C55F3" w:rsidP="001C55F3">
      <w:pPr>
        <w:spacing w:after="0" w:line="240" w:lineRule="auto"/>
        <w:rPr>
          <w:b/>
          <w:sz w:val="32"/>
          <w:szCs w:val="32"/>
        </w:rPr>
      </w:pPr>
      <w:r w:rsidRPr="004A3781">
        <w:rPr>
          <w:b/>
          <w:sz w:val="32"/>
          <w:szCs w:val="32"/>
        </w:rPr>
        <w:t>Authors:</w:t>
      </w:r>
    </w:p>
    <w:p w:rsidR="001C55F3" w:rsidRPr="004A3781" w:rsidRDefault="001C55F3" w:rsidP="001C55F3">
      <w:pPr>
        <w:spacing w:after="0" w:line="240" w:lineRule="auto"/>
        <w:rPr>
          <w:b/>
          <w:sz w:val="32"/>
          <w:szCs w:val="32"/>
        </w:rPr>
      </w:pPr>
      <w:r w:rsidRPr="004A3781">
        <w:rPr>
          <w:b/>
          <w:sz w:val="32"/>
          <w:szCs w:val="32"/>
        </w:rPr>
        <w:t>L.C. Braat (Alterra), F. Boeraeve (U-Utrecht/Alterra), I. Bouwma (Alterra), T. van Daele (INBO), N. Dendoncker (FUND P), A. Grêt-Regamy, C. Klok (IMARES/Alterra), L. Miguel-Ayala (Alterra), M. Perez-Soba (Alterra),  J. Peterseil (EAA), F. Santos-Martin (UAM), P. Scholefield (CEH), A. Torre-Marin (ECNC), B. Weibel (ETH-Zurich), M. Weiss (EAA)</w:t>
      </w:r>
    </w:p>
    <w:p w:rsidR="001C55F3" w:rsidRDefault="001C55F3" w:rsidP="0014680A">
      <w:pPr>
        <w:spacing w:after="0" w:line="240" w:lineRule="auto"/>
        <w:rPr>
          <w:b/>
          <w:sz w:val="28"/>
          <w:szCs w:val="28"/>
        </w:rPr>
      </w:pPr>
    </w:p>
    <w:p w:rsidR="001C55F3" w:rsidRPr="0078140F" w:rsidRDefault="001C55F3" w:rsidP="0014680A">
      <w:pPr>
        <w:spacing w:after="0" w:line="240" w:lineRule="auto"/>
        <w:rPr>
          <w:b/>
          <w:sz w:val="28"/>
          <w:szCs w:val="28"/>
          <w:lang w:val="en-US"/>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r w:rsidRPr="00970638">
        <w:rPr>
          <w:b/>
          <w:sz w:val="28"/>
          <w:szCs w:val="28"/>
        </w:rPr>
        <w:t>Contact person:</w:t>
      </w:r>
    </w:p>
    <w:p w:rsidR="001C55F3" w:rsidRPr="00970638"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r w:rsidRPr="00970638">
        <w:rPr>
          <w:b/>
          <w:sz w:val="28"/>
          <w:szCs w:val="28"/>
        </w:rPr>
        <w:t>Dr. Leon C. Braat</w:t>
      </w:r>
    </w:p>
    <w:p w:rsidR="001C55F3" w:rsidRPr="00970638"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r w:rsidRPr="00970638">
        <w:rPr>
          <w:b/>
          <w:sz w:val="28"/>
          <w:szCs w:val="28"/>
        </w:rPr>
        <w:t xml:space="preserve">Telephone: </w:t>
      </w:r>
      <w:r w:rsidRPr="00970638">
        <w:rPr>
          <w:b/>
          <w:sz w:val="28"/>
          <w:szCs w:val="28"/>
        </w:rPr>
        <w:tab/>
      </w:r>
      <w:r w:rsidRPr="00970638">
        <w:rPr>
          <w:b/>
          <w:sz w:val="28"/>
          <w:szCs w:val="28"/>
        </w:rPr>
        <w:tab/>
        <w:t>+31 317 486473</w:t>
      </w:r>
    </w:p>
    <w:p w:rsidR="001C55F3" w:rsidRPr="00A80D6D" w:rsidRDefault="001C55F3" w:rsidP="0014680A">
      <w:pPr>
        <w:spacing w:after="0" w:line="240" w:lineRule="auto"/>
        <w:rPr>
          <w:b/>
          <w:sz w:val="28"/>
          <w:szCs w:val="28"/>
        </w:rPr>
      </w:pPr>
      <w:r w:rsidRPr="00A80D6D">
        <w:rPr>
          <w:b/>
          <w:sz w:val="28"/>
          <w:szCs w:val="28"/>
        </w:rPr>
        <w:t>Mobile phone:</w:t>
      </w:r>
      <w:r w:rsidRPr="00A80D6D">
        <w:rPr>
          <w:b/>
          <w:sz w:val="28"/>
          <w:szCs w:val="28"/>
        </w:rPr>
        <w:tab/>
        <w:t>+31 6 18079112</w:t>
      </w:r>
    </w:p>
    <w:p w:rsidR="001C55F3" w:rsidRPr="00A80D6D" w:rsidRDefault="001C55F3" w:rsidP="0014680A">
      <w:pPr>
        <w:spacing w:after="0" w:line="240" w:lineRule="auto"/>
        <w:rPr>
          <w:b/>
          <w:sz w:val="28"/>
          <w:szCs w:val="28"/>
        </w:rPr>
      </w:pPr>
      <w:r w:rsidRPr="00A80D6D">
        <w:rPr>
          <w:b/>
          <w:sz w:val="28"/>
          <w:szCs w:val="28"/>
        </w:rPr>
        <w:t>Fax:</w:t>
      </w:r>
      <w:r w:rsidRPr="00A80D6D">
        <w:rPr>
          <w:b/>
          <w:sz w:val="28"/>
          <w:szCs w:val="28"/>
        </w:rPr>
        <w:tab/>
      </w:r>
      <w:r w:rsidRPr="00A80D6D">
        <w:rPr>
          <w:b/>
          <w:sz w:val="28"/>
          <w:szCs w:val="28"/>
        </w:rPr>
        <w:tab/>
      </w:r>
      <w:r w:rsidRPr="00A80D6D">
        <w:rPr>
          <w:b/>
          <w:sz w:val="28"/>
          <w:szCs w:val="28"/>
        </w:rPr>
        <w:tab/>
        <w:t>+31 317 419000</w:t>
      </w:r>
    </w:p>
    <w:p w:rsidR="001C55F3" w:rsidRPr="00A80D6D" w:rsidRDefault="001C55F3" w:rsidP="0014680A">
      <w:pPr>
        <w:spacing w:after="0" w:line="240" w:lineRule="auto"/>
        <w:rPr>
          <w:b/>
          <w:sz w:val="28"/>
          <w:szCs w:val="28"/>
        </w:rPr>
      </w:pPr>
      <w:r w:rsidRPr="00A80D6D">
        <w:rPr>
          <w:b/>
          <w:sz w:val="28"/>
          <w:szCs w:val="28"/>
        </w:rPr>
        <w:t>E-mail:</w:t>
      </w:r>
      <w:r w:rsidRPr="00A80D6D">
        <w:rPr>
          <w:b/>
          <w:sz w:val="28"/>
          <w:szCs w:val="28"/>
        </w:rPr>
        <w:tab/>
      </w:r>
      <w:r w:rsidRPr="00A80D6D">
        <w:rPr>
          <w:b/>
          <w:sz w:val="28"/>
          <w:szCs w:val="28"/>
        </w:rPr>
        <w:tab/>
        <w:t xml:space="preserve">leon.braat@wur.nl </w:t>
      </w:r>
      <w:r w:rsidRPr="00A80D6D">
        <w:rPr>
          <w:b/>
          <w:sz w:val="28"/>
          <w:szCs w:val="28"/>
        </w:rPr>
        <w:br w:type="page"/>
      </w:r>
    </w:p>
    <w:p w:rsidR="001C55F3" w:rsidRPr="00D803DF" w:rsidRDefault="001C55F3">
      <w:pPr>
        <w:rPr>
          <w:b/>
          <w:sz w:val="40"/>
          <w:szCs w:val="40"/>
        </w:rPr>
      </w:pPr>
      <w:r w:rsidRPr="00D803DF">
        <w:rPr>
          <w:b/>
          <w:sz w:val="40"/>
          <w:szCs w:val="40"/>
        </w:rPr>
        <w:lastRenderedPageBreak/>
        <w:t>TABLE OF CONTENTS</w:t>
      </w:r>
    </w:p>
    <w:p w:rsidR="001C55F3" w:rsidRPr="00D803DF" w:rsidRDefault="001C55F3" w:rsidP="001C55F3">
      <w:pPr>
        <w:pStyle w:val="Titre1"/>
        <w:numPr>
          <w:ilvl w:val="0"/>
          <w:numId w:val="10"/>
        </w:numPr>
        <w:tabs>
          <w:tab w:val="left" w:pos="8505"/>
        </w:tabs>
        <w:spacing w:before="0" w:line="240" w:lineRule="auto"/>
        <w:ind w:left="709" w:hanging="709"/>
        <w:rPr>
          <w:rFonts w:asciiTheme="minorHAnsi" w:hAnsiTheme="minorHAnsi"/>
          <w:color w:val="auto"/>
        </w:rPr>
      </w:pPr>
      <w:r w:rsidRPr="00D803DF">
        <w:rPr>
          <w:rFonts w:asciiTheme="minorHAnsi" w:hAnsiTheme="minorHAnsi"/>
          <w:color w:val="auto"/>
        </w:rPr>
        <w:t>METHODOLOGY</w:t>
      </w:r>
      <w:r w:rsidRPr="00D803DF">
        <w:rPr>
          <w:rFonts w:asciiTheme="minorHAnsi" w:hAnsiTheme="minorHAnsi"/>
          <w:color w:val="auto"/>
        </w:rPr>
        <w:tab/>
        <w:t>4</w:t>
      </w:r>
    </w:p>
    <w:p w:rsidR="001C55F3" w:rsidRPr="00D803DF" w:rsidRDefault="001C55F3" w:rsidP="001C55F3">
      <w:pPr>
        <w:pStyle w:val="Titre6"/>
        <w:tabs>
          <w:tab w:val="clear" w:pos="1152"/>
          <w:tab w:val="left" w:pos="8505"/>
        </w:tabs>
        <w:spacing w:before="0"/>
        <w:ind w:left="709" w:hanging="709"/>
        <w:rPr>
          <w:rFonts w:asciiTheme="minorHAnsi" w:hAnsiTheme="minorHAnsi"/>
          <w:sz w:val="28"/>
          <w:szCs w:val="28"/>
        </w:rPr>
      </w:pPr>
      <w:r w:rsidRPr="00D803DF">
        <w:rPr>
          <w:rFonts w:asciiTheme="minorHAnsi" w:hAnsiTheme="minorHAnsi"/>
          <w:sz w:val="28"/>
          <w:szCs w:val="28"/>
        </w:rPr>
        <w:t>1.1</w:t>
      </w:r>
      <w:r w:rsidRPr="00D803DF">
        <w:rPr>
          <w:rFonts w:asciiTheme="minorHAnsi" w:hAnsiTheme="minorHAnsi"/>
          <w:sz w:val="28"/>
          <w:szCs w:val="28"/>
        </w:rPr>
        <w:tab/>
        <w:t>Requirements by the European Commission</w:t>
      </w:r>
      <w:r w:rsidRPr="00D803DF">
        <w:rPr>
          <w:rFonts w:asciiTheme="minorHAnsi" w:hAnsiTheme="minorHAnsi"/>
          <w:sz w:val="28"/>
          <w:szCs w:val="28"/>
        </w:rPr>
        <w:tab/>
        <w:t>4</w:t>
      </w:r>
    </w:p>
    <w:p w:rsidR="001C55F3" w:rsidRPr="00D803DF" w:rsidRDefault="001C55F3" w:rsidP="001C55F3">
      <w:pPr>
        <w:pStyle w:val="Titre2"/>
        <w:tabs>
          <w:tab w:val="left" w:pos="8505"/>
        </w:tabs>
        <w:spacing w:before="0" w:line="240" w:lineRule="auto"/>
        <w:ind w:left="709" w:hanging="709"/>
        <w:rPr>
          <w:rFonts w:asciiTheme="minorHAnsi" w:hAnsiTheme="minorHAnsi"/>
          <w:color w:val="auto"/>
          <w:sz w:val="28"/>
          <w:szCs w:val="28"/>
        </w:rPr>
      </w:pPr>
      <w:r w:rsidRPr="00D803DF">
        <w:rPr>
          <w:rFonts w:asciiTheme="minorHAnsi" w:hAnsiTheme="minorHAnsi"/>
          <w:color w:val="auto"/>
          <w:sz w:val="28"/>
          <w:szCs w:val="28"/>
        </w:rPr>
        <w:t xml:space="preserve">1.2 </w:t>
      </w:r>
      <w:r w:rsidRPr="00D803DF">
        <w:rPr>
          <w:rFonts w:asciiTheme="minorHAnsi" w:hAnsiTheme="minorHAnsi"/>
          <w:color w:val="auto"/>
          <w:sz w:val="28"/>
          <w:szCs w:val="28"/>
        </w:rPr>
        <w:tab/>
        <w:t>Task 1: Scoping exercise on mapping approaches</w:t>
      </w:r>
      <w:r w:rsidRPr="00D803DF">
        <w:rPr>
          <w:rFonts w:asciiTheme="minorHAnsi" w:hAnsiTheme="minorHAnsi"/>
          <w:color w:val="auto"/>
          <w:sz w:val="28"/>
          <w:szCs w:val="28"/>
        </w:rPr>
        <w:tab/>
        <w:t>4</w:t>
      </w:r>
    </w:p>
    <w:p w:rsidR="001C55F3" w:rsidRPr="00D803DF" w:rsidRDefault="001C55F3" w:rsidP="001C55F3">
      <w:pPr>
        <w:pStyle w:val="Titre2"/>
        <w:numPr>
          <w:ilvl w:val="2"/>
          <w:numId w:val="13"/>
        </w:numPr>
        <w:tabs>
          <w:tab w:val="left" w:pos="8505"/>
        </w:tabs>
        <w:spacing w:before="0" w:line="240" w:lineRule="auto"/>
        <w:rPr>
          <w:rFonts w:asciiTheme="minorHAnsi" w:hAnsiTheme="minorHAnsi"/>
          <w:color w:val="auto"/>
          <w:sz w:val="24"/>
          <w:szCs w:val="24"/>
        </w:rPr>
      </w:pPr>
      <w:r w:rsidRPr="00D803DF">
        <w:rPr>
          <w:rFonts w:asciiTheme="minorHAnsi" w:hAnsiTheme="minorHAnsi"/>
          <w:color w:val="auto"/>
          <w:sz w:val="24"/>
          <w:szCs w:val="24"/>
        </w:rPr>
        <w:t xml:space="preserve">Task 1.1. EU wide survey </w:t>
      </w:r>
      <w:r w:rsidRPr="00D803DF">
        <w:rPr>
          <w:rFonts w:asciiTheme="minorHAnsi" w:hAnsiTheme="minorHAnsi"/>
          <w:color w:val="auto"/>
          <w:sz w:val="24"/>
          <w:szCs w:val="24"/>
        </w:rPr>
        <w:tab/>
        <w:t>4</w:t>
      </w:r>
    </w:p>
    <w:p w:rsidR="001C55F3" w:rsidRPr="00D803DF" w:rsidRDefault="001C55F3" w:rsidP="001C55F3">
      <w:pPr>
        <w:pStyle w:val="Titre2"/>
        <w:numPr>
          <w:ilvl w:val="2"/>
          <w:numId w:val="13"/>
        </w:numPr>
        <w:tabs>
          <w:tab w:val="left" w:pos="8505"/>
        </w:tabs>
        <w:spacing w:before="0" w:line="240" w:lineRule="auto"/>
        <w:rPr>
          <w:rFonts w:asciiTheme="minorHAnsi" w:hAnsiTheme="minorHAnsi"/>
          <w:color w:val="auto"/>
          <w:sz w:val="24"/>
          <w:szCs w:val="24"/>
        </w:rPr>
      </w:pPr>
      <w:r w:rsidRPr="00D803DF">
        <w:rPr>
          <w:rFonts w:asciiTheme="minorHAnsi" w:hAnsiTheme="minorHAnsi"/>
          <w:color w:val="auto"/>
          <w:sz w:val="24"/>
          <w:szCs w:val="24"/>
        </w:rPr>
        <w:t xml:space="preserve">Task 1.2 In-depth scoping via the Country Cases </w:t>
      </w:r>
      <w:r w:rsidRPr="00D803DF">
        <w:rPr>
          <w:rFonts w:asciiTheme="minorHAnsi" w:hAnsiTheme="minorHAnsi"/>
          <w:color w:val="auto"/>
          <w:sz w:val="24"/>
          <w:szCs w:val="24"/>
        </w:rPr>
        <w:tab/>
        <w:t>5</w:t>
      </w:r>
    </w:p>
    <w:p w:rsidR="001C55F3" w:rsidRPr="00D803DF" w:rsidRDefault="001C55F3" w:rsidP="001C55F3">
      <w:pPr>
        <w:tabs>
          <w:tab w:val="left" w:pos="8505"/>
        </w:tabs>
        <w:spacing w:line="240" w:lineRule="auto"/>
        <w:ind w:left="709" w:hanging="709"/>
        <w:rPr>
          <w:sz w:val="28"/>
          <w:szCs w:val="28"/>
        </w:rPr>
      </w:pPr>
    </w:p>
    <w:p w:rsidR="001C55F3" w:rsidRPr="00D803DF" w:rsidRDefault="001C55F3" w:rsidP="001C55F3">
      <w:pPr>
        <w:pStyle w:val="Titre1"/>
        <w:numPr>
          <w:ilvl w:val="0"/>
          <w:numId w:val="13"/>
        </w:numPr>
        <w:tabs>
          <w:tab w:val="left" w:pos="8505"/>
        </w:tabs>
        <w:spacing w:before="0" w:line="240" w:lineRule="auto"/>
        <w:ind w:left="709" w:hanging="709"/>
        <w:rPr>
          <w:rFonts w:asciiTheme="minorHAnsi" w:hAnsiTheme="minorHAnsi"/>
          <w:color w:val="auto"/>
        </w:rPr>
      </w:pPr>
      <w:r w:rsidRPr="00D803DF">
        <w:rPr>
          <w:rFonts w:asciiTheme="minorHAnsi" w:hAnsiTheme="minorHAnsi"/>
          <w:color w:val="auto"/>
        </w:rPr>
        <w:t>RESULTS TASK 1.1 EU WIDE SURVEY</w:t>
      </w:r>
      <w:r w:rsidRPr="00D803DF">
        <w:rPr>
          <w:rFonts w:asciiTheme="minorHAnsi" w:hAnsiTheme="minorHAnsi"/>
          <w:color w:val="auto"/>
        </w:rPr>
        <w:tab/>
        <w:t>8</w:t>
      </w:r>
    </w:p>
    <w:p w:rsidR="001C55F3" w:rsidRPr="00D803DF" w:rsidRDefault="001C55F3" w:rsidP="00622218">
      <w:pPr>
        <w:pStyle w:val="Titre1"/>
        <w:numPr>
          <w:ilvl w:val="1"/>
          <w:numId w:val="18"/>
        </w:numPr>
        <w:tabs>
          <w:tab w:val="left" w:pos="8505"/>
        </w:tabs>
        <w:spacing w:before="0" w:line="240" w:lineRule="auto"/>
        <w:ind w:left="709" w:hanging="709"/>
        <w:jc w:val="both"/>
        <w:rPr>
          <w:rFonts w:asciiTheme="minorHAnsi" w:hAnsiTheme="minorHAnsi"/>
          <w:color w:val="auto"/>
        </w:rPr>
      </w:pPr>
      <w:r w:rsidRPr="00D803DF">
        <w:rPr>
          <w:rFonts w:asciiTheme="minorHAnsi" w:hAnsiTheme="minorHAnsi"/>
          <w:color w:val="auto"/>
        </w:rPr>
        <w:t>Introduction</w:t>
      </w:r>
      <w:r w:rsidRPr="00D803DF">
        <w:rPr>
          <w:rFonts w:asciiTheme="minorHAnsi" w:hAnsiTheme="minorHAnsi"/>
          <w:color w:val="auto"/>
        </w:rPr>
        <w:tab/>
        <w:t>8</w:t>
      </w:r>
    </w:p>
    <w:p w:rsidR="001C55F3" w:rsidRPr="00D803DF" w:rsidRDefault="001C55F3" w:rsidP="00622218">
      <w:pPr>
        <w:pStyle w:val="Titre1"/>
        <w:numPr>
          <w:ilvl w:val="1"/>
          <w:numId w:val="18"/>
        </w:numPr>
        <w:tabs>
          <w:tab w:val="left" w:pos="8505"/>
        </w:tabs>
        <w:spacing w:before="0" w:line="240" w:lineRule="auto"/>
        <w:ind w:left="709" w:hanging="709"/>
        <w:jc w:val="both"/>
        <w:rPr>
          <w:rFonts w:asciiTheme="minorHAnsi" w:hAnsiTheme="minorHAnsi"/>
          <w:color w:val="auto"/>
        </w:rPr>
      </w:pPr>
      <w:r w:rsidRPr="00D803DF">
        <w:rPr>
          <w:rFonts w:asciiTheme="minorHAnsi" w:hAnsiTheme="minorHAnsi"/>
          <w:color w:val="auto"/>
        </w:rPr>
        <w:t>Methodology</w:t>
      </w:r>
      <w:r w:rsidRPr="00D803DF">
        <w:rPr>
          <w:rFonts w:asciiTheme="minorHAnsi" w:hAnsiTheme="minorHAnsi"/>
          <w:color w:val="auto"/>
        </w:rPr>
        <w:tab/>
        <w:t>8</w:t>
      </w:r>
    </w:p>
    <w:p w:rsidR="001C55F3" w:rsidRPr="00D803DF" w:rsidRDefault="001C55F3" w:rsidP="00622218">
      <w:pPr>
        <w:pStyle w:val="Titre1"/>
        <w:numPr>
          <w:ilvl w:val="1"/>
          <w:numId w:val="18"/>
        </w:numPr>
        <w:tabs>
          <w:tab w:val="left" w:pos="8505"/>
        </w:tabs>
        <w:spacing w:before="0" w:line="240" w:lineRule="auto"/>
        <w:ind w:left="709" w:hanging="709"/>
        <w:jc w:val="both"/>
        <w:rPr>
          <w:rFonts w:asciiTheme="minorHAnsi" w:hAnsiTheme="minorHAnsi"/>
          <w:color w:val="auto"/>
        </w:rPr>
      </w:pPr>
      <w:r w:rsidRPr="00D803DF">
        <w:rPr>
          <w:rFonts w:asciiTheme="minorHAnsi" w:hAnsiTheme="minorHAnsi"/>
          <w:color w:val="auto"/>
        </w:rPr>
        <w:t>Results</w:t>
      </w:r>
      <w:r w:rsidRPr="00D803DF">
        <w:rPr>
          <w:rFonts w:asciiTheme="minorHAnsi" w:hAnsiTheme="minorHAnsi"/>
          <w:color w:val="auto"/>
        </w:rPr>
        <w:tab/>
        <w:t>8</w:t>
      </w:r>
    </w:p>
    <w:p w:rsidR="001C55F3" w:rsidRPr="00D803DF" w:rsidRDefault="001C55F3" w:rsidP="001C55F3">
      <w:pPr>
        <w:tabs>
          <w:tab w:val="left" w:pos="8505"/>
        </w:tabs>
        <w:spacing w:after="0" w:line="240" w:lineRule="auto"/>
        <w:ind w:left="709" w:hanging="709"/>
        <w:rPr>
          <w:vanish/>
          <w:sz w:val="28"/>
          <w:szCs w:val="28"/>
        </w:rPr>
      </w:pPr>
    </w:p>
    <w:p w:rsidR="001C55F3" w:rsidRPr="00D803DF" w:rsidRDefault="001C55F3" w:rsidP="00622218">
      <w:pPr>
        <w:pStyle w:val="Paragraphedeliste"/>
        <w:numPr>
          <w:ilvl w:val="1"/>
          <w:numId w:val="18"/>
        </w:numPr>
        <w:tabs>
          <w:tab w:val="left" w:pos="8505"/>
        </w:tabs>
        <w:spacing w:after="0" w:line="240" w:lineRule="auto"/>
        <w:ind w:left="709" w:hanging="709"/>
        <w:rPr>
          <w:rFonts w:eastAsiaTheme="majorEastAsia" w:cstheme="majorBidi"/>
          <w:b/>
          <w:bCs/>
          <w:sz w:val="28"/>
          <w:szCs w:val="28"/>
        </w:rPr>
      </w:pPr>
      <w:r w:rsidRPr="00D803DF">
        <w:rPr>
          <w:rFonts w:eastAsiaTheme="majorEastAsia" w:cstheme="majorBidi"/>
          <w:b/>
          <w:bCs/>
          <w:sz w:val="28"/>
          <w:szCs w:val="28"/>
        </w:rPr>
        <w:t>Conclusions</w:t>
      </w:r>
      <w:r w:rsidRPr="00D803DF">
        <w:rPr>
          <w:rFonts w:eastAsiaTheme="majorEastAsia" w:cstheme="majorBidi"/>
          <w:b/>
          <w:bCs/>
          <w:sz w:val="28"/>
          <w:szCs w:val="28"/>
        </w:rPr>
        <w:tab/>
        <w:t>19</w:t>
      </w:r>
    </w:p>
    <w:p w:rsidR="001C55F3" w:rsidRPr="00D803DF" w:rsidRDefault="001C55F3" w:rsidP="00622218">
      <w:pPr>
        <w:pStyle w:val="Titre1"/>
        <w:numPr>
          <w:ilvl w:val="1"/>
          <w:numId w:val="18"/>
        </w:numPr>
        <w:tabs>
          <w:tab w:val="left" w:pos="8505"/>
        </w:tabs>
        <w:spacing w:before="0" w:line="240" w:lineRule="auto"/>
        <w:ind w:left="709" w:hanging="709"/>
        <w:jc w:val="both"/>
        <w:rPr>
          <w:rFonts w:asciiTheme="minorHAnsi" w:hAnsiTheme="minorHAnsi"/>
          <w:color w:val="auto"/>
        </w:rPr>
      </w:pPr>
      <w:r w:rsidRPr="00D803DF">
        <w:rPr>
          <w:rFonts w:asciiTheme="minorHAnsi" w:hAnsiTheme="minorHAnsi"/>
          <w:color w:val="auto"/>
        </w:rPr>
        <w:t>References</w:t>
      </w:r>
      <w:r w:rsidRPr="00D803DF">
        <w:rPr>
          <w:rFonts w:asciiTheme="minorHAnsi" w:hAnsiTheme="minorHAnsi"/>
          <w:color w:val="auto"/>
        </w:rPr>
        <w:tab/>
        <w:t>20</w:t>
      </w:r>
    </w:p>
    <w:p w:rsidR="001C55F3" w:rsidRPr="00D803DF" w:rsidRDefault="001C55F3" w:rsidP="001C55F3">
      <w:pPr>
        <w:tabs>
          <w:tab w:val="left" w:pos="8505"/>
        </w:tabs>
        <w:ind w:left="709" w:hanging="709"/>
        <w:rPr>
          <w:rFonts w:cstheme="minorHAnsi"/>
          <w:b/>
          <w:sz w:val="28"/>
          <w:szCs w:val="28"/>
        </w:rPr>
      </w:pPr>
    </w:p>
    <w:p w:rsidR="001C55F3" w:rsidRPr="00D803DF" w:rsidRDefault="001C55F3" w:rsidP="001C55F3">
      <w:pPr>
        <w:pStyle w:val="Titre1"/>
        <w:tabs>
          <w:tab w:val="left" w:pos="8505"/>
        </w:tabs>
        <w:spacing w:before="0" w:line="240" w:lineRule="auto"/>
        <w:ind w:left="709" w:hanging="709"/>
        <w:rPr>
          <w:rFonts w:asciiTheme="minorHAnsi" w:hAnsiTheme="minorHAnsi"/>
          <w:color w:val="auto"/>
        </w:rPr>
      </w:pPr>
      <w:r w:rsidRPr="00D803DF">
        <w:rPr>
          <w:rFonts w:asciiTheme="minorHAnsi" w:hAnsiTheme="minorHAnsi"/>
          <w:color w:val="auto"/>
        </w:rPr>
        <w:t>3.</w:t>
      </w:r>
      <w:r w:rsidRPr="00D803DF">
        <w:rPr>
          <w:rFonts w:asciiTheme="minorHAnsi" w:hAnsiTheme="minorHAnsi"/>
          <w:color w:val="auto"/>
        </w:rPr>
        <w:tab/>
        <w:t>COUNTRY CASE STUDIES</w:t>
      </w:r>
      <w:r w:rsidRPr="00D803DF">
        <w:rPr>
          <w:rFonts w:asciiTheme="minorHAnsi" w:hAnsiTheme="minorHAnsi"/>
          <w:color w:val="auto"/>
        </w:rPr>
        <w:tab/>
        <w:t>21</w:t>
      </w:r>
    </w:p>
    <w:p w:rsidR="001C55F3" w:rsidRPr="00D803DF" w:rsidRDefault="001C55F3" w:rsidP="00622218">
      <w:pPr>
        <w:pStyle w:val="Titre2"/>
        <w:numPr>
          <w:ilvl w:val="1"/>
          <w:numId w:val="19"/>
        </w:numPr>
        <w:tabs>
          <w:tab w:val="left" w:pos="8505"/>
        </w:tabs>
        <w:spacing w:before="0" w:line="240" w:lineRule="auto"/>
        <w:ind w:left="709" w:hanging="709"/>
        <w:rPr>
          <w:rFonts w:asciiTheme="minorHAnsi" w:hAnsiTheme="minorHAnsi"/>
          <w:color w:val="auto"/>
          <w:sz w:val="28"/>
          <w:szCs w:val="28"/>
        </w:rPr>
      </w:pPr>
      <w:r w:rsidRPr="00D803DF">
        <w:rPr>
          <w:rFonts w:asciiTheme="minorHAnsi" w:hAnsiTheme="minorHAnsi"/>
          <w:color w:val="auto"/>
          <w:sz w:val="28"/>
          <w:szCs w:val="28"/>
        </w:rPr>
        <w:t>Introduction to the Country Case studies</w:t>
      </w:r>
      <w:r w:rsidRPr="00D803DF">
        <w:rPr>
          <w:rFonts w:asciiTheme="minorHAnsi" w:hAnsiTheme="minorHAnsi"/>
          <w:color w:val="auto"/>
          <w:sz w:val="28"/>
          <w:szCs w:val="28"/>
        </w:rPr>
        <w:tab/>
        <w:t>21</w:t>
      </w:r>
    </w:p>
    <w:p w:rsidR="001C55F3" w:rsidRPr="00D803DF" w:rsidRDefault="001C55F3" w:rsidP="00622218">
      <w:pPr>
        <w:pStyle w:val="Titre2"/>
        <w:numPr>
          <w:ilvl w:val="1"/>
          <w:numId w:val="19"/>
        </w:numPr>
        <w:tabs>
          <w:tab w:val="left" w:pos="8505"/>
        </w:tabs>
        <w:spacing w:before="0" w:line="240" w:lineRule="auto"/>
        <w:ind w:left="709" w:hanging="709"/>
        <w:rPr>
          <w:rFonts w:asciiTheme="minorHAnsi" w:hAnsiTheme="minorHAnsi"/>
          <w:color w:val="auto"/>
          <w:sz w:val="28"/>
          <w:szCs w:val="28"/>
        </w:rPr>
      </w:pPr>
      <w:r w:rsidRPr="00D803DF">
        <w:rPr>
          <w:rFonts w:asciiTheme="minorHAnsi" w:eastAsia="PMingLiU" w:hAnsiTheme="minorHAnsi"/>
          <w:color w:val="auto"/>
          <w:sz w:val="28"/>
          <w:szCs w:val="28"/>
          <w:lang w:eastAsia="zh-TW"/>
        </w:rPr>
        <w:t>Summaries of the Country Case studies fact sheets</w:t>
      </w:r>
      <w:r w:rsidRPr="00D803DF">
        <w:rPr>
          <w:rFonts w:asciiTheme="minorHAnsi" w:eastAsia="PMingLiU" w:hAnsiTheme="minorHAnsi"/>
          <w:color w:val="auto"/>
          <w:sz w:val="28"/>
          <w:szCs w:val="28"/>
          <w:lang w:eastAsia="zh-TW"/>
        </w:rPr>
        <w:tab/>
        <w:t>25</w:t>
      </w:r>
    </w:p>
    <w:p w:rsidR="001C55F3" w:rsidRPr="00D803DF" w:rsidRDefault="001C55F3" w:rsidP="001C55F3">
      <w:pPr>
        <w:pStyle w:val="Titre6"/>
        <w:tabs>
          <w:tab w:val="left" w:pos="1418"/>
          <w:tab w:val="left" w:pos="8505"/>
        </w:tabs>
        <w:spacing w:before="0" w:after="0"/>
        <w:ind w:left="1418" w:hanging="709"/>
        <w:rPr>
          <w:rFonts w:asciiTheme="minorHAnsi" w:hAnsiTheme="minorHAnsi"/>
          <w:szCs w:val="24"/>
          <w:lang w:eastAsia="zh-TW"/>
        </w:rPr>
      </w:pPr>
      <w:r w:rsidRPr="00D803DF">
        <w:rPr>
          <w:rFonts w:asciiTheme="minorHAnsi" w:hAnsiTheme="minorHAnsi"/>
          <w:szCs w:val="24"/>
          <w:lang w:eastAsia="zh-TW"/>
        </w:rPr>
        <w:t>3.2.1</w:t>
      </w:r>
      <w:r w:rsidRPr="00D803DF">
        <w:rPr>
          <w:rFonts w:asciiTheme="minorHAnsi" w:hAnsiTheme="minorHAnsi"/>
          <w:szCs w:val="24"/>
          <w:lang w:eastAsia="zh-TW"/>
        </w:rPr>
        <w:tab/>
        <w:t>Introduction</w:t>
      </w:r>
      <w:r w:rsidRPr="00D803DF">
        <w:rPr>
          <w:rFonts w:asciiTheme="minorHAnsi" w:hAnsiTheme="minorHAnsi"/>
          <w:szCs w:val="24"/>
          <w:lang w:eastAsia="zh-TW"/>
        </w:rPr>
        <w:tab/>
        <w:t>25</w:t>
      </w:r>
    </w:p>
    <w:p w:rsidR="001C55F3" w:rsidRPr="00D803DF" w:rsidRDefault="001C55F3" w:rsidP="001C55F3">
      <w:pPr>
        <w:pStyle w:val="Titre6"/>
        <w:tabs>
          <w:tab w:val="left" w:pos="1418"/>
          <w:tab w:val="left" w:pos="8505"/>
        </w:tabs>
        <w:spacing w:before="0" w:after="0"/>
        <w:ind w:left="1418" w:hanging="709"/>
        <w:rPr>
          <w:rFonts w:asciiTheme="minorHAnsi" w:hAnsiTheme="minorHAnsi"/>
          <w:szCs w:val="24"/>
          <w:lang w:eastAsia="zh-TW"/>
        </w:rPr>
      </w:pPr>
      <w:r w:rsidRPr="00D803DF">
        <w:rPr>
          <w:rFonts w:asciiTheme="minorHAnsi" w:hAnsiTheme="minorHAnsi"/>
          <w:szCs w:val="24"/>
          <w:lang w:eastAsia="zh-TW"/>
        </w:rPr>
        <w:t>3.2.2</w:t>
      </w:r>
      <w:r w:rsidRPr="00D803DF">
        <w:rPr>
          <w:rFonts w:asciiTheme="minorHAnsi" w:hAnsiTheme="minorHAnsi"/>
          <w:szCs w:val="24"/>
          <w:lang w:eastAsia="zh-TW"/>
        </w:rPr>
        <w:tab/>
        <w:t>Group 1 Results</w:t>
      </w:r>
      <w:r w:rsidRPr="00D803DF">
        <w:rPr>
          <w:rFonts w:asciiTheme="minorHAnsi" w:hAnsiTheme="minorHAnsi"/>
          <w:szCs w:val="24"/>
          <w:lang w:eastAsia="zh-TW"/>
        </w:rPr>
        <w:tab/>
        <w:t>26</w:t>
      </w:r>
    </w:p>
    <w:p w:rsidR="001C55F3" w:rsidRPr="00D803DF" w:rsidRDefault="001C55F3" w:rsidP="001C55F3">
      <w:pPr>
        <w:pStyle w:val="Titre6"/>
        <w:tabs>
          <w:tab w:val="left" w:pos="1418"/>
          <w:tab w:val="left" w:pos="8505"/>
        </w:tabs>
        <w:spacing w:before="0" w:after="0"/>
        <w:ind w:left="1418" w:hanging="709"/>
        <w:rPr>
          <w:rFonts w:asciiTheme="minorHAnsi" w:hAnsiTheme="minorHAnsi"/>
          <w:szCs w:val="24"/>
          <w:lang w:eastAsia="zh-TW"/>
        </w:rPr>
      </w:pPr>
      <w:r w:rsidRPr="00D803DF">
        <w:rPr>
          <w:rFonts w:asciiTheme="minorHAnsi" w:hAnsiTheme="minorHAnsi"/>
          <w:szCs w:val="24"/>
          <w:lang w:eastAsia="zh-TW"/>
        </w:rPr>
        <w:t>3.2.3</w:t>
      </w:r>
      <w:r w:rsidRPr="00D803DF">
        <w:rPr>
          <w:rFonts w:asciiTheme="minorHAnsi" w:hAnsiTheme="minorHAnsi"/>
          <w:szCs w:val="24"/>
          <w:lang w:eastAsia="zh-TW"/>
        </w:rPr>
        <w:tab/>
        <w:t>Group 2 Results</w:t>
      </w:r>
      <w:r w:rsidRPr="00D803DF">
        <w:rPr>
          <w:rFonts w:asciiTheme="minorHAnsi" w:hAnsiTheme="minorHAnsi"/>
          <w:szCs w:val="24"/>
          <w:lang w:eastAsia="zh-TW"/>
        </w:rPr>
        <w:tab/>
        <w:t>27</w:t>
      </w:r>
    </w:p>
    <w:p w:rsidR="001C55F3" w:rsidRPr="00D803DF" w:rsidRDefault="001C55F3" w:rsidP="001C55F3">
      <w:pPr>
        <w:pStyle w:val="Titre6"/>
        <w:tabs>
          <w:tab w:val="left" w:pos="1418"/>
          <w:tab w:val="left" w:pos="8505"/>
        </w:tabs>
        <w:spacing w:before="0" w:after="0"/>
        <w:ind w:left="1418" w:hanging="709"/>
        <w:rPr>
          <w:rFonts w:asciiTheme="minorHAnsi" w:eastAsia="PMingLiU" w:hAnsiTheme="minorHAnsi"/>
          <w:szCs w:val="24"/>
          <w:lang w:eastAsia="zh-TW"/>
        </w:rPr>
      </w:pPr>
      <w:r w:rsidRPr="00D803DF">
        <w:rPr>
          <w:rFonts w:asciiTheme="minorHAnsi" w:hAnsiTheme="minorHAnsi"/>
          <w:szCs w:val="24"/>
          <w:lang w:eastAsia="zh-TW"/>
        </w:rPr>
        <w:t>3.2.4</w:t>
      </w:r>
      <w:r w:rsidRPr="00D803DF">
        <w:rPr>
          <w:rFonts w:asciiTheme="minorHAnsi" w:hAnsiTheme="minorHAnsi"/>
          <w:szCs w:val="24"/>
          <w:lang w:eastAsia="zh-TW"/>
        </w:rPr>
        <w:tab/>
        <w:t>Group 3 Results</w:t>
      </w:r>
      <w:r w:rsidRPr="00D803DF">
        <w:rPr>
          <w:rFonts w:asciiTheme="minorHAnsi" w:hAnsiTheme="minorHAnsi"/>
          <w:szCs w:val="24"/>
          <w:lang w:eastAsia="zh-TW"/>
        </w:rPr>
        <w:tab/>
        <w:t>28</w:t>
      </w:r>
    </w:p>
    <w:p w:rsidR="001C55F3" w:rsidRPr="00D803DF" w:rsidRDefault="001C55F3" w:rsidP="001C55F3">
      <w:pPr>
        <w:pStyle w:val="Titre2"/>
        <w:tabs>
          <w:tab w:val="left" w:pos="8505"/>
        </w:tabs>
        <w:spacing w:before="0" w:line="240" w:lineRule="auto"/>
        <w:ind w:left="709" w:hanging="709"/>
        <w:rPr>
          <w:rFonts w:asciiTheme="minorHAnsi" w:hAnsiTheme="minorHAnsi"/>
          <w:color w:val="auto"/>
          <w:sz w:val="28"/>
          <w:szCs w:val="28"/>
          <w:lang w:eastAsia="zh-TW"/>
        </w:rPr>
      </w:pPr>
      <w:r w:rsidRPr="00D803DF">
        <w:rPr>
          <w:rFonts w:asciiTheme="minorHAnsi" w:hAnsiTheme="minorHAnsi"/>
          <w:color w:val="auto"/>
          <w:sz w:val="28"/>
          <w:szCs w:val="28"/>
          <w:lang w:eastAsia="zh-TW"/>
        </w:rPr>
        <w:t>3.3</w:t>
      </w:r>
      <w:r w:rsidRPr="00D803DF">
        <w:rPr>
          <w:rFonts w:asciiTheme="minorHAnsi" w:hAnsiTheme="minorHAnsi"/>
          <w:color w:val="auto"/>
          <w:sz w:val="28"/>
          <w:szCs w:val="28"/>
          <w:lang w:eastAsia="zh-TW"/>
        </w:rPr>
        <w:tab/>
        <w:t>Analysis of Ecosystem Coverage by the Country Case studies</w:t>
      </w:r>
      <w:r w:rsidRPr="00D803DF">
        <w:rPr>
          <w:rFonts w:asciiTheme="minorHAnsi" w:hAnsiTheme="minorHAnsi"/>
          <w:color w:val="auto"/>
          <w:sz w:val="28"/>
          <w:szCs w:val="28"/>
          <w:lang w:eastAsia="zh-TW"/>
        </w:rPr>
        <w:tab/>
        <w:t>40</w:t>
      </w:r>
    </w:p>
    <w:p w:rsidR="001C55F3" w:rsidRPr="00D803DF" w:rsidRDefault="001C55F3" w:rsidP="001C55F3">
      <w:pPr>
        <w:pStyle w:val="Paragraphedeliste"/>
        <w:tabs>
          <w:tab w:val="left" w:pos="8505"/>
        </w:tabs>
        <w:spacing w:after="0" w:line="240" w:lineRule="auto"/>
        <w:ind w:left="1418" w:hanging="709"/>
        <w:rPr>
          <w:b/>
          <w:sz w:val="24"/>
          <w:szCs w:val="24"/>
          <w:lang w:eastAsia="zh-TW"/>
        </w:rPr>
      </w:pPr>
      <w:r w:rsidRPr="00D803DF">
        <w:rPr>
          <w:b/>
          <w:sz w:val="24"/>
          <w:szCs w:val="24"/>
          <w:lang w:eastAsia="zh-TW"/>
        </w:rPr>
        <w:t>3.3.1</w:t>
      </w:r>
      <w:r w:rsidRPr="00D803DF">
        <w:rPr>
          <w:b/>
          <w:sz w:val="24"/>
          <w:szCs w:val="24"/>
          <w:lang w:eastAsia="zh-TW"/>
        </w:rPr>
        <w:tab/>
        <w:t>Introduction</w:t>
      </w:r>
      <w:r w:rsidRPr="00D803DF">
        <w:rPr>
          <w:b/>
          <w:sz w:val="24"/>
          <w:szCs w:val="24"/>
          <w:lang w:eastAsia="zh-TW"/>
        </w:rPr>
        <w:tab/>
        <w:t>40</w:t>
      </w:r>
    </w:p>
    <w:p w:rsidR="001C55F3" w:rsidRPr="00D803DF" w:rsidRDefault="001C55F3" w:rsidP="001C55F3">
      <w:pPr>
        <w:tabs>
          <w:tab w:val="left" w:pos="8505"/>
        </w:tabs>
        <w:spacing w:after="0" w:line="240" w:lineRule="auto"/>
        <w:ind w:left="1418" w:hanging="709"/>
        <w:rPr>
          <w:b/>
          <w:sz w:val="24"/>
          <w:szCs w:val="24"/>
          <w:lang w:eastAsia="zh-TW"/>
        </w:rPr>
      </w:pPr>
      <w:r w:rsidRPr="00D803DF">
        <w:rPr>
          <w:b/>
          <w:sz w:val="24"/>
          <w:szCs w:val="24"/>
          <w:lang w:eastAsia="zh-TW"/>
        </w:rPr>
        <w:t>3.3.2</w:t>
      </w:r>
      <w:r w:rsidRPr="00D803DF">
        <w:rPr>
          <w:b/>
          <w:sz w:val="24"/>
          <w:szCs w:val="24"/>
          <w:lang w:eastAsia="zh-TW"/>
        </w:rPr>
        <w:tab/>
        <w:t>Results</w:t>
      </w:r>
      <w:r w:rsidRPr="00D803DF">
        <w:rPr>
          <w:b/>
          <w:sz w:val="24"/>
          <w:szCs w:val="24"/>
          <w:lang w:eastAsia="zh-TW"/>
        </w:rPr>
        <w:tab/>
        <w:t>40</w:t>
      </w:r>
    </w:p>
    <w:p w:rsidR="001C55F3" w:rsidRPr="00D803DF" w:rsidRDefault="001C55F3" w:rsidP="001C55F3">
      <w:pPr>
        <w:pStyle w:val="Paragraphedeliste"/>
        <w:tabs>
          <w:tab w:val="left" w:pos="8505"/>
        </w:tabs>
        <w:spacing w:after="0" w:line="240" w:lineRule="auto"/>
        <w:ind w:left="1418" w:hanging="709"/>
        <w:rPr>
          <w:b/>
          <w:sz w:val="24"/>
          <w:szCs w:val="24"/>
          <w:lang w:eastAsia="en-GB"/>
        </w:rPr>
      </w:pPr>
      <w:r w:rsidRPr="00D803DF">
        <w:rPr>
          <w:b/>
          <w:sz w:val="24"/>
          <w:szCs w:val="24"/>
          <w:lang w:eastAsia="en-GB"/>
        </w:rPr>
        <w:t>3.3.3</w:t>
      </w:r>
      <w:r w:rsidRPr="00D803DF">
        <w:rPr>
          <w:b/>
          <w:sz w:val="24"/>
          <w:szCs w:val="24"/>
          <w:lang w:eastAsia="en-GB"/>
        </w:rPr>
        <w:tab/>
        <w:t>Conclusion</w:t>
      </w:r>
      <w:r w:rsidRPr="00D803DF">
        <w:rPr>
          <w:b/>
          <w:sz w:val="24"/>
          <w:szCs w:val="24"/>
          <w:lang w:eastAsia="en-GB"/>
        </w:rPr>
        <w:tab/>
        <w:t>42</w:t>
      </w:r>
    </w:p>
    <w:p w:rsidR="001C55F3" w:rsidRPr="00D803DF" w:rsidRDefault="001C55F3" w:rsidP="001C55F3">
      <w:pPr>
        <w:pStyle w:val="Titre2"/>
        <w:tabs>
          <w:tab w:val="left" w:pos="8505"/>
        </w:tabs>
        <w:spacing w:before="0" w:line="240" w:lineRule="auto"/>
        <w:ind w:left="709" w:hanging="709"/>
        <w:rPr>
          <w:rFonts w:asciiTheme="minorHAnsi" w:hAnsiTheme="minorHAnsi"/>
          <w:color w:val="auto"/>
          <w:sz w:val="28"/>
          <w:szCs w:val="28"/>
          <w:lang w:eastAsia="en-GB"/>
        </w:rPr>
      </w:pPr>
      <w:r w:rsidRPr="00D803DF">
        <w:rPr>
          <w:rFonts w:asciiTheme="minorHAnsi" w:hAnsiTheme="minorHAnsi"/>
          <w:color w:val="auto"/>
          <w:sz w:val="28"/>
          <w:szCs w:val="28"/>
          <w:lang w:eastAsia="en-GB"/>
        </w:rPr>
        <w:t>3.4</w:t>
      </w:r>
      <w:r w:rsidRPr="00D803DF">
        <w:rPr>
          <w:rFonts w:asciiTheme="minorHAnsi" w:hAnsiTheme="minorHAnsi"/>
          <w:color w:val="auto"/>
          <w:sz w:val="28"/>
          <w:szCs w:val="28"/>
          <w:lang w:eastAsia="en-GB"/>
        </w:rPr>
        <w:tab/>
        <w:t>Representation of Ecosystem Services in the Country Case studies</w:t>
      </w:r>
      <w:r w:rsidRPr="00D803DF">
        <w:rPr>
          <w:rFonts w:asciiTheme="minorHAnsi" w:hAnsiTheme="minorHAnsi"/>
          <w:color w:val="auto"/>
          <w:sz w:val="28"/>
          <w:szCs w:val="28"/>
          <w:lang w:eastAsia="en-GB"/>
        </w:rPr>
        <w:tab/>
        <w:t>43</w:t>
      </w:r>
    </w:p>
    <w:p w:rsidR="001C55F3" w:rsidRPr="00D803DF" w:rsidRDefault="001C55F3" w:rsidP="001C55F3">
      <w:pPr>
        <w:pStyle w:val="Titre2"/>
        <w:tabs>
          <w:tab w:val="left" w:pos="8505"/>
        </w:tabs>
        <w:spacing w:before="0" w:line="240" w:lineRule="auto"/>
        <w:ind w:left="709" w:hanging="709"/>
        <w:rPr>
          <w:rFonts w:asciiTheme="minorHAnsi" w:hAnsiTheme="minorHAnsi"/>
          <w:color w:val="auto"/>
          <w:sz w:val="28"/>
          <w:szCs w:val="28"/>
          <w:lang w:eastAsia="en-GB"/>
        </w:rPr>
      </w:pPr>
      <w:r w:rsidRPr="00D803DF">
        <w:rPr>
          <w:rFonts w:asciiTheme="minorHAnsi" w:hAnsiTheme="minorHAnsi"/>
          <w:color w:val="auto"/>
          <w:sz w:val="28"/>
          <w:szCs w:val="28"/>
          <w:lang w:eastAsia="en-GB"/>
        </w:rPr>
        <w:t xml:space="preserve">3.5 </w:t>
      </w:r>
      <w:r w:rsidRPr="00D803DF">
        <w:rPr>
          <w:rFonts w:asciiTheme="minorHAnsi" w:hAnsiTheme="minorHAnsi"/>
          <w:color w:val="auto"/>
          <w:sz w:val="28"/>
          <w:szCs w:val="28"/>
          <w:lang w:eastAsia="en-GB"/>
        </w:rPr>
        <w:tab/>
        <w:t>Comparative analysis of mapping approaches</w:t>
      </w:r>
      <w:r w:rsidRPr="00D803DF">
        <w:rPr>
          <w:rFonts w:asciiTheme="minorHAnsi" w:hAnsiTheme="minorHAnsi"/>
          <w:color w:val="auto"/>
          <w:sz w:val="28"/>
          <w:szCs w:val="28"/>
          <w:lang w:eastAsia="en-GB"/>
        </w:rPr>
        <w:tab/>
        <w:t>49</w:t>
      </w:r>
    </w:p>
    <w:p w:rsidR="001C55F3" w:rsidRPr="00D803DF" w:rsidRDefault="001C55F3" w:rsidP="001C55F3">
      <w:pPr>
        <w:tabs>
          <w:tab w:val="left" w:pos="8505"/>
        </w:tabs>
        <w:spacing w:after="0" w:line="240" w:lineRule="auto"/>
        <w:ind w:left="1418" w:hanging="709"/>
        <w:jc w:val="both"/>
        <w:rPr>
          <w:b/>
          <w:sz w:val="24"/>
          <w:szCs w:val="24"/>
        </w:rPr>
      </w:pPr>
      <w:r w:rsidRPr="00D803DF">
        <w:rPr>
          <w:b/>
          <w:sz w:val="24"/>
          <w:szCs w:val="24"/>
          <w:lang w:eastAsia="en-GB"/>
        </w:rPr>
        <w:t>3.5.1</w:t>
      </w:r>
      <w:r w:rsidRPr="00D803DF">
        <w:rPr>
          <w:b/>
          <w:sz w:val="24"/>
          <w:szCs w:val="24"/>
          <w:lang w:eastAsia="en-GB"/>
        </w:rPr>
        <w:tab/>
        <w:t>Ecosystems</w:t>
      </w:r>
      <w:r w:rsidRPr="00D803DF">
        <w:rPr>
          <w:b/>
          <w:sz w:val="24"/>
          <w:szCs w:val="24"/>
          <w:lang w:eastAsia="en-GB"/>
        </w:rPr>
        <w:tab/>
        <w:t>49</w:t>
      </w:r>
    </w:p>
    <w:p w:rsidR="001C55F3" w:rsidRPr="00D803DF" w:rsidRDefault="001C55F3" w:rsidP="001C55F3">
      <w:pPr>
        <w:pStyle w:val="Titre2"/>
        <w:tabs>
          <w:tab w:val="left" w:pos="8505"/>
        </w:tabs>
        <w:spacing w:before="0" w:line="240" w:lineRule="auto"/>
        <w:ind w:left="1418" w:hanging="709"/>
        <w:rPr>
          <w:rFonts w:asciiTheme="minorHAnsi" w:hAnsiTheme="minorHAnsi"/>
          <w:color w:val="auto"/>
          <w:sz w:val="24"/>
          <w:szCs w:val="24"/>
          <w:lang w:eastAsia="en-GB"/>
        </w:rPr>
      </w:pPr>
      <w:r w:rsidRPr="00D803DF">
        <w:rPr>
          <w:rFonts w:asciiTheme="minorHAnsi" w:hAnsiTheme="minorHAnsi"/>
          <w:color w:val="auto"/>
          <w:sz w:val="24"/>
          <w:szCs w:val="24"/>
          <w:lang w:eastAsia="en-GB"/>
        </w:rPr>
        <w:t>3.5.2</w:t>
      </w:r>
      <w:r w:rsidRPr="00D803DF">
        <w:rPr>
          <w:rFonts w:asciiTheme="minorHAnsi" w:hAnsiTheme="minorHAnsi"/>
          <w:color w:val="auto"/>
          <w:sz w:val="24"/>
          <w:szCs w:val="24"/>
          <w:lang w:eastAsia="en-GB"/>
        </w:rPr>
        <w:tab/>
        <w:t>Ecosystem services maps</w:t>
      </w:r>
      <w:r w:rsidRPr="00D803DF">
        <w:rPr>
          <w:rFonts w:asciiTheme="minorHAnsi" w:hAnsiTheme="minorHAnsi"/>
          <w:color w:val="auto"/>
          <w:sz w:val="24"/>
          <w:szCs w:val="24"/>
          <w:lang w:eastAsia="en-GB"/>
        </w:rPr>
        <w:tab/>
        <w:t>51</w:t>
      </w:r>
    </w:p>
    <w:p w:rsidR="001C55F3" w:rsidRPr="00D803DF" w:rsidRDefault="001C55F3" w:rsidP="001C55F3">
      <w:pPr>
        <w:pStyle w:val="Titre2"/>
        <w:tabs>
          <w:tab w:val="left" w:pos="8505"/>
        </w:tabs>
        <w:spacing w:before="0" w:line="240" w:lineRule="auto"/>
        <w:ind w:left="1418" w:hanging="709"/>
        <w:rPr>
          <w:rFonts w:asciiTheme="minorHAnsi" w:hAnsiTheme="minorHAnsi"/>
          <w:color w:val="auto"/>
          <w:sz w:val="24"/>
          <w:szCs w:val="24"/>
        </w:rPr>
      </w:pPr>
      <w:r w:rsidRPr="00D803DF">
        <w:rPr>
          <w:rFonts w:asciiTheme="minorHAnsi" w:hAnsiTheme="minorHAnsi"/>
          <w:color w:val="auto"/>
          <w:sz w:val="24"/>
          <w:szCs w:val="24"/>
        </w:rPr>
        <w:t>3.5.3</w:t>
      </w:r>
      <w:r w:rsidRPr="00D803DF">
        <w:rPr>
          <w:rFonts w:asciiTheme="minorHAnsi" w:hAnsiTheme="minorHAnsi"/>
          <w:color w:val="auto"/>
          <w:sz w:val="24"/>
          <w:szCs w:val="24"/>
        </w:rPr>
        <w:tab/>
        <w:t>Comparison of the distinct approaches from the country cases</w:t>
      </w:r>
      <w:r w:rsidRPr="00D803DF">
        <w:rPr>
          <w:rFonts w:asciiTheme="minorHAnsi" w:hAnsiTheme="minorHAnsi"/>
          <w:color w:val="auto"/>
          <w:sz w:val="24"/>
          <w:szCs w:val="24"/>
        </w:rPr>
        <w:tab/>
        <w:t>58</w:t>
      </w:r>
    </w:p>
    <w:p w:rsidR="001C55F3" w:rsidRPr="00D803DF" w:rsidRDefault="001C55F3" w:rsidP="001C55F3">
      <w:pPr>
        <w:pStyle w:val="Titre2"/>
        <w:tabs>
          <w:tab w:val="left" w:pos="8505"/>
        </w:tabs>
        <w:spacing w:before="0" w:line="240" w:lineRule="auto"/>
        <w:ind w:left="1418" w:hanging="709"/>
        <w:rPr>
          <w:rFonts w:asciiTheme="minorHAnsi" w:hAnsiTheme="minorHAnsi"/>
          <w:color w:val="auto"/>
          <w:sz w:val="24"/>
          <w:szCs w:val="24"/>
        </w:rPr>
      </w:pPr>
      <w:r w:rsidRPr="00D803DF">
        <w:rPr>
          <w:rFonts w:asciiTheme="minorHAnsi" w:hAnsiTheme="minorHAnsi"/>
          <w:color w:val="auto"/>
          <w:sz w:val="24"/>
          <w:szCs w:val="24"/>
        </w:rPr>
        <w:t>3.5.4</w:t>
      </w:r>
      <w:r w:rsidRPr="00D803DF">
        <w:rPr>
          <w:rFonts w:asciiTheme="minorHAnsi" w:hAnsiTheme="minorHAnsi"/>
          <w:color w:val="auto"/>
          <w:sz w:val="24"/>
          <w:szCs w:val="24"/>
        </w:rPr>
        <w:tab/>
        <w:t>The trade-off to assess and map ES</w:t>
      </w:r>
      <w:r w:rsidRPr="00D803DF">
        <w:rPr>
          <w:rFonts w:asciiTheme="minorHAnsi" w:hAnsiTheme="minorHAnsi"/>
          <w:color w:val="auto"/>
          <w:sz w:val="24"/>
          <w:szCs w:val="24"/>
        </w:rPr>
        <w:tab/>
        <w:t>61</w:t>
      </w:r>
    </w:p>
    <w:p w:rsidR="001C55F3" w:rsidRPr="00D803DF" w:rsidRDefault="001C55F3" w:rsidP="001C55F3">
      <w:pPr>
        <w:pStyle w:val="Titre2"/>
        <w:tabs>
          <w:tab w:val="left" w:pos="8505"/>
        </w:tabs>
        <w:spacing w:before="0" w:line="240" w:lineRule="auto"/>
        <w:ind w:left="1418" w:hanging="709"/>
        <w:rPr>
          <w:rFonts w:asciiTheme="minorHAnsi" w:eastAsia="Malgun Gothic" w:hAnsiTheme="minorHAnsi"/>
          <w:color w:val="auto"/>
          <w:sz w:val="28"/>
          <w:szCs w:val="28"/>
        </w:rPr>
      </w:pPr>
      <w:r w:rsidRPr="00D803DF">
        <w:rPr>
          <w:rFonts w:asciiTheme="minorHAnsi" w:hAnsiTheme="minorHAnsi"/>
          <w:color w:val="auto"/>
          <w:sz w:val="24"/>
          <w:szCs w:val="24"/>
        </w:rPr>
        <w:t>3.5.5</w:t>
      </w:r>
      <w:r w:rsidRPr="00D803DF">
        <w:rPr>
          <w:rFonts w:asciiTheme="minorHAnsi" w:hAnsiTheme="minorHAnsi"/>
          <w:color w:val="auto"/>
          <w:sz w:val="24"/>
          <w:szCs w:val="24"/>
        </w:rPr>
        <w:tab/>
      </w:r>
      <w:r w:rsidRPr="00D803DF">
        <w:rPr>
          <w:rFonts w:asciiTheme="minorHAnsi" w:eastAsia="Malgun Gothic" w:hAnsiTheme="minorHAnsi"/>
          <w:color w:val="auto"/>
          <w:sz w:val="24"/>
          <w:szCs w:val="24"/>
        </w:rPr>
        <w:t>A Tiered process for EU mapping of ecosystem services: Suggestions from Switzerland</w:t>
      </w:r>
      <w:r w:rsidRPr="00D803DF">
        <w:rPr>
          <w:rFonts w:asciiTheme="minorHAnsi" w:eastAsia="Malgun Gothic" w:hAnsiTheme="minorHAnsi"/>
          <w:color w:val="auto"/>
          <w:sz w:val="28"/>
          <w:szCs w:val="28"/>
        </w:rPr>
        <w:tab/>
        <w:t>62</w:t>
      </w:r>
    </w:p>
    <w:p w:rsidR="001C55F3" w:rsidRPr="00D803DF" w:rsidRDefault="001C55F3" w:rsidP="001C55F3">
      <w:pPr>
        <w:pStyle w:val="Titre1"/>
        <w:tabs>
          <w:tab w:val="left" w:pos="8505"/>
        </w:tabs>
        <w:spacing w:before="0" w:line="240" w:lineRule="auto"/>
        <w:ind w:left="709" w:hanging="709"/>
        <w:rPr>
          <w:rFonts w:asciiTheme="minorHAnsi" w:hAnsiTheme="minorHAnsi"/>
          <w:color w:val="auto"/>
        </w:rPr>
      </w:pPr>
    </w:p>
    <w:p w:rsidR="001C55F3" w:rsidRPr="00D803DF" w:rsidRDefault="001C55F3" w:rsidP="001C55F3">
      <w:pPr>
        <w:pStyle w:val="Titre1"/>
        <w:tabs>
          <w:tab w:val="left" w:pos="8505"/>
        </w:tabs>
        <w:spacing w:before="0" w:line="240" w:lineRule="auto"/>
        <w:ind w:left="709" w:hanging="709"/>
        <w:rPr>
          <w:rFonts w:asciiTheme="minorHAnsi" w:hAnsiTheme="minorHAnsi"/>
          <w:color w:val="auto"/>
        </w:rPr>
      </w:pPr>
      <w:r w:rsidRPr="00D803DF">
        <w:rPr>
          <w:rFonts w:asciiTheme="minorHAnsi" w:hAnsiTheme="minorHAnsi"/>
          <w:color w:val="auto"/>
        </w:rPr>
        <w:t>REFERENCES</w:t>
      </w:r>
      <w:r w:rsidRPr="00D803DF">
        <w:rPr>
          <w:rFonts w:asciiTheme="minorHAnsi" w:hAnsiTheme="minorHAnsi"/>
          <w:color w:val="auto"/>
        </w:rPr>
        <w:tab/>
        <w:t>65</w:t>
      </w:r>
    </w:p>
    <w:p w:rsidR="001C55F3" w:rsidRPr="00D803DF" w:rsidRDefault="001C55F3" w:rsidP="001C55F3">
      <w:pPr>
        <w:pStyle w:val="Titre1"/>
        <w:tabs>
          <w:tab w:val="left" w:pos="8505"/>
        </w:tabs>
        <w:spacing w:before="0" w:line="240" w:lineRule="auto"/>
        <w:ind w:left="709" w:hanging="709"/>
        <w:rPr>
          <w:rFonts w:asciiTheme="minorHAnsi" w:hAnsiTheme="minorHAnsi"/>
          <w:color w:val="auto"/>
        </w:rPr>
      </w:pPr>
      <w:r w:rsidRPr="00D803DF">
        <w:rPr>
          <w:rFonts w:asciiTheme="minorHAnsi" w:hAnsiTheme="minorHAnsi"/>
          <w:color w:val="auto"/>
        </w:rPr>
        <w:t>SOURCES OF INFORMATION FOR COUNTRY CASES</w:t>
      </w:r>
      <w:r w:rsidRPr="00D803DF">
        <w:rPr>
          <w:rFonts w:asciiTheme="minorHAnsi" w:hAnsiTheme="minorHAnsi"/>
          <w:color w:val="auto"/>
        </w:rPr>
        <w:tab/>
        <w:t>68</w:t>
      </w:r>
    </w:p>
    <w:p w:rsidR="001C55F3" w:rsidRDefault="001C55F3">
      <w:pPr>
        <w:rPr>
          <w:rFonts w:asciiTheme="majorHAnsi" w:eastAsiaTheme="majorEastAsia" w:hAnsiTheme="majorHAnsi" w:cstheme="majorBidi"/>
          <w:b/>
          <w:bCs/>
          <w:color w:val="4F81BD" w:themeColor="accent1"/>
          <w:sz w:val="40"/>
          <w:szCs w:val="40"/>
        </w:rPr>
      </w:pPr>
      <w:r>
        <w:rPr>
          <w:color w:val="4F81BD" w:themeColor="accent1"/>
          <w:sz w:val="40"/>
          <w:szCs w:val="40"/>
        </w:rPr>
        <w:br w:type="page"/>
      </w:r>
    </w:p>
    <w:p w:rsidR="001C55F3" w:rsidRPr="00732D93" w:rsidRDefault="001C55F3" w:rsidP="00622218">
      <w:pPr>
        <w:pStyle w:val="Titre1"/>
        <w:numPr>
          <w:ilvl w:val="0"/>
          <w:numId w:val="88"/>
        </w:numPr>
        <w:ind w:hanging="720"/>
        <w:rPr>
          <w:rFonts w:asciiTheme="minorHAnsi" w:hAnsiTheme="minorHAnsi"/>
          <w:color w:val="4F81BD" w:themeColor="accent1"/>
          <w:sz w:val="40"/>
          <w:szCs w:val="40"/>
        </w:rPr>
      </w:pPr>
      <w:r w:rsidRPr="00732D93">
        <w:rPr>
          <w:rFonts w:asciiTheme="minorHAnsi" w:hAnsiTheme="minorHAnsi"/>
          <w:color w:val="4F81BD" w:themeColor="accent1"/>
          <w:sz w:val="40"/>
          <w:szCs w:val="40"/>
        </w:rPr>
        <w:lastRenderedPageBreak/>
        <w:t>METHODOLOGY</w:t>
      </w:r>
    </w:p>
    <w:p w:rsidR="001C55F3" w:rsidRPr="00970638" w:rsidRDefault="001C55F3" w:rsidP="001C55F3">
      <w:pPr>
        <w:pStyle w:val="Paragraphedeliste"/>
        <w:rPr>
          <w:sz w:val="32"/>
          <w:szCs w:val="32"/>
        </w:rPr>
      </w:pPr>
    </w:p>
    <w:p w:rsidR="001C55F3" w:rsidRPr="00970638" w:rsidRDefault="001C55F3" w:rsidP="00622218">
      <w:pPr>
        <w:pStyle w:val="Titre2"/>
        <w:numPr>
          <w:ilvl w:val="1"/>
          <w:numId w:val="88"/>
        </w:numPr>
        <w:ind w:hanging="720"/>
        <w:rPr>
          <w:rFonts w:asciiTheme="minorHAnsi" w:hAnsiTheme="minorHAnsi"/>
          <w:color w:val="auto"/>
          <w:sz w:val="28"/>
          <w:szCs w:val="28"/>
        </w:rPr>
      </w:pPr>
      <w:r w:rsidRPr="00970638">
        <w:rPr>
          <w:rFonts w:asciiTheme="minorHAnsi" w:hAnsiTheme="minorHAnsi"/>
        </w:rPr>
        <w:t>Requirements by the European Commission</w:t>
      </w:r>
    </w:p>
    <w:p w:rsidR="001C55F3" w:rsidRPr="000C4924" w:rsidRDefault="001C55F3" w:rsidP="001C55F3">
      <w:pPr>
        <w:autoSpaceDE w:val="0"/>
        <w:autoSpaceDN w:val="0"/>
        <w:adjustRightInd w:val="0"/>
        <w:spacing w:after="0" w:line="240" w:lineRule="auto"/>
        <w:jc w:val="both"/>
        <w:rPr>
          <w:rFonts w:cs="Times New Roman"/>
          <w:i/>
        </w:rPr>
      </w:pPr>
      <w:r w:rsidRPr="000C4924">
        <w:rPr>
          <w:rFonts w:cstheme="minorHAnsi"/>
          <w:color w:val="000000"/>
        </w:rPr>
        <w:t xml:space="preserve">The Technical Description of the Invitation to Tender states clearly the conditions for the work under the present contract (adapted from Invitation to Tender, p.3): </w:t>
      </w:r>
      <w:r w:rsidRPr="000C4924">
        <w:rPr>
          <w:rFonts w:cs="Times New Roman"/>
          <w:i/>
        </w:rPr>
        <w:t xml:space="preserve">The work under the present contract will be undertaken for </w:t>
      </w:r>
      <w:r w:rsidRPr="000C4924">
        <w:rPr>
          <w:rFonts w:cs="Times New Roman"/>
          <w:i/>
        </w:rPr>
        <w:tab/>
        <w:t>at least three (3) pilot cases (national/sub-national examples), covering all four (4) tasks:</w:t>
      </w:r>
    </w:p>
    <w:p w:rsidR="001C55F3" w:rsidRPr="000C4924" w:rsidRDefault="001C55F3" w:rsidP="001C55F3">
      <w:pPr>
        <w:autoSpaceDE w:val="0"/>
        <w:autoSpaceDN w:val="0"/>
        <w:adjustRightInd w:val="0"/>
        <w:spacing w:after="0" w:line="240" w:lineRule="auto"/>
        <w:ind w:left="1418" w:hanging="425"/>
        <w:jc w:val="both"/>
        <w:rPr>
          <w:rFonts w:cs="Times New Roman"/>
          <w:i/>
        </w:rPr>
      </w:pPr>
      <w:r w:rsidRPr="000C4924">
        <w:rPr>
          <w:rFonts w:cs="Times New Roman"/>
          <w:i/>
        </w:rPr>
        <w:t xml:space="preserve">1. </w:t>
      </w:r>
      <w:r w:rsidRPr="000C4924">
        <w:rPr>
          <w:rFonts w:cs="Times New Roman"/>
          <w:i/>
        </w:rPr>
        <w:tab/>
        <w:t>Scoping exercise on mapping approaches;</w:t>
      </w:r>
    </w:p>
    <w:p w:rsidR="001C55F3" w:rsidRPr="000C4924" w:rsidRDefault="001C55F3" w:rsidP="001C55F3">
      <w:pPr>
        <w:autoSpaceDE w:val="0"/>
        <w:autoSpaceDN w:val="0"/>
        <w:adjustRightInd w:val="0"/>
        <w:spacing w:after="0" w:line="240" w:lineRule="auto"/>
        <w:ind w:left="1418" w:hanging="425"/>
        <w:jc w:val="both"/>
        <w:rPr>
          <w:rFonts w:cs="Times New Roman"/>
          <w:i/>
        </w:rPr>
      </w:pPr>
      <w:r w:rsidRPr="000C4924">
        <w:rPr>
          <w:rFonts w:cs="Times New Roman"/>
          <w:i/>
        </w:rPr>
        <w:t xml:space="preserve">2. </w:t>
      </w:r>
      <w:r w:rsidRPr="000C4924">
        <w:rPr>
          <w:rFonts w:cs="Times New Roman"/>
          <w:i/>
        </w:rPr>
        <w:tab/>
        <w:t>Comparison of ecosystem status assessment across scales;</w:t>
      </w:r>
    </w:p>
    <w:p w:rsidR="001C55F3" w:rsidRPr="000C4924" w:rsidRDefault="001C55F3" w:rsidP="001C55F3">
      <w:pPr>
        <w:autoSpaceDE w:val="0"/>
        <w:autoSpaceDN w:val="0"/>
        <w:adjustRightInd w:val="0"/>
        <w:spacing w:after="0" w:line="240" w:lineRule="auto"/>
        <w:ind w:left="1418" w:hanging="425"/>
        <w:jc w:val="both"/>
        <w:rPr>
          <w:rFonts w:cs="Times New Roman"/>
          <w:i/>
        </w:rPr>
      </w:pPr>
      <w:r w:rsidRPr="000C4924">
        <w:rPr>
          <w:rFonts w:cs="Times New Roman"/>
          <w:i/>
        </w:rPr>
        <w:t xml:space="preserve">3. </w:t>
      </w:r>
      <w:r w:rsidRPr="000C4924">
        <w:rPr>
          <w:rFonts w:cs="Times New Roman"/>
          <w:i/>
        </w:rPr>
        <w:tab/>
        <w:t>Gap analysis and recommendations on how to overcome those gaps;</w:t>
      </w:r>
    </w:p>
    <w:p w:rsidR="001C55F3" w:rsidRPr="000C4924" w:rsidRDefault="001C55F3" w:rsidP="001C55F3">
      <w:pPr>
        <w:autoSpaceDE w:val="0"/>
        <w:autoSpaceDN w:val="0"/>
        <w:adjustRightInd w:val="0"/>
        <w:spacing w:after="0" w:line="240" w:lineRule="auto"/>
        <w:ind w:left="1418" w:hanging="425"/>
        <w:jc w:val="both"/>
        <w:rPr>
          <w:rFonts w:cs="Times New Roman"/>
          <w:i/>
        </w:rPr>
      </w:pPr>
      <w:r w:rsidRPr="000C4924">
        <w:rPr>
          <w:rFonts w:cs="Times New Roman"/>
          <w:i/>
        </w:rPr>
        <w:t xml:space="preserve">4. </w:t>
      </w:r>
      <w:r w:rsidRPr="000C4924">
        <w:rPr>
          <w:rFonts w:cs="Times New Roman"/>
          <w:i/>
        </w:rPr>
        <w:tab/>
        <w:t xml:space="preserve">Recommendations on how to implement mapping approaches for </w:t>
      </w:r>
    </w:p>
    <w:p w:rsidR="001C55F3" w:rsidRPr="000C4924" w:rsidRDefault="001C55F3" w:rsidP="001C55F3">
      <w:pPr>
        <w:autoSpaceDE w:val="0"/>
        <w:autoSpaceDN w:val="0"/>
        <w:adjustRightInd w:val="0"/>
        <w:spacing w:after="0" w:line="240" w:lineRule="auto"/>
        <w:ind w:left="1418"/>
        <w:jc w:val="both"/>
        <w:rPr>
          <w:rFonts w:cs="Times New Roman"/>
          <w:i/>
        </w:rPr>
      </w:pPr>
      <w:r w:rsidRPr="000C4924">
        <w:rPr>
          <w:rFonts w:cs="Times New Roman"/>
          <w:i/>
        </w:rPr>
        <w:t xml:space="preserve">i) ecosystems; ii) ecosystem services and iii) their inter-relations in EU and its MS. </w:t>
      </w:r>
    </w:p>
    <w:p w:rsidR="001C55F3" w:rsidRPr="00E94668" w:rsidRDefault="001C55F3" w:rsidP="001C55F3">
      <w:pPr>
        <w:pStyle w:val="Titre2"/>
        <w:ind w:left="567" w:hanging="567"/>
        <w:rPr>
          <w:rFonts w:asciiTheme="minorHAnsi" w:hAnsiTheme="minorHAnsi"/>
        </w:rPr>
      </w:pPr>
      <w:r>
        <w:rPr>
          <w:rFonts w:asciiTheme="minorHAnsi" w:hAnsiTheme="minorHAnsi"/>
        </w:rPr>
        <w:t>1.2</w:t>
      </w:r>
      <w:r>
        <w:rPr>
          <w:rFonts w:asciiTheme="minorHAnsi" w:hAnsiTheme="minorHAnsi"/>
        </w:rPr>
        <w:tab/>
      </w:r>
      <w:r w:rsidRPr="00970638">
        <w:t>Task 1: Scoping exercise on mapping approaches</w:t>
      </w:r>
    </w:p>
    <w:p w:rsidR="001C55F3" w:rsidRPr="000C4924" w:rsidRDefault="001C55F3" w:rsidP="00622218">
      <w:pPr>
        <w:pStyle w:val="Paragraphedeliste"/>
        <w:numPr>
          <w:ilvl w:val="0"/>
          <w:numId w:val="26"/>
        </w:numPr>
        <w:autoSpaceDE w:val="0"/>
        <w:autoSpaceDN w:val="0"/>
        <w:adjustRightInd w:val="0"/>
        <w:spacing w:after="0" w:line="240" w:lineRule="auto"/>
        <w:jc w:val="both"/>
        <w:rPr>
          <w:rFonts w:cstheme="minorHAnsi"/>
          <w:i/>
        </w:rPr>
      </w:pPr>
      <w:r w:rsidRPr="000C4924">
        <w:rPr>
          <w:rFonts w:cstheme="minorHAnsi"/>
          <w:i/>
        </w:rPr>
        <w:t xml:space="preserve">analysis and comparison of the methods used for the mapping of ecosystems and their services at EU level and in Member States in order to identify main obstacles and opportunities for alignment and development of commonalities </w:t>
      </w:r>
      <w:r w:rsidRPr="000C4924">
        <w:rPr>
          <w:rFonts w:cstheme="minorHAnsi"/>
          <w:i/>
          <w:color w:val="000000"/>
        </w:rPr>
        <w:t xml:space="preserve">(From </w:t>
      </w:r>
      <w:r w:rsidRPr="000C4924">
        <w:rPr>
          <w:rFonts w:cstheme="minorHAnsi"/>
          <w:bCs/>
          <w:i/>
        </w:rPr>
        <w:t>Invitation to Tender ENV.B.2/SER/2012/0016)</w:t>
      </w:r>
      <w:r w:rsidRPr="000C4924">
        <w:rPr>
          <w:rFonts w:cstheme="minorHAnsi"/>
          <w:i/>
        </w:rPr>
        <w:t>.</w:t>
      </w:r>
    </w:p>
    <w:p w:rsidR="001C55F3" w:rsidRDefault="001C55F3" w:rsidP="001C55F3">
      <w:pPr>
        <w:autoSpaceDE w:val="0"/>
        <w:autoSpaceDN w:val="0"/>
        <w:adjustRightInd w:val="0"/>
        <w:spacing w:after="0" w:line="240" w:lineRule="auto"/>
        <w:jc w:val="both"/>
        <w:rPr>
          <w:rFonts w:cstheme="minorHAnsi"/>
          <w:i/>
          <w:sz w:val="24"/>
          <w:szCs w:val="24"/>
        </w:rPr>
      </w:pPr>
    </w:p>
    <w:p w:rsidR="001C55F3" w:rsidRPr="000C4924" w:rsidRDefault="001C55F3" w:rsidP="00622218">
      <w:pPr>
        <w:pStyle w:val="Titre2"/>
        <w:numPr>
          <w:ilvl w:val="2"/>
          <w:numId w:val="89"/>
        </w:numPr>
      </w:pPr>
      <w:r w:rsidRPr="000C4924">
        <w:t xml:space="preserve">Task 1.1. </w:t>
      </w:r>
      <w:r>
        <w:t>EU wide survey</w:t>
      </w:r>
    </w:p>
    <w:p w:rsidR="001C55F3" w:rsidRPr="000C4924" w:rsidRDefault="001C55F3" w:rsidP="001C55F3">
      <w:pPr>
        <w:autoSpaceDE w:val="0"/>
        <w:autoSpaceDN w:val="0"/>
        <w:adjustRightInd w:val="0"/>
        <w:spacing w:after="0" w:line="240" w:lineRule="auto"/>
        <w:jc w:val="both"/>
        <w:rPr>
          <w:rFonts w:cstheme="minorHAnsi"/>
          <w:i/>
        </w:rPr>
      </w:pPr>
      <w:r w:rsidRPr="000C4924">
        <w:rPr>
          <w:rFonts w:cstheme="minorHAnsi"/>
        </w:rPr>
        <w:t>A survey of European (EU and non-EU) ecosystem assessment and mapping activities will be done by the consortium partners to implement this Sub-Task. It will be developed using the contacts of the consortium partners in the various countries, the scientific networks and the Expert Advisors, as well as the Working Group Maes and the participants of the MAES Science-Policy workshop 21-22 November 2012 in Brussels. It will use the same format as applied in the Country Cases.</w:t>
      </w:r>
    </w:p>
    <w:p w:rsidR="001C55F3" w:rsidRPr="000C4924" w:rsidRDefault="001C55F3" w:rsidP="001C55F3">
      <w:pPr>
        <w:autoSpaceDE w:val="0"/>
        <w:autoSpaceDN w:val="0"/>
        <w:adjustRightInd w:val="0"/>
        <w:spacing w:after="0" w:line="240" w:lineRule="auto"/>
        <w:jc w:val="both"/>
        <w:rPr>
          <w:rFonts w:cstheme="minorHAnsi"/>
          <w:b/>
        </w:rPr>
      </w:pPr>
    </w:p>
    <w:p w:rsidR="001C55F3" w:rsidRPr="000C4924" w:rsidRDefault="001C55F3" w:rsidP="001C55F3">
      <w:pPr>
        <w:shd w:val="clear" w:color="auto" w:fill="C6D9F1" w:themeFill="text2" w:themeFillTint="33"/>
        <w:spacing w:after="0"/>
        <w:ind w:firstLine="360"/>
        <w:jc w:val="both"/>
        <w:rPr>
          <w:rFonts w:cstheme="minorHAnsi"/>
          <w:b/>
        </w:rPr>
      </w:pPr>
      <w:r w:rsidRPr="000C4924">
        <w:rPr>
          <w:rFonts w:cstheme="minorHAnsi"/>
          <w:b/>
        </w:rPr>
        <w:t xml:space="preserve">Deliverable Task 1.1 </w:t>
      </w:r>
    </w:p>
    <w:p w:rsidR="001C55F3" w:rsidRPr="000C4924" w:rsidRDefault="001C55F3" w:rsidP="001C55F3">
      <w:pPr>
        <w:pStyle w:val="Paragraphedeliste"/>
        <w:numPr>
          <w:ilvl w:val="0"/>
          <w:numId w:val="3"/>
        </w:numPr>
        <w:shd w:val="clear" w:color="auto" w:fill="C6D9F1" w:themeFill="text2" w:themeFillTint="33"/>
        <w:spacing w:line="240" w:lineRule="auto"/>
        <w:jc w:val="both"/>
        <w:rPr>
          <w:rFonts w:cstheme="minorHAnsi"/>
          <w:b/>
        </w:rPr>
      </w:pPr>
      <w:r w:rsidRPr="000C4924">
        <w:rPr>
          <w:rFonts w:cstheme="minorHAnsi"/>
          <w:b/>
        </w:rPr>
        <w:t>A consolidated table of contacts, and draft structure of the survey questionnaire including all the information gathered by the consortium to be included in the draft Inception Report and extended in the draft Interim Report.</w:t>
      </w:r>
    </w:p>
    <w:p w:rsidR="001C55F3" w:rsidRDefault="001C55F3" w:rsidP="001C55F3">
      <w:pPr>
        <w:autoSpaceDE w:val="0"/>
        <w:autoSpaceDN w:val="0"/>
        <w:adjustRightInd w:val="0"/>
        <w:spacing w:after="0" w:line="240" w:lineRule="auto"/>
        <w:jc w:val="both"/>
      </w:pPr>
    </w:p>
    <w:p w:rsidR="001C55F3" w:rsidRPr="00162912" w:rsidRDefault="001C55F3" w:rsidP="001C55F3">
      <w:pPr>
        <w:autoSpaceDE w:val="0"/>
        <w:autoSpaceDN w:val="0"/>
        <w:adjustRightInd w:val="0"/>
        <w:spacing w:after="0" w:line="240" w:lineRule="auto"/>
        <w:jc w:val="both"/>
        <w:rPr>
          <w:u w:val="single"/>
        </w:rPr>
      </w:pPr>
      <w:r w:rsidRPr="00162912">
        <w:rPr>
          <w:u w:val="single"/>
        </w:rPr>
        <w:t>Methodology Task 1.1</w:t>
      </w:r>
    </w:p>
    <w:p w:rsidR="001C55F3" w:rsidRPr="000C4924" w:rsidRDefault="001C55F3" w:rsidP="001C55F3">
      <w:pPr>
        <w:autoSpaceDE w:val="0"/>
        <w:autoSpaceDN w:val="0"/>
        <w:adjustRightInd w:val="0"/>
        <w:spacing w:after="0" w:line="240" w:lineRule="auto"/>
        <w:jc w:val="both"/>
        <w:rPr>
          <w:rFonts w:cstheme="minorHAnsi"/>
        </w:rPr>
      </w:pPr>
      <w:r w:rsidRPr="000C4924">
        <w:t xml:space="preserve">The Contractor has followed a suggestion by the Steering Group and has explored merging this activity with a project proposed by the EEA, the Virtual Library, and will further develop the MESEU survey / Virtual Library activity. </w:t>
      </w:r>
      <w:r w:rsidRPr="000C4924">
        <w:rPr>
          <w:rFonts w:cstheme="minorHAnsi"/>
        </w:rPr>
        <w:t xml:space="preserve">An initial Survey target table was presented in the Draft Interim Report which was input to the Workshop. </w:t>
      </w:r>
    </w:p>
    <w:p w:rsidR="001C55F3" w:rsidRPr="000C4924" w:rsidRDefault="001C55F3" w:rsidP="001C55F3">
      <w:pPr>
        <w:autoSpaceDE w:val="0"/>
        <w:autoSpaceDN w:val="0"/>
        <w:adjustRightInd w:val="0"/>
        <w:spacing w:after="0" w:line="240" w:lineRule="auto"/>
        <w:jc w:val="both"/>
      </w:pPr>
    </w:p>
    <w:p w:rsidR="001C55F3" w:rsidRPr="000C4924" w:rsidRDefault="001C55F3" w:rsidP="001C55F3">
      <w:pPr>
        <w:autoSpaceDE w:val="0"/>
        <w:autoSpaceDN w:val="0"/>
        <w:adjustRightInd w:val="0"/>
        <w:spacing w:after="0" w:line="240" w:lineRule="auto"/>
        <w:jc w:val="both"/>
      </w:pPr>
      <w:r w:rsidRPr="000C4924">
        <w:t>The survey will be conducted digitally and be targeted at 3 groups of “experts”:</w:t>
      </w:r>
    </w:p>
    <w:p w:rsidR="001C55F3" w:rsidRPr="000C4924" w:rsidRDefault="001C55F3" w:rsidP="001C55F3">
      <w:pPr>
        <w:autoSpaceDE w:val="0"/>
        <w:autoSpaceDN w:val="0"/>
        <w:adjustRightInd w:val="0"/>
        <w:spacing w:after="0" w:line="240" w:lineRule="auto"/>
        <w:jc w:val="both"/>
      </w:pPr>
      <w:r w:rsidRPr="000C4924">
        <w:rPr>
          <w:b/>
        </w:rPr>
        <w:t>Group 1: Policy makers / advisors / analysts</w:t>
      </w:r>
      <w:r w:rsidRPr="000C4924">
        <w:t xml:space="preserve"> who are involved in, or have expertise regarding the Biodiversity Strategy (or outside the EU in similar policy processes), and in particular concerned with Target 2, Action 5. The WG MAES members will be the starting points to target this section of the survey to.</w:t>
      </w:r>
    </w:p>
    <w:p w:rsidR="001C55F3" w:rsidRPr="000C4924" w:rsidRDefault="001C55F3" w:rsidP="001C55F3">
      <w:pPr>
        <w:autoSpaceDE w:val="0"/>
        <w:autoSpaceDN w:val="0"/>
        <w:adjustRightInd w:val="0"/>
        <w:spacing w:after="0" w:line="240" w:lineRule="auto"/>
        <w:jc w:val="both"/>
      </w:pPr>
      <w:r w:rsidRPr="000C4924">
        <w:rPr>
          <w:b/>
        </w:rPr>
        <w:t>Group 2: Scientists</w:t>
      </w:r>
      <w:r w:rsidRPr="000C4924">
        <w:t xml:space="preserve"> with expertise regarding Ecosystem and Ecosystem Services Mapping and Assessment, indicators for systems and services, models, and/or economic valuation of services. The experts in the WG MAES and the Thematic Pilot studies will be the first target audience for this section of the survey.</w:t>
      </w:r>
    </w:p>
    <w:p w:rsidR="001C55F3" w:rsidRPr="000C4924" w:rsidRDefault="001C55F3" w:rsidP="001C55F3">
      <w:pPr>
        <w:autoSpaceDE w:val="0"/>
        <w:autoSpaceDN w:val="0"/>
        <w:adjustRightInd w:val="0"/>
        <w:spacing w:after="0" w:line="240" w:lineRule="auto"/>
        <w:jc w:val="both"/>
      </w:pPr>
      <w:r w:rsidRPr="000C4924">
        <w:rPr>
          <w:b/>
        </w:rPr>
        <w:lastRenderedPageBreak/>
        <w:t>Group 3: Mapping professionals</w:t>
      </w:r>
      <w:r w:rsidRPr="000C4924">
        <w:t xml:space="preserve"> with expertise in land use / land cover systems, models, GIS technology, representation, Geo-Statistics etc. From the institutes represented in the WG MAES and Thematic Pilots a list will be developed to identify and reach out to the technical experts.</w:t>
      </w:r>
    </w:p>
    <w:p w:rsidR="001C55F3" w:rsidRPr="000C4924" w:rsidRDefault="001C55F3" w:rsidP="001C55F3">
      <w:pPr>
        <w:autoSpaceDE w:val="0"/>
        <w:autoSpaceDN w:val="0"/>
        <w:adjustRightInd w:val="0"/>
        <w:spacing w:after="0" w:line="240" w:lineRule="auto"/>
        <w:jc w:val="both"/>
        <w:rPr>
          <w:rFonts w:cstheme="minorHAnsi"/>
        </w:rPr>
      </w:pPr>
    </w:p>
    <w:p w:rsidR="001C55F3" w:rsidRPr="000C4924" w:rsidRDefault="001C55F3" w:rsidP="001C55F3">
      <w:pPr>
        <w:autoSpaceDE w:val="0"/>
        <w:autoSpaceDN w:val="0"/>
        <w:adjustRightInd w:val="0"/>
        <w:spacing w:after="0" w:line="240" w:lineRule="auto"/>
        <w:jc w:val="both"/>
        <w:rPr>
          <w:rFonts w:cstheme="minorHAnsi"/>
        </w:rPr>
      </w:pPr>
      <w:r w:rsidRPr="000C4924">
        <w:rPr>
          <w:rFonts w:cstheme="minorHAnsi"/>
        </w:rPr>
        <w:t>The Questions in the Survey will be organised according to the 3 groups of “targets”. The structure of the survey will be matching the structure of the “Factsheets” which are being developed with the Consortium partners to form the basis of the peer review of the case studies. The same 3 “layers” of questions will be the backbone of the Factsheets. Ultimately the Case study Factsheets are expected to become the “interface” to a database of “updatable” information. We do not expect the Survey results to provide as much detail of course as the Case studies, but rather provide relevant hooks for the Guidance documents.</w:t>
      </w:r>
    </w:p>
    <w:p w:rsidR="001C55F3" w:rsidRPr="000C4924" w:rsidRDefault="001C55F3" w:rsidP="001C55F3">
      <w:pPr>
        <w:autoSpaceDE w:val="0"/>
        <w:autoSpaceDN w:val="0"/>
        <w:adjustRightInd w:val="0"/>
        <w:spacing w:after="0" w:line="240" w:lineRule="auto"/>
        <w:jc w:val="both"/>
        <w:rPr>
          <w:rFonts w:cstheme="minorHAnsi"/>
          <w:b/>
        </w:rPr>
      </w:pPr>
    </w:p>
    <w:p w:rsidR="001C55F3" w:rsidRPr="000C4924" w:rsidRDefault="001C55F3" w:rsidP="001C55F3">
      <w:pPr>
        <w:autoSpaceDE w:val="0"/>
        <w:autoSpaceDN w:val="0"/>
        <w:adjustRightInd w:val="0"/>
        <w:spacing w:after="0" w:line="240" w:lineRule="auto"/>
        <w:jc w:val="both"/>
        <w:rPr>
          <w:rFonts w:cstheme="minorHAnsi"/>
        </w:rPr>
      </w:pPr>
      <w:r w:rsidRPr="000C4924">
        <w:rPr>
          <w:rFonts w:cstheme="minorHAnsi"/>
          <w:b/>
        </w:rPr>
        <w:t>Group 1</w:t>
      </w:r>
      <w:r w:rsidRPr="000C4924">
        <w:rPr>
          <w:rFonts w:cstheme="minorHAnsi"/>
        </w:rPr>
        <w:t xml:space="preserve"> will be approached with questions regarding the organisation of the Biodiversity Strategy Target 2, Action 5 process and associated activities at National and sub-national level. We intend to build on the information that the Member States are expected to have via the C.I.F. structure (Nature Directors / CGBN) and will provide similar context for non-EU member states. The questions are aimed at providing relevant information about the context in which the Project’s products, and in particular the Guidance Documents should be considered. </w:t>
      </w:r>
    </w:p>
    <w:p w:rsidR="001C55F3" w:rsidRPr="000C4924" w:rsidRDefault="001C55F3" w:rsidP="001C55F3">
      <w:pPr>
        <w:autoSpaceDE w:val="0"/>
        <w:autoSpaceDN w:val="0"/>
        <w:adjustRightInd w:val="0"/>
        <w:spacing w:after="0" w:line="240" w:lineRule="auto"/>
        <w:jc w:val="both"/>
        <w:rPr>
          <w:rFonts w:cstheme="minorHAnsi"/>
        </w:rPr>
      </w:pPr>
    </w:p>
    <w:p w:rsidR="001C55F3" w:rsidRPr="000C4924" w:rsidRDefault="001C55F3" w:rsidP="001C55F3">
      <w:pPr>
        <w:autoSpaceDE w:val="0"/>
        <w:autoSpaceDN w:val="0"/>
        <w:adjustRightInd w:val="0"/>
        <w:spacing w:after="0" w:line="240" w:lineRule="auto"/>
        <w:jc w:val="both"/>
        <w:rPr>
          <w:rFonts w:cstheme="minorHAnsi"/>
        </w:rPr>
      </w:pPr>
      <w:r w:rsidRPr="000C4924">
        <w:rPr>
          <w:rFonts w:cstheme="minorHAnsi"/>
          <w:b/>
        </w:rPr>
        <w:t>Group 2</w:t>
      </w:r>
      <w:r w:rsidRPr="000C4924">
        <w:rPr>
          <w:rFonts w:cstheme="minorHAnsi"/>
        </w:rPr>
        <w:t xml:space="preserve"> will be approached with questions about the type of mapping and assessment studies that have been carried out, the classifications and indicators used, the mapping and assessment methods and models, scales and aggregation challenges and the reports published (and language info), and especially questions about the problems encountered, solutions found and tested, conclusions and advise for further research and implementation of methods.</w:t>
      </w:r>
    </w:p>
    <w:p w:rsidR="001C55F3" w:rsidRPr="000C4924" w:rsidRDefault="001C55F3" w:rsidP="001C55F3">
      <w:pPr>
        <w:autoSpaceDE w:val="0"/>
        <w:autoSpaceDN w:val="0"/>
        <w:adjustRightInd w:val="0"/>
        <w:spacing w:after="0" w:line="240" w:lineRule="auto"/>
        <w:jc w:val="both"/>
        <w:rPr>
          <w:rFonts w:cstheme="minorHAnsi"/>
        </w:rPr>
      </w:pPr>
    </w:p>
    <w:p w:rsidR="001C55F3" w:rsidRPr="000C4924" w:rsidRDefault="001C55F3" w:rsidP="001C55F3">
      <w:pPr>
        <w:autoSpaceDE w:val="0"/>
        <w:autoSpaceDN w:val="0"/>
        <w:adjustRightInd w:val="0"/>
        <w:spacing w:after="0" w:line="240" w:lineRule="auto"/>
        <w:jc w:val="both"/>
        <w:rPr>
          <w:rFonts w:cstheme="minorHAnsi"/>
        </w:rPr>
      </w:pPr>
      <w:r w:rsidRPr="000C4924">
        <w:rPr>
          <w:rFonts w:cstheme="minorHAnsi"/>
          <w:b/>
        </w:rPr>
        <w:t xml:space="preserve">Group 3 </w:t>
      </w:r>
      <w:r w:rsidRPr="000C4924">
        <w:rPr>
          <w:rFonts w:cstheme="minorHAnsi"/>
        </w:rPr>
        <w:t xml:space="preserve">will be approached with questions about the ecosystem and ecosystem services maps that are available, or under construction, and the techniques and technology of mapping used, including the data, existing classifications, scales etc. </w:t>
      </w:r>
    </w:p>
    <w:p w:rsidR="001C55F3" w:rsidRPr="000C4924" w:rsidRDefault="001C55F3" w:rsidP="001C55F3">
      <w:pPr>
        <w:autoSpaceDE w:val="0"/>
        <w:autoSpaceDN w:val="0"/>
        <w:adjustRightInd w:val="0"/>
        <w:spacing w:after="0" w:line="240" w:lineRule="auto"/>
        <w:jc w:val="both"/>
        <w:rPr>
          <w:rFonts w:cstheme="minorHAnsi"/>
          <w:b/>
          <w:i/>
        </w:rPr>
      </w:pPr>
    </w:p>
    <w:p w:rsidR="001C55F3" w:rsidRPr="002A3F0F" w:rsidRDefault="001C55F3" w:rsidP="00622218">
      <w:pPr>
        <w:pStyle w:val="Titre2"/>
        <w:numPr>
          <w:ilvl w:val="2"/>
          <w:numId w:val="89"/>
        </w:numPr>
      </w:pPr>
      <w:r>
        <w:t xml:space="preserve">Task 1.2 </w:t>
      </w:r>
      <w:r w:rsidRPr="002A3F0F">
        <w:t xml:space="preserve">In-depth scoping via the </w:t>
      </w:r>
      <w:r>
        <w:t>CountryC</w:t>
      </w:r>
      <w:r w:rsidRPr="002A3F0F">
        <w:t xml:space="preserve">ases </w:t>
      </w:r>
    </w:p>
    <w:p w:rsidR="001C55F3" w:rsidRDefault="001C55F3" w:rsidP="001C55F3">
      <w:pPr>
        <w:autoSpaceDE w:val="0"/>
        <w:autoSpaceDN w:val="0"/>
        <w:adjustRightInd w:val="0"/>
        <w:spacing w:after="0" w:line="240" w:lineRule="auto"/>
        <w:jc w:val="both"/>
        <w:rPr>
          <w:rFonts w:cstheme="minorHAnsi"/>
        </w:rPr>
      </w:pPr>
    </w:p>
    <w:p w:rsidR="001C55F3" w:rsidRPr="007C04D2" w:rsidRDefault="001C55F3" w:rsidP="001C55F3">
      <w:pPr>
        <w:autoSpaceDE w:val="0"/>
        <w:autoSpaceDN w:val="0"/>
        <w:adjustRightInd w:val="0"/>
        <w:spacing w:after="0" w:line="240" w:lineRule="auto"/>
        <w:jc w:val="both"/>
        <w:rPr>
          <w:rFonts w:cstheme="minorHAnsi"/>
        </w:rPr>
      </w:pPr>
      <w:r w:rsidRPr="007C04D2">
        <w:rPr>
          <w:rFonts w:cstheme="minorHAnsi"/>
        </w:rPr>
        <w:t>This subtask is subdivided to deal with (a) the mapping/assessment of ecosystems and ecosystem changes and (b) ecosystem services, respectively:</w:t>
      </w:r>
    </w:p>
    <w:p w:rsidR="001C55F3" w:rsidRPr="00970638" w:rsidRDefault="001C55F3" w:rsidP="001C55F3">
      <w:pPr>
        <w:autoSpaceDE w:val="0"/>
        <w:autoSpaceDN w:val="0"/>
        <w:adjustRightInd w:val="0"/>
        <w:spacing w:after="0" w:line="240" w:lineRule="auto"/>
        <w:jc w:val="both"/>
        <w:rPr>
          <w:rFonts w:cstheme="minorHAnsi"/>
          <w:sz w:val="24"/>
          <w:szCs w:val="24"/>
        </w:rPr>
      </w:pPr>
    </w:p>
    <w:p w:rsidR="001C55F3" w:rsidRPr="002A3F0F" w:rsidRDefault="001C55F3" w:rsidP="001C55F3">
      <w:pPr>
        <w:autoSpaceDE w:val="0"/>
        <w:autoSpaceDN w:val="0"/>
        <w:adjustRightInd w:val="0"/>
        <w:spacing w:after="0" w:line="240" w:lineRule="auto"/>
        <w:ind w:firstLine="360"/>
        <w:jc w:val="both"/>
        <w:rPr>
          <w:rFonts w:cstheme="minorHAnsi"/>
          <w:b/>
          <w:i/>
          <w:sz w:val="24"/>
          <w:szCs w:val="24"/>
          <w:u w:val="single"/>
        </w:rPr>
      </w:pPr>
      <w:r w:rsidRPr="002A3F0F">
        <w:rPr>
          <w:rFonts w:cstheme="minorHAnsi"/>
          <w:b/>
          <w:i/>
          <w:sz w:val="24"/>
          <w:szCs w:val="24"/>
        </w:rPr>
        <w:t>Task 1.2 (a) Mapping/assessment of ecosystem</w:t>
      </w:r>
      <w:r>
        <w:rPr>
          <w:rFonts w:cstheme="minorHAnsi"/>
          <w:b/>
          <w:i/>
          <w:sz w:val="24"/>
          <w:szCs w:val="24"/>
        </w:rPr>
        <w:t>s and ecosystem</w:t>
      </w:r>
      <w:r w:rsidRPr="002A3F0F">
        <w:rPr>
          <w:rFonts w:cstheme="minorHAnsi"/>
          <w:b/>
          <w:i/>
          <w:sz w:val="24"/>
          <w:szCs w:val="24"/>
        </w:rPr>
        <w:t xml:space="preserve"> changes</w:t>
      </w:r>
    </w:p>
    <w:p w:rsidR="001C55F3" w:rsidRPr="007C04D2" w:rsidRDefault="001C55F3" w:rsidP="00622218">
      <w:pPr>
        <w:numPr>
          <w:ilvl w:val="0"/>
          <w:numId w:val="84"/>
        </w:numPr>
        <w:autoSpaceDE w:val="0"/>
        <w:autoSpaceDN w:val="0"/>
        <w:adjustRightInd w:val="0"/>
        <w:spacing w:after="0" w:line="240" w:lineRule="auto"/>
        <w:contextualSpacing/>
        <w:jc w:val="both"/>
        <w:rPr>
          <w:rFonts w:cstheme="minorHAnsi"/>
        </w:rPr>
      </w:pPr>
      <w:r w:rsidRPr="007C04D2">
        <w:rPr>
          <w:rFonts w:cstheme="minorHAnsi"/>
        </w:rPr>
        <w:t>Identify strengths and limitations of the land cover/ land use-based classification for mapping ecosystems at national/sub-national scale. The following issues are to be addressed, when testing this methodology on the selected Country cases</w:t>
      </w:r>
      <w:r w:rsidRPr="007C04D2">
        <w:rPr>
          <w:rFonts w:cstheme="minorHAnsi"/>
          <w:i/>
        </w:rPr>
        <w:t>(the criteria are provided by Invitation to Tender):</w:t>
      </w:r>
    </w:p>
    <w:p w:rsidR="001C55F3" w:rsidRPr="00C0067E" w:rsidRDefault="001C55F3" w:rsidP="00622218">
      <w:pPr>
        <w:numPr>
          <w:ilvl w:val="1"/>
          <w:numId w:val="83"/>
        </w:numPr>
        <w:autoSpaceDE w:val="0"/>
        <w:autoSpaceDN w:val="0"/>
        <w:adjustRightInd w:val="0"/>
        <w:spacing w:after="0" w:line="240" w:lineRule="auto"/>
        <w:contextualSpacing/>
        <w:jc w:val="both"/>
        <w:rPr>
          <w:rFonts w:cstheme="minorHAnsi"/>
          <w:i/>
        </w:rPr>
      </w:pPr>
      <w:r w:rsidRPr="00C0067E">
        <w:rPr>
          <w:rFonts w:cstheme="minorHAnsi"/>
          <w:i/>
        </w:rPr>
        <w:t xml:space="preserve">the sufficiency of the degree of ecosystem thematic and spatial coverage by land cover classes (including the interrelations between ecosystem functions), </w:t>
      </w:r>
    </w:p>
    <w:p w:rsidR="001C55F3" w:rsidRPr="00C0067E" w:rsidRDefault="001C55F3" w:rsidP="00622218">
      <w:pPr>
        <w:numPr>
          <w:ilvl w:val="1"/>
          <w:numId w:val="83"/>
        </w:numPr>
        <w:autoSpaceDE w:val="0"/>
        <w:autoSpaceDN w:val="0"/>
        <w:adjustRightInd w:val="0"/>
        <w:spacing w:after="0" w:line="240" w:lineRule="auto"/>
        <w:contextualSpacing/>
        <w:jc w:val="both"/>
        <w:rPr>
          <w:rFonts w:cstheme="minorHAnsi"/>
          <w:i/>
        </w:rPr>
      </w:pPr>
      <w:r w:rsidRPr="00C0067E">
        <w:rPr>
          <w:rFonts w:cstheme="minorHAnsi"/>
          <w:i/>
        </w:rPr>
        <w:t xml:space="preserve">the sufficiency level of thematic and spatial resolution of the data and of the classification for national and EU assessment, the relation between land cover classes and ecosystem functions, </w:t>
      </w:r>
    </w:p>
    <w:p w:rsidR="001C55F3" w:rsidRPr="00C0067E" w:rsidRDefault="001C55F3" w:rsidP="00622218">
      <w:pPr>
        <w:numPr>
          <w:ilvl w:val="1"/>
          <w:numId w:val="83"/>
        </w:numPr>
        <w:autoSpaceDE w:val="0"/>
        <w:autoSpaceDN w:val="0"/>
        <w:adjustRightInd w:val="0"/>
        <w:spacing w:after="0" w:line="240" w:lineRule="auto"/>
        <w:contextualSpacing/>
        <w:jc w:val="both"/>
        <w:rPr>
          <w:rFonts w:cstheme="minorHAnsi"/>
        </w:rPr>
      </w:pPr>
      <w:r w:rsidRPr="00C0067E">
        <w:rPr>
          <w:rFonts w:cstheme="minorHAnsi"/>
          <w:i/>
        </w:rPr>
        <w:t>the coherence of the respective CLC resolution on EU and MS levels.</w:t>
      </w:r>
    </w:p>
    <w:p w:rsidR="001C55F3" w:rsidRPr="007C04D2" w:rsidRDefault="001C55F3" w:rsidP="00622218">
      <w:pPr>
        <w:numPr>
          <w:ilvl w:val="0"/>
          <w:numId w:val="84"/>
        </w:numPr>
        <w:autoSpaceDE w:val="0"/>
        <w:autoSpaceDN w:val="0"/>
        <w:adjustRightInd w:val="0"/>
        <w:spacing w:after="0" w:line="240" w:lineRule="auto"/>
        <w:contextualSpacing/>
        <w:jc w:val="both"/>
        <w:rPr>
          <w:rFonts w:cstheme="minorHAnsi"/>
        </w:rPr>
      </w:pPr>
      <w:r w:rsidRPr="007C04D2">
        <w:rPr>
          <w:rFonts w:cstheme="minorHAnsi"/>
        </w:rPr>
        <w:t>Examine any other relevant potential strength and weakness shall be examined, e.g. indicators which rely on easily available (accessible) data, ecosystem services which have long term historical statistics etc.</w:t>
      </w:r>
    </w:p>
    <w:p w:rsidR="001C55F3" w:rsidRPr="007C04D2" w:rsidRDefault="001C55F3" w:rsidP="00622218">
      <w:pPr>
        <w:numPr>
          <w:ilvl w:val="0"/>
          <w:numId w:val="84"/>
        </w:numPr>
        <w:autoSpaceDE w:val="0"/>
        <w:autoSpaceDN w:val="0"/>
        <w:adjustRightInd w:val="0"/>
        <w:spacing w:after="0" w:line="240" w:lineRule="auto"/>
        <w:contextualSpacing/>
        <w:jc w:val="both"/>
        <w:rPr>
          <w:rFonts w:cstheme="minorHAnsi"/>
          <w:b/>
        </w:rPr>
      </w:pPr>
      <w:r w:rsidRPr="007C04D2">
        <w:rPr>
          <w:rFonts w:cstheme="minorHAnsi"/>
        </w:rPr>
        <w:lastRenderedPageBreak/>
        <w:t xml:space="preserve">Assess, referring to peer review and grey literature and experience in work of the Consortium partners, to what extent the data are or can be used for mapping and assessing ecosystem services, within a matrix framework. </w:t>
      </w:r>
    </w:p>
    <w:p w:rsidR="001C55F3" w:rsidRPr="007C04D2" w:rsidRDefault="001C55F3" w:rsidP="00622218">
      <w:pPr>
        <w:numPr>
          <w:ilvl w:val="0"/>
          <w:numId w:val="84"/>
        </w:numPr>
        <w:autoSpaceDE w:val="0"/>
        <w:autoSpaceDN w:val="0"/>
        <w:adjustRightInd w:val="0"/>
        <w:spacing w:after="0" w:line="240" w:lineRule="auto"/>
        <w:contextualSpacing/>
        <w:jc w:val="both"/>
        <w:rPr>
          <w:rFonts w:cstheme="minorHAnsi"/>
          <w:b/>
        </w:rPr>
      </w:pPr>
      <w:r w:rsidRPr="007C04D2">
        <w:rPr>
          <w:rFonts w:cstheme="minorHAnsi"/>
        </w:rPr>
        <w:t>Develop recommendations on improvements for short-term (by 2014), mid-term (by 2020) and long-term (after 2020) perspectives. These shall be first based on own experience and professional literature and then put to test (a) through peer-review within the consortium, (b) in the workshop and if so desired (c) with the Working Group MAES.</w:t>
      </w:r>
    </w:p>
    <w:p w:rsidR="001C55F3" w:rsidRDefault="001C55F3" w:rsidP="001C55F3">
      <w:pPr>
        <w:autoSpaceDE w:val="0"/>
        <w:autoSpaceDN w:val="0"/>
        <w:adjustRightInd w:val="0"/>
        <w:spacing w:after="0" w:line="240" w:lineRule="auto"/>
        <w:contextualSpacing/>
        <w:jc w:val="both"/>
        <w:rPr>
          <w:rFonts w:cstheme="minorHAnsi"/>
          <w:sz w:val="24"/>
          <w:szCs w:val="24"/>
        </w:rPr>
      </w:pPr>
    </w:p>
    <w:p w:rsidR="001C55F3" w:rsidRPr="007C04D2" w:rsidRDefault="001C55F3" w:rsidP="001C55F3">
      <w:pPr>
        <w:autoSpaceDE w:val="0"/>
        <w:autoSpaceDN w:val="0"/>
        <w:adjustRightInd w:val="0"/>
        <w:spacing w:after="0" w:line="240" w:lineRule="auto"/>
        <w:contextualSpacing/>
        <w:jc w:val="both"/>
        <w:rPr>
          <w:rFonts w:cstheme="minorHAnsi"/>
          <w:b/>
        </w:rPr>
      </w:pPr>
      <w:r w:rsidRPr="007C04D2">
        <w:rPr>
          <w:rFonts w:cstheme="minorHAnsi"/>
        </w:rPr>
        <w:t>The workshop, provided with information from the pilot cases as well as from the networks and advisors, discusses the opportunities of the EU framework and methods of assessment, comparing them with known Member State approaches.</w:t>
      </w:r>
    </w:p>
    <w:p w:rsidR="001C55F3" w:rsidRPr="007C04D2" w:rsidRDefault="001C55F3" w:rsidP="001C55F3">
      <w:pPr>
        <w:autoSpaceDE w:val="0"/>
        <w:autoSpaceDN w:val="0"/>
        <w:adjustRightInd w:val="0"/>
        <w:spacing w:after="0" w:line="240" w:lineRule="auto"/>
        <w:ind w:left="360"/>
        <w:jc w:val="both"/>
        <w:rPr>
          <w:rFonts w:cstheme="minorHAnsi"/>
        </w:rPr>
      </w:pPr>
    </w:p>
    <w:p w:rsidR="001C55F3" w:rsidRPr="007C04D2" w:rsidRDefault="001C55F3" w:rsidP="001C55F3">
      <w:pPr>
        <w:shd w:val="clear" w:color="auto" w:fill="C6D9F1" w:themeFill="text2" w:themeFillTint="33"/>
        <w:autoSpaceDE w:val="0"/>
        <w:autoSpaceDN w:val="0"/>
        <w:adjustRightInd w:val="0"/>
        <w:spacing w:after="0" w:line="240" w:lineRule="auto"/>
        <w:ind w:firstLine="360"/>
        <w:jc w:val="both"/>
        <w:rPr>
          <w:rFonts w:cstheme="minorHAnsi"/>
          <w:b/>
        </w:rPr>
      </w:pPr>
      <w:r w:rsidRPr="007C04D2">
        <w:rPr>
          <w:rFonts w:cstheme="minorHAnsi"/>
          <w:b/>
        </w:rPr>
        <w:t>Deliverables Task 1.2.a</w:t>
      </w:r>
    </w:p>
    <w:p w:rsidR="001C55F3" w:rsidRPr="007C04D2" w:rsidRDefault="001C55F3" w:rsidP="001C55F3">
      <w:pPr>
        <w:numPr>
          <w:ilvl w:val="0"/>
          <w:numId w:val="3"/>
        </w:numPr>
        <w:shd w:val="clear" w:color="auto" w:fill="C6D9F1" w:themeFill="text2" w:themeFillTint="33"/>
        <w:autoSpaceDE w:val="0"/>
        <w:autoSpaceDN w:val="0"/>
        <w:adjustRightInd w:val="0"/>
        <w:spacing w:after="0" w:line="240" w:lineRule="auto"/>
        <w:contextualSpacing/>
        <w:jc w:val="both"/>
        <w:rPr>
          <w:rFonts w:cstheme="minorHAnsi"/>
          <w:b/>
        </w:rPr>
      </w:pPr>
      <w:r w:rsidRPr="007C04D2">
        <w:rPr>
          <w:rFonts w:cstheme="minorHAnsi"/>
          <w:b/>
        </w:rPr>
        <w:t xml:space="preserve">Completed section(s) in the Fact Sheets per country-case study; </w:t>
      </w:r>
    </w:p>
    <w:p w:rsidR="001C55F3" w:rsidRPr="007C04D2" w:rsidRDefault="001C55F3" w:rsidP="001C55F3">
      <w:pPr>
        <w:numPr>
          <w:ilvl w:val="0"/>
          <w:numId w:val="3"/>
        </w:numPr>
        <w:shd w:val="clear" w:color="auto" w:fill="C6D9F1" w:themeFill="text2" w:themeFillTint="33"/>
        <w:autoSpaceDE w:val="0"/>
        <w:autoSpaceDN w:val="0"/>
        <w:adjustRightInd w:val="0"/>
        <w:spacing w:after="0" w:line="240" w:lineRule="auto"/>
        <w:contextualSpacing/>
        <w:jc w:val="both"/>
        <w:rPr>
          <w:rFonts w:cstheme="minorHAnsi"/>
          <w:b/>
        </w:rPr>
      </w:pPr>
      <w:r w:rsidRPr="007C04D2">
        <w:rPr>
          <w:rFonts w:cstheme="minorHAnsi"/>
          <w:b/>
        </w:rPr>
        <w:t xml:space="preserve">A section in the draft Interim Report with a review and evaluation of parameters, data and indicators currently used </w:t>
      </w:r>
      <w:r w:rsidRPr="007C04D2">
        <w:rPr>
          <w:rFonts w:cstheme="minorHAnsi"/>
          <w:b/>
          <w:i/>
        </w:rPr>
        <w:t>to map/assess ecosystem changes in the MS, or to report on state of ecosystems at aggregated spatial scales</w:t>
      </w:r>
      <w:r w:rsidRPr="007C04D2">
        <w:rPr>
          <w:rFonts w:cstheme="minorHAnsi"/>
          <w:b/>
        </w:rPr>
        <w:t xml:space="preserve"> ( as required by the EC) based on the analysis of the fact-sheets; </w:t>
      </w:r>
    </w:p>
    <w:p w:rsidR="001C55F3" w:rsidRPr="007C04D2" w:rsidRDefault="001C55F3" w:rsidP="001C55F3">
      <w:pPr>
        <w:numPr>
          <w:ilvl w:val="0"/>
          <w:numId w:val="3"/>
        </w:numPr>
        <w:shd w:val="clear" w:color="auto" w:fill="C6D9F1" w:themeFill="text2" w:themeFillTint="33"/>
        <w:autoSpaceDE w:val="0"/>
        <w:autoSpaceDN w:val="0"/>
        <w:adjustRightInd w:val="0"/>
        <w:spacing w:after="0" w:line="240" w:lineRule="auto"/>
        <w:contextualSpacing/>
        <w:jc w:val="both"/>
        <w:rPr>
          <w:rFonts w:cstheme="minorHAnsi"/>
          <w:b/>
        </w:rPr>
      </w:pPr>
      <w:r w:rsidRPr="007C04D2">
        <w:rPr>
          <w:rFonts w:cstheme="minorHAnsi"/>
          <w:b/>
        </w:rPr>
        <w:t>A section in the draft Interim report which considers how to use Member state experience to improve the EU methodology.</w:t>
      </w:r>
    </w:p>
    <w:p w:rsidR="001C55F3" w:rsidRPr="00970638" w:rsidRDefault="001C55F3" w:rsidP="001C55F3">
      <w:pPr>
        <w:autoSpaceDE w:val="0"/>
        <w:autoSpaceDN w:val="0"/>
        <w:adjustRightInd w:val="0"/>
        <w:spacing w:after="0" w:line="240" w:lineRule="auto"/>
        <w:jc w:val="both"/>
        <w:rPr>
          <w:rFonts w:cstheme="minorHAnsi"/>
          <w:sz w:val="24"/>
          <w:szCs w:val="24"/>
        </w:rPr>
      </w:pPr>
    </w:p>
    <w:p w:rsidR="001C55F3" w:rsidRPr="0001090D" w:rsidRDefault="001C55F3" w:rsidP="001C55F3">
      <w:pPr>
        <w:spacing w:after="0"/>
        <w:ind w:firstLine="360"/>
        <w:jc w:val="both"/>
        <w:rPr>
          <w:rFonts w:cstheme="minorHAnsi"/>
          <w:b/>
          <w:i/>
          <w:sz w:val="24"/>
          <w:szCs w:val="24"/>
        </w:rPr>
      </w:pPr>
      <w:r>
        <w:rPr>
          <w:rFonts w:cstheme="minorHAnsi"/>
          <w:b/>
          <w:i/>
          <w:sz w:val="24"/>
          <w:szCs w:val="24"/>
        </w:rPr>
        <w:t>Task 1.2 (</w:t>
      </w:r>
      <w:r w:rsidRPr="0001090D">
        <w:rPr>
          <w:rFonts w:cstheme="minorHAnsi"/>
          <w:b/>
          <w:i/>
          <w:sz w:val="24"/>
          <w:szCs w:val="24"/>
        </w:rPr>
        <w:t>b) Mapping/assessment of ecosystem services</w:t>
      </w:r>
    </w:p>
    <w:p w:rsidR="001C55F3" w:rsidRPr="007C04D2" w:rsidRDefault="001C55F3" w:rsidP="00622218">
      <w:pPr>
        <w:numPr>
          <w:ilvl w:val="0"/>
          <w:numId w:val="85"/>
        </w:numPr>
        <w:spacing w:after="0" w:line="240" w:lineRule="auto"/>
        <w:contextualSpacing/>
        <w:jc w:val="both"/>
        <w:rPr>
          <w:rFonts w:cstheme="minorHAnsi"/>
        </w:rPr>
      </w:pPr>
      <w:r w:rsidRPr="007C04D2">
        <w:rPr>
          <w:rFonts w:cstheme="minorHAnsi"/>
        </w:rPr>
        <w:t>In analogy to the approach and steps outlined above for assessment of ecosystems and changes of ecosystems, the Country Case approaches at national and regional level are documented and compared with the EU approaches, as developed by the JRC and its partners in the PRESS-1 and 2 projects (Maes et al., 2011;Maes et al., 2012).</w:t>
      </w:r>
    </w:p>
    <w:p w:rsidR="001C55F3" w:rsidRPr="007C04D2" w:rsidRDefault="001C55F3" w:rsidP="00622218">
      <w:pPr>
        <w:numPr>
          <w:ilvl w:val="0"/>
          <w:numId w:val="85"/>
        </w:numPr>
        <w:spacing w:after="0" w:line="240" w:lineRule="auto"/>
        <w:contextualSpacing/>
        <w:jc w:val="both"/>
        <w:rPr>
          <w:rFonts w:cstheme="minorHAnsi"/>
        </w:rPr>
      </w:pPr>
      <w:r w:rsidRPr="007C04D2">
        <w:rPr>
          <w:rFonts w:cstheme="minorHAnsi"/>
        </w:rPr>
        <w:t xml:space="preserve">The discussions in the Working Group MAES on the EU methodological framework (with RUBICODE and CICES as departure points) will be used to further develop and explore possibilities for standardisation on e.g. indicators, data sources, data transformation, up- and down scaling. </w:t>
      </w:r>
    </w:p>
    <w:p w:rsidR="001C55F3" w:rsidRPr="007C04D2" w:rsidRDefault="001C55F3" w:rsidP="001C55F3">
      <w:pPr>
        <w:autoSpaceDE w:val="0"/>
        <w:autoSpaceDN w:val="0"/>
        <w:adjustRightInd w:val="0"/>
        <w:spacing w:after="0" w:line="240" w:lineRule="auto"/>
        <w:jc w:val="both"/>
        <w:rPr>
          <w:rFonts w:cstheme="minorHAnsi"/>
          <w:b/>
        </w:rPr>
      </w:pPr>
    </w:p>
    <w:p w:rsidR="001C55F3" w:rsidRPr="007C04D2" w:rsidRDefault="001C55F3" w:rsidP="001C55F3">
      <w:pPr>
        <w:shd w:val="clear" w:color="auto" w:fill="C6D9F1" w:themeFill="text2" w:themeFillTint="33"/>
        <w:autoSpaceDE w:val="0"/>
        <w:autoSpaceDN w:val="0"/>
        <w:adjustRightInd w:val="0"/>
        <w:spacing w:after="0" w:line="240" w:lineRule="auto"/>
        <w:ind w:firstLine="360"/>
        <w:jc w:val="both"/>
        <w:rPr>
          <w:rFonts w:cstheme="minorHAnsi"/>
          <w:b/>
        </w:rPr>
      </w:pPr>
      <w:r w:rsidRPr="007C04D2">
        <w:rPr>
          <w:rFonts w:cstheme="minorHAnsi"/>
          <w:b/>
        </w:rPr>
        <w:t>Deliverables Task 1.2.b</w:t>
      </w:r>
    </w:p>
    <w:p w:rsidR="001C55F3" w:rsidRPr="007C04D2" w:rsidRDefault="001C55F3" w:rsidP="001C55F3">
      <w:pPr>
        <w:numPr>
          <w:ilvl w:val="0"/>
          <w:numId w:val="3"/>
        </w:numPr>
        <w:shd w:val="clear" w:color="auto" w:fill="C6D9F1" w:themeFill="text2" w:themeFillTint="33"/>
        <w:autoSpaceDE w:val="0"/>
        <w:autoSpaceDN w:val="0"/>
        <w:adjustRightInd w:val="0"/>
        <w:spacing w:after="0" w:line="240" w:lineRule="auto"/>
        <w:contextualSpacing/>
        <w:jc w:val="both"/>
        <w:rPr>
          <w:rFonts w:cstheme="minorHAnsi"/>
          <w:b/>
        </w:rPr>
      </w:pPr>
      <w:r w:rsidRPr="007C04D2">
        <w:rPr>
          <w:rFonts w:cstheme="minorHAnsi"/>
          <w:b/>
        </w:rPr>
        <w:t xml:space="preserve">Completed section(s) in the Fact Sheets per pilot study; </w:t>
      </w:r>
    </w:p>
    <w:p w:rsidR="001C55F3" w:rsidRPr="007C04D2" w:rsidRDefault="001C55F3" w:rsidP="001C55F3">
      <w:pPr>
        <w:numPr>
          <w:ilvl w:val="0"/>
          <w:numId w:val="3"/>
        </w:numPr>
        <w:shd w:val="clear" w:color="auto" w:fill="C6D9F1" w:themeFill="text2" w:themeFillTint="33"/>
        <w:autoSpaceDE w:val="0"/>
        <w:autoSpaceDN w:val="0"/>
        <w:adjustRightInd w:val="0"/>
        <w:spacing w:after="0" w:line="240" w:lineRule="auto"/>
        <w:contextualSpacing/>
        <w:jc w:val="both"/>
        <w:rPr>
          <w:rFonts w:cstheme="minorHAnsi"/>
          <w:b/>
        </w:rPr>
      </w:pPr>
      <w:r w:rsidRPr="007C04D2">
        <w:rPr>
          <w:rFonts w:cstheme="minorHAnsi"/>
          <w:b/>
        </w:rPr>
        <w:t xml:space="preserve">A section in the draft Interim Report with a review and evaluation of parameters, data and indicators currently used </w:t>
      </w:r>
      <w:r w:rsidRPr="007C04D2">
        <w:rPr>
          <w:rFonts w:cstheme="minorHAnsi"/>
          <w:b/>
          <w:i/>
        </w:rPr>
        <w:t>to map/assess ecosystem services in the MS</w:t>
      </w:r>
      <w:r w:rsidRPr="007C04D2">
        <w:rPr>
          <w:rFonts w:cstheme="minorHAnsi"/>
          <w:b/>
        </w:rPr>
        <w:t xml:space="preserve"> ( as required by the EC) based on the analysis of the fact-sheets;</w:t>
      </w:r>
    </w:p>
    <w:p w:rsidR="001C55F3" w:rsidRPr="007C04D2" w:rsidRDefault="001C55F3" w:rsidP="001C55F3">
      <w:pPr>
        <w:numPr>
          <w:ilvl w:val="0"/>
          <w:numId w:val="3"/>
        </w:numPr>
        <w:shd w:val="clear" w:color="auto" w:fill="C6D9F1" w:themeFill="text2" w:themeFillTint="33"/>
        <w:autoSpaceDE w:val="0"/>
        <w:autoSpaceDN w:val="0"/>
        <w:adjustRightInd w:val="0"/>
        <w:spacing w:after="0" w:line="240" w:lineRule="auto"/>
        <w:contextualSpacing/>
        <w:jc w:val="both"/>
        <w:rPr>
          <w:rFonts w:cstheme="minorHAnsi"/>
          <w:b/>
        </w:rPr>
      </w:pPr>
      <w:r w:rsidRPr="007C04D2">
        <w:rPr>
          <w:rFonts w:cstheme="minorHAnsi"/>
          <w:b/>
        </w:rPr>
        <w:t>A section in the Interim report which considers how to use Member state experience to improve the EU methodology.</w:t>
      </w:r>
    </w:p>
    <w:p w:rsidR="001C55F3" w:rsidRDefault="001C55F3" w:rsidP="001C55F3">
      <w:pPr>
        <w:jc w:val="both"/>
        <w:rPr>
          <w:rFonts w:cstheme="minorHAnsi"/>
          <w:b/>
          <w:bCs/>
          <w:sz w:val="24"/>
          <w:szCs w:val="24"/>
          <w:u w:val="single"/>
        </w:rPr>
      </w:pPr>
    </w:p>
    <w:p w:rsidR="001C55F3" w:rsidRPr="0078140F" w:rsidRDefault="001C55F3" w:rsidP="001C55F3">
      <w:pPr>
        <w:pStyle w:val="Titre3"/>
        <w:rPr>
          <w:rFonts w:asciiTheme="minorHAnsi" w:hAnsiTheme="minorHAnsi"/>
          <w:b w:val="0"/>
          <w:i w:val="0"/>
          <w:sz w:val="22"/>
          <w:szCs w:val="22"/>
          <w:u w:val="single"/>
        </w:rPr>
      </w:pPr>
      <w:r w:rsidRPr="0078140F">
        <w:rPr>
          <w:rFonts w:asciiTheme="minorHAnsi" w:hAnsiTheme="minorHAnsi"/>
          <w:b w:val="0"/>
          <w:i w:val="0"/>
          <w:sz w:val="22"/>
          <w:szCs w:val="22"/>
          <w:u w:val="single"/>
        </w:rPr>
        <w:t>Methodology Task 1.2</w:t>
      </w:r>
    </w:p>
    <w:p w:rsidR="001C55F3" w:rsidRPr="0078140F" w:rsidRDefault="001C55F3" w:rsidP="00622218">
      <w:pPr>
        <w:numPr>
          <w:ilvl w:val="0"/>
          <w:numId w:val="86"/>
        </w:numPr>
        <w:tabs>
          <w:tab w:val="left" w:pos="1418"/>
        </w:tabs>
        <w:autoSpaceDE w:val="0"/>
        <w:autoSpaceDN w:val="0"/>
        <w:adjustRightInd w:val="0"/>
        <w:spacing w:after="0" w:line="240" w:lineRule="auto"/>
        <w:contextualSpacing/>
        <w:jc w:val="both"/>
        <w:rPr>
          <w:rFonts w:cstheme="minorHAnsi"/>
          <w:color w:val="000000"/>
        </w:rPr>
      </w:pPr>
      <w:r w:rsidRPr="0078140F">
        <w:rPr>
          <w:rFonts w:cstheme="minorHAnsi"/>
          <w:color w:val="000000"/>
        </w:rPr>
        <w:t xml:space="preserve">The country cases are reviewed and analysed by the Consortium partners. They describe and evaluate the features of the pilot cases in “fact sheets” </w:t>
      </w:r>
    </w:p>
    <w:p w:rsidR="001C55F3" w:rsidRPr="0078140F" w:rsidRDefault="001C55F3" w:rsidP="00622218">
      <w:pPr>
        <w:numPr>
          <w:ilvl w:val="0"/>
          <w:numId w:val="86"/>
        </w:numPr>
        <w:tabs>
          <w:tab w:val="left" w:pos="1418"/>
        </w:tabs>
        <w:autoSpaceDE w:val="0"/>
        <w:autoSpaceDN w:val="0"/>
        <w:adjustRightInd w:val="0"/>
        <w:spacing w:after="0" w:line="240" w:lineRule="auto"/>
        <w:contextualSpacing/>
        <w:jc w:val="both"/>
        <w:rPr>
          <w:rFonts w:cstheme="minorHAnsi"/>
          <w:color w:val="000000"/>
        </w:rPr>
      </w:pPr>
      <w:r w:rsidRPr="0078140F">
        <w:rPr>
          <w:rFonts w:cstheme="minorHAnsi"/>
          <w:color w:val="000000"/>
        </w:rPr>
        <w:t xml:space="preserve">The fact sheet structure was developed in the first month of the project and included in the draft inception report to be discussed at the Kick-off meeting. </w:t>
      </w:r>
    </w:p>
    <w:p w:rsidR="001C55F3" w:rsidRPr="0078140F" w:rsidRDefault="001C55F3" w:rsidP="00622218">
      <w:pPr>
        <w:numPr>
          <w:ilvl w:val="0"/>
          <w:numId w:val="86"/>
        </w:numPr>
        <w:tabs>
          <w:tab w:val="left" w:pos="1418"/>
        </w:tabs>
        <w:autoSpaceDE w:val="0"/>
        <w:autoSpaceDN w:val="0"/>
        <w:adjustRightInd w:val="0"/>
        <w:spacing w:after="0" w:line="240" w:lineRule="auto"/>
        <w:contextualSpacing/>
        <w:jc w:val="both"/>
        <w:rPr>
          <w:rFonts w:cstheme="minorHAnsi"/>
          <w:color w:val="000000"/>
        </w:rPr>
      </w:pPr>
      <w:r w:rsidRPr="0078140F">
        <w:rPr>
          <w:rFonts w:cstheme="minorHAnsi"/>
          <w:color w:val="000000"/>
        </w:rPr>
        <w:t>Each one of the Consortium partners has the primary responsibility to produce a factsheet for one of the pilot cases, for Tasks 1, 2 and 3.</w:t>
      </w:r>
    </w:p>
    <w:p w:rsidR="001C55F3" w:rsidRPr="0078140F" w:rsidRDefault="001C55F3" w:rsidP="00622218">
      <w:pPr>
        <w:numPr>
          <w:ilvl w:val="0"/>
          <w:numId w:val="86"/>
        </w:numPr>
        <w:tabs>
          <w:tab w:val="left" w:pos="1418"/>
        </w:tabs>
        <w:autoSpaceDE w:val="0"/>
        <w:autoSpaceDN w:val="0"/>
        <w:adjustRightInd w:val="0"/>
        <w:spacing w:after="0" w:line="240" w:lineRule="auto"/>
        <w:contextualSpacing/>
        <w:jc w:val="both"/>
        <w:rPr>
          <w:rFonts w:cstheme="minorHAnsi"/>
          <w:color w:val="000000"/>
        </w:rPr>
      </w:pPr>
      <w:r w:rsidRPr="0078140F">
        <w:rPr>
          <w:rFonts w:cstheme="minorHAnsi"/>
          <w:color w:val="000000"/>
        </w:rPr>
        <w:t xml:space="preserve">Each of the consortium partners will subsequently perform “peer reviews” on the fact sheets produced by the other partners. </w:t>
      </w:r>
    </w:p>
    <w:p w:rsidR="001C55F3" w:rsidRPr="0078140F" w:rsidRDefault="001C55F3" w:rsidP="00622218">
      <w:pPr>
        <w:numPr>
          <w:ilvl w:val="0"/>
          <w:numId w:val="86"/>
        </w:numPr>
        <w:tabs>
          <w:tab w:val="left" w:pos="1418"/>
        </w:tabs>
        <w:autoSpaceDE w:val="0"/>
        <w:autoSpaceDN w:val="0"/>
        <w:adjustRightInd w:val="0"/>
        <w:spacing w:after="0" w:line="240" w:lineRule="auto"/>
        <w:contextualSpacing/>
        <w:jc w:val="both"/>
        <w:rPr>
          <w:rFonts w:cstheme="minorHAnsi"/>
          <w:color w:val="000000"/>
        </w:rPr>
      </w:pPr>
      <w:r w:rsidRPr="0078140F">
        <w:rPr>
          <w:rFonts w:cstheme="minorHAnsi"/>
          <w:color w:val="000000"/>
        </w:rPr>
        <w:t>The Contractor will review all fact sheets.</w:t>
      </w:r>
    </w:p>
    <w:p w:rsidR="001C55F3" w:rsidRPr="0078140F" w:rsidRDefault="001C55F3" w:rsidP="001C55F3">
      <w:pPr>
        <w:autoSpaceDE w:val="0"/>
        <w:autoSpaceDN w:val="0"/>
        <w:adjustRightInd w:val="0"/>
        <w:spacing w:after="0" w:line="240" w:lineRule="auto"/>
        <w:jc w:val="both"/>
        <w:rPr>
          <w:rFonts w:cstheme="minorHAnsi"/>
          <w:i/>
        </w:rPr>
      </w:pPr>
      <w:r w:rsidRPr="0078140F">
        <w:rPr>
          <w:rFonts w:cstheme="minorHAnsi"/>
          <w:i/>
        </w:rPr>
        <w:lastRenderedPageBreak/>
        <w:t>Preliminary selection of ecosystems and related ecosystem services</w:t>
      </w:r>
    </w:p>
    <w:p w:rsidR="001C55F3" w:rsidRPr="0078140F" w:rsidRDefault="001C55F3" w:rsidP="001C55F3">
      <w:pPr>
        <w:autoSpaceDE w:val="0"/>
        <w:autoSpaceDN w:val="0"/>
        <w:adjustRightInd w:val="0"/>
        <w:spacing w:after="0" w:line="240" w:lineRule="auto"/>
        <w:jc w:val="both"/>
        <w:rPr>
          <w:rFonts w:cstheme="minorHAnsi"/>
        </w:rPr>
      </w:pPr>
      <w:r w:rsidRPr="0078140F">
        <w:rPr>
          <w:rFonts w:cstheme="minorHAnsi"/>
        </w:rPr>
        <w:t xml:space="preserve">The Consortium has used the RUBICODE based matrix (as shown in Table 3.2) as basis to select </w:t>
      </w:r>
      <w:r w:rsidRPr="0078140F">
        <w:rPr>
          <w:rFonts w:cstheme="minorHAnsi"/>
          <w:i/>
        </w:rPr>
        <w:t xml:space="preserve">at least </w:t>
      </w:r>
      <w:r w:rsidRPr="0078140F">
        <w:rPr>
          <w:rFonts w:cstheme="minorHAnsi"/>
          <w:bCs/>
          <w:i/>
        </w:rPr>
        <w:t>two ecosystems and related ecosystem servicesfor each country case</w:t>
      </w:r>
      <w:r w:rsidRPr="0078140F">
        <w:rPr>
          <w:rFonts w:cstheme="minorHAnsi"/>
          <w:bCs/>
        </w:rPr>
        <w:t xml:space="preserve"> (</w:t>
      </w:r>
      <w:r w:rsidRPr="0078140F">
        <w:rPr>
          <w:rFonts w:cstheme="minorHAnsi"/>
        </w:rPr>
        <w:t>as required in the Invitation to Tender). The matrix gives a preliminary selection of ecosystems and ecosystem services per pilot case. The consortium will discuss the proposal with  DG Environment (and/or the Steering Group) and make a final selection at the Kick-off meeting.</w:t>
      </w:r>
    </w:p>
    <w:p w:rsidR="001C55F3" w:rsidRPr="00970638" w:rsidRDefault="001C55F3" w:rsidP="001C55F3">
      <w:pPr>
        <w:autoSpaceDE w:val="0"/>
        <w:autoSpaceDN w:val="0"/>
        <w:adjustRightInd w:val="0"/>
        <w:spacing w:after="0" w:line="240" w:lineRule="auto"/>
        <w:jc w:val="both"/>
        <w:rPr>
          <w:rFonts w:cstheme="minorHAnsi"/>
          <w:sz w:val="24"/>
          <w:szCs w:val="24"/>
        </w:rPr>
      </w:pPr>
    </w:p>
    <w:p w:rsidR="001C55F3" w:rsidRDefault="001C55F3" w:rsidP="001C55F3">
      <w:pPr>
        <w:autoSpaceDE w:val="0"/>
        <w:autoSpaceDN w:val="0"/>
        <w:adjustRightInd w:val="0"/>
        <w:spacing w:after="0" w:line="240" w:lineRule="auto"/>
        <w:jc w:val="both"/>
        <w:rPr>
          <w:rFonts w:cstheme="minorHAnsi"/>
          <w:b/>
          <w:bCs/>
          <w:sz w:val="24"/>
          <w:szCs w:val="24"/>
        </w:rPr>
      </w:pPr>
      <w:r w:rsidRPr="00396773">
        <w:rPr>
          <w:rFonts w:cstheme="minorHAnsi"/>
          <w:b/>
          <w:sz w:val="24"/>
          <w:szCs w:val="24"/>
        </w:rPr>
        <w:t xml:space="preserve">Table </w:t>
      </w:r>
      <w:r>
        <w:rPr>
          <w:rFonts w:cstheme="minorHAnsi"/>
          <w:b/>
          <w:sz w:val="24"/>
          <w:szCs w:val="24"/>
        </w:rPr>
        <w:t>1</w:t>
      </w:r>
      <w:r w:rsidRPr="00396773">
        <w:rPr>
          <w:rFonts w:cstheme="minorHAnsi"/>
          <w:b/>
          <w:sz w:val="24"/>
          <w:szCs w:val="24"/>
        </w:rPr>
        <w:t>.1</w:t>
      </w:r>
      <w:r w:rsidRPr="00396773">
        <w:rPr>
          <w:rFonts w:cstheme="minorHAnsi"/>
          <w:b/>
          <w:sz w:val="24"/>
          <w:szCs w:val="24"/>
        </w:rPr>
        <w:tab/>
      </w:r>
      <w:r w:rsidRPr="00396773">
        <w:rPr>
          <w:rFonts w:cstheme="minorHAnsi"/>
          <w:b/>
          <w:bCs/>
          <w:sz w:val="24"/>
          <w:szCs w:val="24"/>
        </w:rPr>
        <w:t>RUBICODE based table with suggested ecosystems and services for each</w:t>
      </w:r>
      <w:r>
        <w:rPr>
          <w:rFonts w:cstheme="minorHAnsi"/>
          <w:b/>
          <w:bCs/>
          <w:sz w:val="24"/>
          <w:szCs w:val="24"/>
        </w:rPr>
        <w:t>country</w:t>
      </w:r>
      <w:r w:rsidRPr="00970638">
        <w:rPr>
          <w:rFonts w:cstheme="minorHAnsi"/>
          <w:b/>
          <w:bCs/>
          <w:sz w:val="24"/>
          <w:szCs w:val="24"/>
        </w:rPr>
        <w:t xml:space="preserve"> case proposed. PC11 = UK; PC12 = Spain; PC21= Belgium; PC22 = Austria; PC31 = Switzerland; PC32 = Balkan countries; PC4 = Wadden Sea</w:t>
      </w:r>
    </w:p>
    <w:p w:rsidR="001C55F3" w:rsidRPr="00970638" w:rsidRDefault="001C55F3" w:rsidP="001C55F3">
      <w:pPr>
        <w:autoSpaceDE w:val="0"/>
        <w:autoSpaceDN w:val="0"/>
        <w:adjustRightInd w:val="0"/>
        <w:spacing w:after="0" w:line="240" w:lineRule="auto"/>
        <w:jc w:val="both"/>
        <w:rPr>
          <w:rFonts w:cstheme="minorHAnsi"/>
          <w:b/>
          <w:sz w:val="24"/>
          <w:szCs w:val="24"/>
        </w:rPr>
      </w:pPr>
    </w:p>
    <w:tbl>
      <w:tblPr>
        <w:tblStyle w:val="Titre5Car"/>
        <w:tblW w:w="0" w:type="auto"/>
        <w:tblLook w:val="04A0"/>
      </w:tblPr>
      <w:tblGrid>
        <w:gridCol w:w="1619"/>
        <w:gridCol w:w="974"/>
        <w:gridCol w:w="1028"/>
        <w:gridCol w:w="1295"/>
        <w:gridCol w:w="1110"/>
        <w:gridCol w:w="1169"/>
        <w:gridCol w:w="1022"/>
        <w:gridCol w:w="1069"/>
      </w:tblGrid>
      <w:tr w:rsidR="001C55F3" w:rsidRPr="00970638" w:rsidTr="001C55F3">
        <w:tc>
          <w:tcPr>
            <w:tcW w:w="1619"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Ecosystems</w:t>
            </w:r>
            <w:r w:rsidRPr="00970638">
              <w:rPr>
                <w:rFonts w:cstheme="minorHAnsi"/>
                <w:b/>
                <w:bCs/>
                <w:sz w:val="24"/>
                <w:szCs w:val="24"/>
              </w:rPr>
              <w:sym w:font="Wingdings" w:char="F0E8"/>
            </w:r>
          </w:p>
        </w:tc>
        <w:tc>
          <w:tcPr>
            <w:tcW w:w="976"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Agro</w:t>
            </w:r>
          </w:p>
        </w:tc>
        <w:tc>
          <w:tcPr>
            <w:tcW w:w="1028"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Forest</w:t>
            </w:r>
          </w:p>
        </w:tc>
        <w:tc>
          <w:tcPr>
            <w:tcW w:w="1295"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Grasslands</w:t>
            </w:r>
          </w:p>
        </w:tc>
        <w:tc>
          <w:tcPr>
            <w:tcW w:w="1110"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Heath &amp;Scrubs</w:t>
            </w:r>
          </w:p>
        </w:tc>
        <w:tc>
          <w:tcPr>
            <w:tcW w:w="1169"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Wetlands</w:t>
            </w:r>
          </w:p>
        </w:tc>
        <w:tc>
          <w:tcPr>
            <w:tcW w:w="1022"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Lakes &amp;  Rivers</w:t>
            </w:r>
          </w:p>
        </w:tc>
        <w:tc>
          <w:tcPr>
            <w:tcW w:w="1069"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Marine</w:t>
            </w:r>
          </w:p>
        </w:tc>
      </w:tr>
      <w:tr w:rsidR="001C55F3" w:rsidRPr="00970638" w:rsidTr="001C55F3">
        <w:tc>
          <w:tcPr>
            <w:tcW w:w="1619"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 xml:space="preserve">Services </w:t>
            </w:r>
          </w:p>
        </w:tc>
        <w:tc>
          <w:tcPr>
            <w:tcW w:w="976" w:type="dxa"/>
            <w:shd w:val="clear" w:color="auto" w:fill="EEECE1" w:themeFill="background2"/>
          </w:tcPr>
          <w:p w:rsidR="001C55F3" w:rsidRPr="00970638" w:rsidRDefault="001C55F3" w:rsidP="001C55F3">
            <w:pPr>
              <w:autoSpaceDE w:val="0"/>
              <w:autoSpaceDN w:val="0"/>
              <w:adjustRightInd w:val="0"/>
              <w:jc w:val="both"/>
              <w:rPr>
                <w:rFonts w:cstheme="minorHAnsi"/>
                <w:b/>
                <w:bCs/>
                <w:sz w:val="24"/>
                <w:szCs w:val="24"/>
              </w:rPr>
            </w:pPr>
          </w:p>
        </w:tc>
        <w:tc>
          <w:tcPr>
            <w:tcW w:w="1028" w:type="dxa"/>
            <w:shd w:val="clear" w:color="auto" w:fill="EEECE1" w:themeFill="background2"/>
          </w:tcPr>
          <w:p w:rsidR="001C55F3" w:rsidRPr="00970638" w:rsidRDefault="001C55F3" w:rsidP="001C55F3">
            <w:pPr>
              <w:autoSpaceDE w:val="0"/>
              <w:autoSpaceDN w:val="0"/>
              <w:adjustRightInd w:val="0"/>
              <w:jc w:val="both"/>
              <w:rPr>
                <w:rFonts w:cstheme="minorHAnsi"/>
                <w:b/>
                <w:bCs/>
                <w:sz w:val="24"/>
                <w:szCs w:val="24"/>
              </w:rPr>
            </w:pPr>
          </w:p>
        </w:tc>
        <w:tc>
          <w:tcPr>
            <w:tcW w:w="1295" w:type="dxa"/>
            <w:shd w:val="clear" w:color="auto" w:fill="EEECE1" w:themeFill="background2"/>
          </w:tcPr>
          <w:p w:rsidR="001C55F3" w:rsidRPr="00970638" w:rsidRDefault="001C55F3" w:rsidP="001C55F3">
            <w:pPr>
              <w:autoSpaceDE w:val="0"/>
              <w:autoSpaceDN w:val="0"/>
              <w:adjustRightInd w:val="0"/>
              <w:jc w:val="both"/>
              <w:rPr>
                <w:rFonts w:cstheme="minorHAnsi"/>
                <w:b/>
                <w:bCs/>
                <w:sz w:val="24"/>
                <w:szCs w:val="24"/>
              </w:rPr>
            </w:pPr>
          </w:p>
        </w:tc>
        <w:tc>
          <w:tcPr>
            <w:tcW w:w="1110" w:type="dxa"/>
            <w:shd w:val="clear" w:color="auto" w:fill="EEECE1" w:themeFill="background2"/>
          </w:tcPr>
          <w:p w:rsidR="001C55F3" w:rsidRPr="00970638" w:rsidRDefault="001C55F3" w:rsidP="001C55F3">
            <w:pPr>
              <w:autoSpaceDE w:val="0"/>
              <w:autoSpaceDN w:val="0"/>
              <w:adjustRightInd w:val="0"/>
              <w:jc w:val="both"/>
              <w:rPr>
                <w:rFonts w:cstheme="minorHAnsi"/>
                <w:b/>
                <w:bCs/>
                <w:sz w:val="24"/>
                <w:szCs w:val="24"/>
              </w:rPr>
            </w:pPr>
          </w:p>
        </w:tc>
        <w:tc>
          <w:tcPr>
            <w:tcW w:w="1169" w:type="dxa"/>
            <w:shd w:val="clear" w:color="auto" w:fill="EEECE1" w:themeFill="background2"/>
          </w:tcPr>
          <w:p w:rsidR="001C55F3" w:rsidRPr="00970638" w:rsidRDefault="001C55F3" w:rsidP="001C55F3">
            <w:pPr>
              <w:autoSpaceDE w:val="0"/>
              <w:autoSpaceDN w:val="0"/>
              <w:adjustRightInd w:val="0"/>
              <w:jc w:val="both"/>
              <w:rPr>
                <w:rFonts w:cstheme="minorHAnsi"/>
                <w:b/>
                <w:bCs/>
                <w:sz w:val="24"/>
                <w:szCs w:val="24"/>
              </w:rPr>
            </w:pPr>
          </w:p>
        </w:tc>
        <w:tc>
          <w:tcPr>
            <w:tcW w:w="1022" w:type="dxa"/>
            <w:shd w:val="clear" w:color="auto" w:fill="EEECE1" w:themeFill="background2"/>
          </w:tcPr>
          <w:p w:rsidR="001C55F3" w:rsidRPr="00970638" w:rsidRDefault="001C55F3" w:rsidP="001C55F3">
            <w:pPr>
              <w:autoSpaceDE w:val="0"/>
              <w:autoSpaceDN w:val="0"/>
              <w:adjustRightInd w:val="0"/>
              <w:jc w:val="both"/>
              <w:rPr>
                <w:rFonts w:cstheme="minorHAnsi"/>
                <w:b/>
                <w:bCs/>
                <w:sz w:val="24"/>
                <w:szCs w:val="24"/>
              </w:rPr>
            </w:pPr>
          </w:p>
        </w:tc>
        <w:tc>
          <w:tcPr>
            <w:tcW w:w="1069" w:type="dxa"/>
            <w:shd w:val="clear" w:color="auto" w:fill="EEECE1" w:themeFill="background2"/>
          </w:tcPr>
          <w:p w:rsidR="001C55F3" w:rsidRPr="00970638" w:rsidRDefault="001C55F3" w:rsidP="001C55F3">
            <w:pPr>
              <w:autoSpaceDE w:val="0"/>
              <w:autoSpaceDN w:val="0"/>
              <w:adjustRightInd w:val="0"/>
              <w:jc w:val="both"/>
              <w:rPr>
                <w:rFonts w:cstheme="minorHAnsi"/>
                <w:b/>
                <w:bCs/>
                <w:sz w:val="24"/>
                <w:szCs w:val="24"/>
              </w:rPr>
            </w:pPr>
          </w:p>
        </w:tc>
      </w:tr>
      <w:tr w:rsidR="001C55F3" w:rsidRPr="00970638" w:rsidTr="001C55F3">
        <w:tc>
          <w:tcPr>
            <w:tcW w:w="1619"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Provisioning</w:t>
            </w:r>
          </w:p>
        </w:tc>
        <w:tc>
          <w:tcPr>
            <w:tcW w:w="976"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PC22</w:t>
            </w:r>
          </w:p>
        </w:tc>
        <w:tc>
          <w:tcPr>
            <w:tcW w:w="1028"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PC12</w:t>
            </w:r>
            <w:r>
              <w:rPr>
                <w:rFonts w:cstheme="minorHAnsi"/>
                <w:b/>
                <w:bCs/>
                <w:sz w:val="24"/>
                <w:szCs w:val="24"/>
              </w:rPr>
              <w:t>,</w:t>
            </w:r>
          </w:p>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 xml:space="preserve">PC21, </w:t>
            </w:r>
          </w:p>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PC22</w:t>
            </w:r>
          </w:p>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w:t>
            </w:r>
            <w:r>
              <w:rPr>
                <w:rFonts w:cstheme="minorHAnsi"/>
                <w:b/>
                <w:bCs/>
                <w:sz w:val="24"/>
                <w:szCs w:val="24"/>
              </w:rPr>
              <w:t>C</w:t>
            </w:r>
            <w:r w:rsidRPr="00970638">
              <w:rPr>
                <w:rFonts w:cstheme="minorHAnsi"/>
                <w:b/>
                <w:bCs/>
                <w:sz w:val="24"/>
                <w:szCs w:val="24"/>
              </w:rPr>
              <w:t>31</w:t>
            </w:r>
          </w:p>
        </w:tc>
        <w:tc>
          <w:tcPr>
            <w:tcW w:w="1295"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PC31</w:t>
            </w:r>
          </w:p>
        </w:tc>
        <w:tc>
          <w:tcPr>
            <w:tcW w:w="1110"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PC11</w:t>
            </w:r>
          </w:p>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PC32</w:t>
            </w:r>
          </w:p>
        </w:tc>
        <w:tc>
          <w:tcPr>
            <w:tcW w:w="1169"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PC12</w:t>
            </w:r>
          </w:p>
        </w:tc>
        <w:tc>
          <w:tcPr>
            <w:tcW w:w="1022"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PC31</w:t>
            </w:r>
          </w:p>
          <w:p w:rsidR="001C55F3" w:rsidRDefault="001C55F3" w:rsidP="001C55F3">
            <w:pPr>
              <w:autoSpaceDE w:val="0"/>
              <w:autoSpaceDN w:val="0"/>
              <w:adjustRightInd w:val="0"/>
              <w:jc w:val="both"/>
              <w:rPr>
                <w:rFonts w:cstheme="minorHAnsi"/>
                <w:b/>
                <w:bCs/>
                <w:sz w:val="24"/>
                <w:szCs w:val="24"/>
              </w:rPr>
            </w:pPr>
            <w:r>
              <w:rPr>
                <w:rFonts w:cstheme="minorHAnsi"/>
                <w:b/>
                <w:bCs/>
                <w:sz w:val="24"/>
                <w:szCs w:val="24"/>
              </w:rPr>
              <w:t>PC32</w:t>
            </w:r>
          </w:p>
          <w:p w:rsidR="001C55F3" w:rsidRDefault="001C55F3" w:rsidP="001C55F3">
            <w:pPr>
              <w:autoSpaceDE w:val="0"/>
              <w:autoSpaceDN w:val="0"/>
              <w:adjustRightInd w:val="0"/>
              <w:jc w:val="both"/>
              <w:rPr>
                <w:rFonts w:cstheme="minorHAnsi"/>
                <w:b/>
                <w:bCs/>
                <w:sz w:val="24"/>
                <w:szCs w:val="24"/>
              </w:rPr>
            </w:pPr>
          </w:p>
          <w:p w:rsidR="001C55F3" w:rsidRPr="00970638" w:rsidRDefault="001C55F3" w:rsidP="001C55F3">
            <w:pPr>
              <w:autoSpaceDE w:val="0"/>
              <w:autoSpaceDN w:val="0"/>
              <w:adjustRightInd w:val="0"/>
              <w:jc w:val="both"/>
              <w:rPr>
                <w:rFonts w:cstheme="minorHAnsi"/>
                <w:b/>
                <w:bCs/>
                <w:sz w:val="24"/>
                <w:szCs w:val="24"/>
              </w:rPr>
            </w:pPr>
          </w:p>
        </w:tc>
        <w:tc>
          <w:tcPr>
            <w:tcW w:w="1069"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PC4</w:t>
            </w:r>
          </w:p>
        </w:tc>
      </w:tr>
      <w:tr w:rsidR="001C55F3" w:rsidRPr="00970638" w:rsidTr="001C55F3">
        <w:tc>
          <w:tcPr>
            <w:tcW w:w="1619"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Regulating</w:t>
            </w:r>
          </w:p>
        </w:tc>
        <w:tc>
          <w:tcPr>
            <w:tcW w:w="976"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PC11</w:t>
            </w:r>
          </w:p>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PC22</w:t>
            </w:r>
          </w:p>
        </w:tc>
        <w:tc>
          <w:tcPr>
            <w:tcW w:w="1028"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PC12</w:t>
            </w:r>
          </w:p>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PC21, P</w:t>
            </w:r>
            <w:r>
              <w:rPr>
                <w:rFonts w:cstheme="minorHAnsi"/>
                <w:b/>
                <w:bCs/>
                <w:sz w:val="24"/>
                <w:szCs w:val="24"/>
              </w:rPr>
              <w:t>C</w:t>
            </w:r>
            <w:r w:rsidRPr="00970638">
              <w:rPr>
                <w:rFonts w:cstheme="minorHAnsi"/>
                <w:b/>
                <w:bCs/>
                <w:sz w:val="24"/>
                <w:szCs w:val="24"/>
              </w:rPr>
              <w:t>31</w:t>
            </w:r>
          </w:p>
        </w:tc>
        <w:tc>
          <w:tcPr>
            <w:tcW w:w="1295"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PC11</w:t>
            </w:r>
          </w:p>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PC31</w:t>
            </w:r>
          </w:p>
        </w:tc>
        <w:tc>
          <w:tcPr>
            <w:tcW w:w="1110"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PC32</w:t>
            </w:r>
          </w:p>
        </w:tc>
        <w:tc>
          <w:tcPr>
            <w:tcW w:w="1169"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PC12</w:t>
            </w:r>
          </w:p>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PC21</w:t>
            </w:r>
          </w:p>
        </w:tc>
        <w:tc>
          <w:tcPr>
            <w:tcW w:w="1022"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PC31</w:t>
            </w:r>
          </w:p>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PC32</w:t>
            </w:r>
          </w:p>
        </w:tc>
        <w:tc>
          <w:tcPr>
            <w:tcW w:w="1069" w:type="dxa"/>
            <w:shd w:val="clear" w:color="auto" w:fill="auto"/>
          </w:tcPr>
          <w:p w:rsidR="001C55F3" w:rsidRPr="00970638" w:rsidRDefault="001C55F3" w:rsidP="001C55F3">
            <w:pPr>
              <w:autoSpaceDE w:val="0"/>
              <w:autoSpaceDN w:val="0"/>
              <w:adjustRightInd w:val="0"/>
              <w:jc w:val="both"/>
              <w:rPr>
                <w:rFonts w:cstheme="minorHAnsi"/>
                <w:b/>
                <w:bCs/>
                <w:sz w:val="24"/>
                <w:szCs w:val="24"/>
              </w:rPr>
            </w:pPr>
          </w:p>
        </w:tc>
      </w:tr>
      <w:tr w:rsidR="001C55F3" w:rsidRPr="00970638" w:rsidTr="001C55F3">
        <w:tc>
          <w:tcPr>
            <w:tcW w:w="1619"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Habitat</w:t>
            </w:r>
          </w:p>
        </w:tc>
        <w:tc>
          <w:tcPr>
            <w:tcW w:w="976"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PC11</w:t>
            </w:r>
          </w:p>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PC22</w:t>
            </w:r>
          </w:p>
        </w:tc>
        <w:tc>
          <w:tcPr>
            <w:tcW w:w="1028"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PC21, P</w:t>
            </w:r>
            <w:r>
              <w:rPr>
                <w:rFonts w:cstheme="minorHAnsi"/>
                <w:b/>
                <w:bCs/>
                <w:sz w:val="24"/>
                <w:szCs w:val="24"/>
              </w:rPr>
              <w:t>C</w:t>
            </w:r>
            <w:r w:rsidRPr="00970638">
              <w:rPr>
                <w:rFonts w:cstheme="minorHAnsi"/>
                <w:b/>
                <w:bCs/>
                <w:sz w:val="24"/>
                <w:szCs w:val="24"/>
              </w:rPr>
              <w:t>31</w:t>
            </w:r>
          </w:p>
        </w:tc>
        <w:tc>
          <w:tcPr>
            <w:tcW w:w="1295"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PC11</w:t>
            </w:r>
          </w:p>
          <w:p w:rsidR="001C55F3" w:rsidRDefault="001C55F3" w:rsidP="001C55F3">
            <w:pPr>
              <w:autoSpaceDE w:val="0"/>
              <w:autoSpaceDN w:val="0"/>
              <w:adjustRightInd w:val="0"/>
              <w:jc w:val="both"/>
              <w:rPr>
                <w:rFonts w:cstheme="minorHAnsi"/>
                <w:b/>
                <w:bCs/>
                <w:sz w:val="24"/>
                <w:szCs w:val="24"/>
              </w:rPr>
            </w:pPr>
            <w:r>
              <w:rPr>
                <w:rFonts w:cstheme="minorHAnsi"/>
                <w:b/>
                <w:bCs/>
                <w:sz w:val="24"/>
                <w:szCs w:val="24"/>
              </w:rPr>
              <w:t>PC21</w:t>
            </w:r>
          </w:p>
          <w:p w:rsidR="001C55F3" w:rsidRPr="00970638" w:rsidRDefault="001C55F3" w:rsidP="001C55F3">
            <w:pPr>
              <w:autoSpaceDE w:val="0"/>
              <w:autoSpaceDN w:val="0"/>
              <w:adjustRightInd w:val="0"/>
              <w:jc w:val="both"/>
              <w:rPr>
                <w:rFonts w:cstheme="minorHAnsi"/>
                <w:b/>
                <w:bCs/>
                <w:sz w:val="24"/>
                <w:szCs w:val="24"/>
              </w:rPr>
            </w:pPr>
            <w:r>
              <w:rPr>
                <w:rFonts w:cstheme="minorHAnsi"/>
                <w:b/>
                <w:bCs/>
                <w:sz w:val="24"/>
                <w:szCs w:val="24"/>
              </w:rPr>
              <w:t>PC</w:t>
            </w:r>
            <w:r w:rsidRPr="00970638">
              <w:rPr>
                <w:rFonts w:cstheme="minorHAnsi"/>
                <w:b/>
                <w:bCs/>
                <w:sz w:val="24"/>
                <w:szCs w:val="24"/>
              </w:rPr>
              <w:t>31</w:t>
            </w:r>
          </w:p>
        </w:tc>
        <w:tc>
          <w:tcPr>
            <w:tcW w:w="1110"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PC21</w:t>
            </w:r>
          </w:p>
        </w:tc>
        <w:tc>
          <w:tcPr>
            <w:tcW w:w="1169"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PC21</w:t>
            </w:r>
          </w:p>
        </w:tc>
        <w:tc>
          <w:tcPr>
            <w:tcW w:w="1022" w:type="dxa"/>
            <w:shd w:val="clear" w:color="auto" w:fill="auto"/>
          </w:tcPr>
          <w:p w:rsidR="001C55F3" w:rsidRPr="00970638" w:rsidRDefault="001C55F3" w:rsidP="001C55F3">
            <w:pPr>
              <w:autoSpaceDE w:val="0"/>
              <w:autoSpaceDN w:val="0"/>
              <w:adjustRightInd w:val="0"/>
              <w:jc w:val="both"/>
              <w:rPr>
                <w:rFonts w:cstheme="minorHAnsi"/>
                <w:b/>
                <w:bCs/>
                <w:sz w:val="24"/>
                <w:szCs w:val="24"/>
              </w:rPr>
            </w:pPr>
          </w:p>
        </w:tc>
        <w:tc>
          <w:tcPr>
            <w:tcW w:w="1069"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PC4</w:t>
            </w:r>
          </w:p>
        </w:tc>
      </w:tr>
      <w:tr w:rsidR="001C55F3" w:rsidRPr="00970638" w:rsidTr="001C55F3">
        <w:tc>
          <w:tcPr>
            <w:tcW w:w="1619" w:type="dxa"/>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Cultural</w:t>
            </w:r>
          </w:p>
        </w:tc>
        <w:tc>
          <w:tcPr>
            <w:tcW w:w="976"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PC22</w:t>
            </w:r>
          </w:p>
        </w:tc>
        <w:tc>
          <w:tcPr>
            <w:tcW w:w="1028"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PC12</w:t>
            </w:r>
          </w:p>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PC21 P</w:t>
            </w:r>
            <w:r>
              <w:rPr>
                <w:rFonts w:cstheme="minorHAnsi"/>
                <w:b/>
                <w:bCs/>
                <w:sz w:val="24"/>
                <w:szCs w:val="24"/>
              </w:rPr>
              <w:t>C</w:t>
            </w:r>
            <w:r w:rsidRPr="00970638">
              <w:rPr>
                <w:rFonts w:cstheme="minorHAnsi"/>
                <w:b/>
                <w:bCs/>
                <w:sz w:val="24"/>
                <w:szCs w:val="24"/>
              </w:rPr>
              <w:t>31</w:t>
            </w:r>
          </w:p>
          <w:p w:rsidR="001C55F3" w:rsidRPr="00970638" w:rsidRDefault="001C55F3" w:rsidP="001C55F3">
            <w:pPr>
              <w:autoSpaceDE w:val="0"/>
              <w:autoSpaceDN w:val="0"/>
              <w:adjustRightInd w:val="0"/>
              <w:jc w:val="both"/>
              <w:rPr>
                <w:rFonts w:cstheme="minorHAnsi"/>
                <w:b/>
                <w:bCs/>
                <w:sz w:val="24"/>
                <w:szCs w:val="24"/>
              </w:rPr>
            </w:pPr>
          </w:p>
        </w:tc>
        <w:tc>
          <w:tcPr>
            <w:tcW w:w="1295"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PC31</w:t>
            </w:r>
          </w:p>
        </w:tc>
        <w:tc>
          <w:tcPr>
            <w:tcW w:w="1110"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PC32</w:t>
            </w:r>
          </w:p>
        </w:tc>
        <w:tc>
          <w:tcPr>
            <w:tcW w:w="1169"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PC12</w:t>
            </w:r>
          </w:p>
        </w:tc>
        <w:tc>
          <w:tcPr>
            <w:tcW w:w="1022" w:type="dxa"/>
            <w:shd w:val="clear" w:color="auto" w:fill="auto"/>
          </w:tcPr>
          <w:p w:rsidR="001C55F3"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PC31</w:t>
            </w:r>
          </w:p>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PC32</w:t>
            </w:r>
          </w:p>
        </w:tc>
        <w:tc>
          <w:tcPr>
            <w:tcW w:w="1069" w:type="dxa"/>
            <w:shd w:val="clear" w:color="auto" w:fill="auto"/>
          </w:tcPr>
          <w:p w:rsidR="001C55F3" w:rsidRPr="00970638" w:rsidRDefault="001C55F3" w:rsidP="001C55F3">
            <w:pPr>
              <w:autoSpaceDE w:val="0"/>
              <w:autoSpaceDN w:val="0"/>
              <w:adjustRightInd w:val="0"/>
              <w:jc w:val="both"/>
              <w:rPr>
                <w:rFonts w:cstheme="minorHAnsi"/>
                <w:b/>
                <w:bCs/>
                <w:sz w:val="24"/>
                <w:szCs w:val="24"/>
              </w:rPr>
            </w:pPr>
            <w:r w:rsidRPr="00970638">
              <w:rPr>
                <w:rFonts w:cstheme="minorHAnsi"/>
                <w:b/>
                <w:bCs/>
                <w:sz w:val="24"/>
                <w:szCs w:val="24"/>
              </w:rPr>
              <w:t>PC4</w:t>
            </w:r>
          </w:p>
        </w:tc>
      </w:tr>
    </w:tbl>
    <w:p w:rsidR="001C55F3" w:rsidRPr="00970638" w:rsidRDefault="001C55F3" w:rsidP="001C55F3">
      <w:pPr>
        <w:autoSpaceDE w:val="0"/>
        <w:autoSpaceDN w:val="0"/>
        <w:adjustRightInd w:val="0"/>
        <w:spacing w:after="0" w:line="240" w:lineRule="auto"/>
        <w:jc w:val="both"/>
        <w:rPr>
          <w:rFonts w:cstheme="minorHAnsi"/>
          <w:b/>
          <w:bCs/>
          <w:sz w:val="28"/>
          <w:szCs w:val="28"/>
        </w:rPr>
      </w:pPr>
    </w:p>
    <w:p w:rsidR="001C55F3" w:rsidRPr="0078140F" w:rsidRDefault="001C55F3" w:rsidP="001C55F3">
      <w:pPr>
        <w:autoSpaceDE w:val="0"/>
        <w:autoSpaceDN w:val="0"/>
        <w:adjustRightInd w:val="0"/>
        <w:spacing w:after="0" w:line="240" w:lineRule="auto"/>
        <w:jc w:val="both"/>
        <w:rPr>
          <w:rFonts w:cstheme="minorHAnsi"/>
          <w:bCs/>
        </w:rPr>
      </w:pPr>
      <w:r w:rsidRPr="0078140F">
        <w:rPr>
          <w:rFonts w:cstheme="minorHAnsi"/>
          <w:bCs/>
        </w:rPr>
        <w:t>Following the MAES Working Group meeting of 10</w:t>
      </w:r>
      <w:r w:rsidRPr="0078140F">
        <w:rPr>
          <w:rFonts w:cstheme="minorHAnsi"/>
          <w:bCs/>
          <w:vertAlign w:val="superscript"/>
        </w:rPr>
        <w:t>th</w:t>
      </w:r>
      <w:r w:rsidRPr="0078140F">
        <w:rPr>
          <w:rFonts w:cstheme="minorHAnsi"/>
          <w:bCs/>
        </w:rPr>
        <w:t xml:space="preserve"> January 2013, it was agreed that the 7 country cases proposed under the present contract should contribute to and benefit from the 6 thematic pilot cases launched by the Commission on Article 17, agro-, forest, freshwater, marine ecosystems and natural capital accounting.</w:t>
      </w:r>
    </w:p>
    <w:p w:rsidR="001C55F3" w:rsidRPr="0078140F" w:rsidRDefault="001C55F3" w:rsidP="001C55F3">
      <w:pPr>
        <w:pStyle w:val="Titre2"/>
        <w:rPr>
          <w:rFonts w:asciiTheme="minorHAnsi" w:eastAsiaTheme="minorHAnsi" w:hAnsiTheme="minorHAnsi" w:cstheme="minorHAnsi"/>
          <w:b w:val="0"/>
          <w:i/>
          <w:color w:val="auto"/>
          <w:sz w:val="22"/>
          <w:szCs w:val="22"/>
        </w:rPr>
      </w:pPr>
      <w:r w:rsidRPr="0078140F">
        <w:rPr>
          <w:rFonts w:asciiTheme="minorHAnsi" w:eastAsiaTheme="minorHAnsi" w:hAnsiTheme="minorHAnsi" w:cstheme="minorHAnsi"/>
          <w:b w:val="0"/>
          <w:i/>
          <w:color w:val="auto"/>
          <w:sz w:val="22"/>
          <w:szCs w:val="22"/>
        </w:rPr>
        <w:t>The Workshop</w:t>
      </w:r>
    </w:p>
    <w:p w:rsidR="001C55F3" w:rsidRPr="0078140F" w:rsidRDefault="001C55F3" w:rsidP="001C55F3">
      <w:pPr>
        <w:autoSpaceDE w:val="0"/>
        <w:autoSpaceDN w:val="0"/>
        <w:adjustRightInd w:val="0"/>
        <w:spacing w:after="0" w:line="240" w:lineRule="auto"/>
        <w:jc w:val="both"/>
        <w:rPr>
          <w:rFonts w:cstheme="minorHAnsi"/>
          <w:bCs/>
        </w:rPr>
      </w:pPr>
      <w:r w:rsidRPr="0078140F">
        <w:rPr>
          <w:rFonts w:cstheme="minorHAnsi"/>
          <w:bCs/>
        </w:rPr>
        <w:t>As part of the Methodology of Tasks 1, 2 and 3 a workshop was planned to bring together the Consortium partners and the Expert Group of Advisors, together with the Steering Group (DG ENV, EEA, EUROSTAT and JRC, possibly other DG’s) in one intensive workshop of two days. This workshop was designed to offer the opportunity to expand the scientific views and geographical domain of the consortium by involving internationally acknowledged scientists from outside the project (Expert Group of Advisors) that will provide their widely recognised knowledge and independent assessment of the project research. The workshop was held in Brussels, 20-21 March, 2013. A workshop report is available on CIRCA. The results are integrated in this Interim Report.</w:t>
      </w:r>
    </w:p>
    <w:p w:rsidR="001C55F3" w:rsidRDefault="001C55F3" w:rsidP="001C55F3">
      <w:pPr>
        <w:rPr>
          <w:rFonts w:eastAsia="Times New Roman" w:cs="Arial"/>
          <w:b/>
          <w:bCs/>
          <w:i/>
          <w:sz w:val="24"/>
          <w:szCs w:val="26"/>
          <w:highlight w:val="yellow"/>
        </w:rPr>
      </w:pPr>
    </w:p>
    <w:p w:rsidR="001C55F3" w:rsidRDefault="001C55F3" w:rsidP="001C55F3">
      <w:pPr>
        <w:rPr>
          <w:rFonts w:asciiTheme="majorHAnsi" w:eastAsia="Times New Roman" w:hAnsiTheme="majorHAnsi" w:cstheme="majorBidi"/>
          <w:b/>
          <w:bCs/>
          <w:color w:val="4F81BD" w:themeColor="accent1"/>
          <w:sz w:val="26"/>
          <w:szCs w:val="26"/>
        </w:rPr>
      </w:pPr>
      <w:r>
        <w:rPr>
          <w:rFonts w:eastAsia="Times New Roman"/>
        </w:rPr>
        <w:br w:type="page"/>
      </w:r>
    </w:p>
    <w:p w:rsidR="001C55F3" w:rsidRDefault="001C55F3" w:rsidP="001C55F3">
      <w:pPr>
        <w:pStyle w:val="Titre1"/>
        <w:ind w:left="360" w:hanging="360"/>
        <w:rPr>
          <w:color w:val="4F81BD" w:themeColor="accent1"/>
          <w:sz w:val="40"/>
          <w:szCs w:val="40"/>
        </w:rPr>
      </w:pPr>
      <w:r>
        <w:rPr>
          <w:color w:val="4F81BD" w:themeColor="accent1"/>
          <w:sz w:val="40"/>
          <w:szCs w:val="40"/>
        </w:rPr>
        <w:lastRenderedPageBreak/>
        <w:t>2.</w:t>
      </w:r>
      <w:r>
        <w:rPr>
          <w:color w:val="4F81BD" w:themeColor="accent1"/>
          <w:sz w:val="40"/>
          <w:szCs w:val="40"/>
        </w:rPr>
        <w:tab/>
      </w:r>
      <w:r w:rsidRPr="00732D93">
        <w:rPr>
          <w:color w:val="4F81BD" w:themeColor="accent1"/>
          <w:sz w:val="40"/>
          <w:szCs w:val="40"/>
        </w:rPr>
        <w:t>RESULTS TASK 1</w:t>
      </w:r>
      <w:r>
        <w:rPr>
          <w:color w:val="4F81BD" w:themeColor="accent1"/>
          <w:sz w:val="40"/>
          <w:szCs w:val="40"/>
        </w:rPr>
        <w:t>.1</w:t>
      </w:r>
      <w:r>
        <w:rPr>
          <w:color w:val="4F81BD" w:themeColor="accent1"/>
          <w:sz w:val="40"/>
          <w:szCs w:val="40"/>
        </w:rPr>
        <w:tab/>
        <w:t>EU WIDE SURVEY</w:t>
      </w:r>
    </w:p>
    <w:p w:rsidR="001C55F3" w:rsidRPr="000C4924" w:rsidRDefault="001C55F3" w:rsidP="00622218">
      <w:pPr>
        <w:pStyle w:val="Titre2"/>
        <w:numPr>
          <w:ilvl w:val="1"/>
          <w:numId w:val="90"/>
        </w:numPr>
      </w:pPr>
      <w:r>
        <w:t>Introduction</w:t>
      </w:r>
    </w:p>
    <w:p w:rsidR="001C55F3" w:rsidRPr="00762243" w:rsidRDefault="001C55F3" w:rsidP="001C55F3">
      <w:pPr>
        <w:spacing w:line="240" w:lineRule="auto"/>
      </w:pPr>
      <w:r w:rsidRPr="000C4924">
        <w:rPr>
          <w:rFonts w:cstheme="minorHAnsi"/>
        </w:rPr>
        <w:t xml:space="preserve">A survey of European (EU and non-EU) ecosystem assessment and mapping activities </w:t>
      </w:r>
      <w:r>
        <w:rPr>
          <w:rFonts w:cstheme="minorHAnsi"/>
        </w:rPr>
        <w:t>has</w:t>
      </w:r>
      <w:r w:rsidRPr="000C4924">
        <w:rPr>
          <w:rFonts w:cstheme="minorHAnsi"/>
        </w:rPr>
        <w:t xml:space="preserve"> be</w:t>
      </w:r>
      <w:r>
        <w:rPr>
          <w:rFonts w:cstheme="minorHAnsi"/>
        </w:rPr>
        <w:t>en</w:t>
      </w:r>
      <w:r w:rsidRPr="000C4924">
        <w:rPr>
          <w:rFonts w:cstheme="minorHAnsi"/>
        </w:rPr>
        <w:t xml:space="preserve"> done to implement this Sub-Task. </w:t>
      </w:r>
      <w:r>
        <w:rPr>
          <w:rFonts w:cstheme="minorHAnsi"/>
        </w:rPr>
        <w:t>It was</w:t>
      </w:r>
      <w:r w:rsidRPr="000C4924">
        <w:rPr>
          <w:rFonts w:cstheme="minorHAnsi"/>
        </w:rPr>
        <w:t xml:space="preserve"> developed using the Working Group Maes and the participants of the MAES Science-Policy workshop 21-22 November 2012 in Brussels </w:t>
      </w:r>
      <w:r>
        <w:rPr>
          <w:rFonts w:cstheme="minorHAnsi"/>
        </w:rPr>
        <w:t xml:space="preserve">as primary contacts , and where relevant </w:t>
      </w:r>
      <w:r w:rsidRPr="000C4924">
        <w:rPr>
          <w:rFonts w:cstheme="minorHAnsi"/>
        </w:rPr>
        <w:t xml:space="preserve">the contacts of the consortium partners in the various countries, the scientific networks and the Expert Advisors. </w:t>
      </w:r>
    </w:p>
    <w:p w:rsidR="001C55F3" w:rsidRDefault="001C55F3" w:rsidP="001C55F3">
      <w:pPr>
        <w:spacing w:line="240" w:lineRule="auto"/>
      </w:pPr>
      <w:r>
        <w:t>Following suggestion by the Steering Group, we explored the possibility of merging the MESEU survey with the EEA Virtual Library. It was found that the Virtual Library was aimimg at a different type of information and not yet available in the early summer of 2013,  and therefore it was decided in agreement with the contract manager to launch a MESEU survey that:</w:t>
      </w:r>
    </w:p>
    <w:p w:rsidR="001C55F3" w:rsidRDefault="001C55F3" w:rsidP="00622218">
      <w:pPr>
        <w:pStyle w:val="Paragraphedeliste"/>
        <w:numPr>
          <w:ilvl w:val="0"/>
          <w:numId w:val="77"/>
        </w:numPr>
        <w:spacing w:line="240" w:lineRule="auto"/>
      </w:pPr>
      <w:r>
        <w:t>focuses on the project specific needs;</w:t>
      </w:r>
    </w:p>
    <w:p w:rsidR="001C55F3" w:rsidRDefault="001C55F3" w:rsidP="00622218">
      <w:pPr>
        <w:pStyle w:val="Paragraphedeliste"/>
        <w:numPr>
          <w:ilvl w:val="0"/>
          <w:numId w:val="77"/>
        </w:numPr>
        <w:spacing w:line="240" w:lineRule="auto"/>
      </w:pPr>
      <w:r>
        <w:t>matches the project timeline;</w:t>
      </w:r>
    </w:p>
    <w:p w:rsidR="001C55F3" w:rsidRDefault="001C55F3" w:rsidP="00622218">
      <w:pPr>
        <w:pStyle w:val="Paragraphedeliste"/>
        <w:numPr>
          <w:ilvl w:val="0"/>
          <w:numId w:val="77"/>
        </w:numPr>
        <w:spacing w:line="240" w:lineRule="auto"/>
      </w:pPr>
      <w:r>
        <w:t xml:space="preserve">directly approaches the WG MAES related experts to fill in our survey questions, which are essentially no different from, but less detailed than, the format used for the Country Case Studies. </w:t>
      </w:r>
    </w:p>
    <w:p w:rsidR="001C55F3" w:rsidRPr="002F5081" w:rsidRDefault="001C55F3" w:rsidP="001C55F3">
      <w:pPr>
        <w:spacing w:line="240" w:lineRule="auto"/>
      </w:pPr>
      <w:r>
        <w:t>The results of this survey will in due time be transferred to BISE (just as the Country Case studies already  being reported on).</w:t>
      </w:r>
    </w:p>
    <w:p w:rsidR="001C55F3" w:rsidRDefault="001C55F3" w:rsidP="001C55F3">
      <w:pPr>
        <w:spacing w:after="0" w:line="240" w:lineRule="auto"/>
      </w:pPr>
      <w:r>
        <w:t>The main objectives of the MESEU Survey are:</w:t>
      </w:r>
    </w:p>
    <w:p w:rsidR="001C55F3" w:rsidRDefault="001C55F3" w:rsidP="00622218">
      <w:pPr>
        <w:pStyle w:val="Paragraphedeliste"/>
        <w:numPr>
          <w:ilvl w:val="0"/>
          <w:numId w:val="78"/>
        </w:numPr>
        <w:spacing w:line="240" w:lineRule="auto"/>
      </w:pPr>
      <w:r>
        <w:t>Complementing the scoping exercise on mapping approaches of country cases;</w:t>
      </w:r>
    </w:p>
    <w:p w:rsidR="001C55F3" w:rsidRDefault="001C55F3" w:rsidP="00622218">
      <w:pPr>
        <w:pStyle w:val="Paragraphedeliste"/>
        <w:numPr>
          <w:ilvl w:val="0"/>
          <w:numId w:val="78"/>
        </w:numPr>
        <w:spacing w:line="240" w:lineRule="auto"/>
      </w:pPr>
      <w:r>
        <w:t>Stimulating the communication with the national stakeholders;</w:t>
      </w:r>
    </w:p>
    <w:p w:rsidR="001C55F3" w:rsidRPr="002F5081" w:rsidRDefault="001C55F3" w:rsidP="00622218">
      <w:pPr>
        <w:pStyle w:val="Paragraphedeliste"/>
        <w:numPr>
          <w:ilvl w:val="0"/>
          <w:numId w:val="78"/>
        </w:numPr>
        <w:spacing w:line="240" w:lineRule="auto"/>
      </w:pPr>
      <w:r>
        <w:t>Help developing targeted guidelines (in task 4) based on the results.</w:t>
      </w:r>
    </w:p>
    <w:p w:rsidR="001C55F3" w:rsidRPr="003A0E89" w:rsidRDefault="001C55F3" w:rsidP="00622218">
      <w:pPr>
        <w:pStyle w:val="Titre1"/>
        <w:numPr>
          <w:ilvl w:val="1"/>
          <w:numId w:val="90"/>
        </w:numPr>
        <w:jc w:val="both"/>
        <w:rPr>
          <w:rFonts w:ascii="Calibri" w:hAnsi="Calibri"/>
        </w:rPr>
      </w:pPr>
      <w:bookmarkStart w:id="7" w:name="_Toc367883167"/>
      <w:r w:rsidRPr="003A0E89">
        <w:rPr>
          <w:rFonts w:ascii="Calibri" w:hAnsi="Calibri"/>
        </w:rPr>
        <w:t>Methodology</w:t>
      </w:r>
      <w:bookmarkEnd w:id="7"/>
    </w:p>
    <w:p w:rsidR="001C55F3" w:rsidRDefault="001C55F3" w:rsidP="001C55F3">
      <w:pPr>
        <w:spacing w:after="0" w:line="240" w:lineRule="auto"/>
        <w:rPr>
          <w:rFonts w:ascii="Calibri" w:hAnsi="Calibri"/>
          <w:sz w:val="24"/>
        </w:rPr>
      </w:pPr>
      <w:r w:rsidRPr="003A0E89">
        <w:rPr>
          <w:rFonts w:ascii="Calibri" w:hAnsi="Calibri"/>
          <w:sz w:val="24"/>
        </w:rPr>
        <w:t>Survey Monkey</w:t>
      </w:r>
      <w:r>
        <w:rPr>
          <w:rFonts w:ascii="Calibri" w:hAnsi="Calibri"/>
          <w:sz w:val="24"/>
        </w:rPr>
        <w:t xml:space="preserve"> ™was chosen as the best c</w:t>
      </w:r>
      <w:r w:rsidRPr="00AC5534">
        <w:rPr>
          <w:rFonts w:ascii="Calibri" w:hAnsi="Calibri"/>
          <w:sz w:val="24"/>
        </w:rPr>
        <w:t>ost-effective</w:t>
      </w:r>
      <w:r>
        <w:rPr>
          <w:rFonts w:ascii="Calibri" w:hAnsi="Calibri"/>
          <w:sz w:val="24"/>
        </w:rPr>
        <w:t xml:space="preserve"> tool because it is</w:t>
      </w:r>
      <w:r w:rsidRPr="00AC5534">
        <w:rPr>
          <w:rFonts w:ascii="Calibri" w:hAnsi="Calibri"/>
          <w:sz w:val="24"/>
        </w:rPr>
        <w:t xml:space="preserve"> simple to prepareand easy to analyse the results</w:t>
      </w:r>
      <w:r>
        <w:rPr>
          <w:rFonts w:ascii="Calibri" w:hAnsi="Calibri"/>
          <w:sz w:val="24"/>
        </w:rPr>
        <w:t xml:space="preserve">. It </w:t>
      </w:r>
      <w:r w:rsidRPr="003A0E89">
        <w:rPr>
          <w:rFonts w:ascii="Calibri" w:hAnsi="Calibri"/>
          <w:sz w:val="24"/>
        </w:rPr>
        <w:t>is an online survey tool which allows to design questionnaires and polls, collect the results online and statistically analyse them.</w:t>
      </w:r>
    </w:p>
    <w:p w:rsidR="001C55F3" w:rsidRPr="00AC5534" w:rsidRDefault="001C55F3" w:rsidP="001C55F3">
      <w:pPr>
        <w:spacing w:after="0" w:line="240" w:lineRule="auto"/>
        <w:rPr>
          <w:rFonts w:ascii="Calibri" w:hAnsi="Calibri"/>
          <w:sz w:val="24"/>
        </w:rPr>
      </w:pPr>
      <w:r>
        <w:rPr>
          <w:rFonts w:ascii="Calibri" w:hAnsi="Calibri"/>
          <w:sz w:val="24"/>
        </w:rPr>
        <w:t>The survey has been d</w:t>
      </w:r>
      <w:r w:rsidRPr="00AC5534">
        <w:rPr>
          <w:rFonts w:ascii="Calibri" w:hAnsi="Calibri"/>
          <w:sz w:val="24"/>
        </w:rPr>
        <w:t>esigned considering the format of the Country cases questionnaires</w:t>
      </w:r>
      <w:r>
        <w:rPr>
          <w:rFonts w:ascii="Calibri" w:hAnsi="Calibri"/>
          <w:sz w:val="24"/>
        </w:rPr>
        <w:t xml:space="preserve"> and it has three main themes</w:t>
      </w:r>
      <w:r w:rsidRPr="00AC5534">
        <w:rPr>
          <w:rFonts w:ascii="Calibri" w:hAnsi="Calibri"/>
          <w:sz w:val="24"/>
        </w:rPr>
        <w:t xml:space="preserve">: </w:t>
      </w:r>
    </w:p>
    <w:p w:rsidR="001C55F3" w:rsidRPr="00AC5534" w:rsidRDefault="001C55F3" w:rsidP="00622218">
      <w:pPr>
        <w:pStyle w:val="Paragraphedeliste"/>
        <w:numPr>
          <w:ilvl w:val="0"/>
          <w:numId w:val="79"/>
        </w:numPr>
        <w:spacing w:after="0" w:line="240" w:lineRule="auto"/>
        <w:rPr>
          <w:rFonts w:ascii="Calibri" w:hAnsi="Calibri"/>
          <w:sz w:val="24"/>
        </w:rPr>
      </w:pPr>
      <w:r w:rsidRPr="00AC5534">
        <w:rPr>
          <w:rFonts w:ascii="Calibri" w:hAnsi="Calibri"/>
          <w:sz w:val="24"/>
        </w:rPr>
        <w:t>Mapping and assessment process</w:t>
      </w:r>
      <w:r>
        <w:rPr>
          <w:rFonts w:ascii="Calibri" w:hAnsi="Calibri"/>
          <w:sz w:val="24"/>
        </w:rPr>
        <w:t>;</w:t>
      </w:r>
    </w:p>
    <w:p w:rsidR="001C55F3" w:rsidRPr="00AC5534" w:rsidRDefault="001C55F3" w:rsidP="00622218">
      <w:pPr>
        <w:pStyle w:val="Paragraphedeliste"/>
        <w:numPr>
          <w:ilvl w:val="0"/>
          <w:numId w:val="79"/>
        </w:numPr>
        <w:spacing w:after="0" w:line="240" w:lineRule="auto"/>
        <w:rPr>
          <w:rFonts w:ascii="Calibri" w:hAnsi="Calibri"/>
          <w:sz w:val="24"/>
        </w:rPr>
      </w:pPr>
      <w:r w:rsidRPr="00AC5534">
        <w:rPr>
          <w:rFonts w:ascii="Calibri" w:hAnsi="Calibri"/>
          <w:sz w:val="24"/>
        </w:rPr>
        <w:t>Mapping and assessment material and methods</w:t>
      </w:r>
      <w:r>
        <w:rPr>
          <w:rFonts w:ascii="Calibri" w:hAnsi="Calibri"/>
          <w:sz w:val="24"/>
        </w:rPr>
        <w:t>;</w:t>
      </w:r>
    </w:p>
    <w:p w:rsidR="001C55F3" w:rsidRPr="00AC5534" w:rsidRDefault="001C55F3" w:rsidP="00622218">
      <w:pPr>
        <w:pStyle w:val="Paragraphedeliste"/>
        <w:numPr>
          <w:ilvl w:val="0"/>
          <w:numId w:val="79"/>
        </w:numPr>
        <w:spacing w:after="0" w:line="240" w:lineRule="auto"/>
        <w:rPr>
          <w:rFonts w:ascii="Calibri" w:hAnsi="Calibri"/>
          <w:sz w:val="24"/>
        </w:rPr>
      </w:pPr>
      <w:r w:rsidRPr="00AC5534">
        <w:rPr>
          <w:rFonts w:ascii="Calibri" w:hAnsi="Calibri"/>
          <w:sz w:val="24"/>
        </w:rPr>
        <w:t>Mapping technical aspects</w:t>
      </w:r>
      <w:r>
        <w:rPr>
          <w:rFonts w:ascii="Calibri" w:hAnsi="Calibri"/>
          <w:sz w:val="24"/>
        </w:rPr>
        <w:t>.</w:t>
      </w:r>
    </w:p>
    <w:p w:rsidR="001C55F3" w:rsidRDefault="001C55F3" w:rsidP="001C55F3">
      <w:pPr>
        <w:spacing w:after="0" w:line="240" w:lineRule="auto"/>
        <w:rPr>
          <w:rFonts w:ascii="Calibri" w:hAnsi="Calibri"/>
          <w:sz w:val="24"/>
        </w:rPr>
      </w:pPr>
      <w:r>
        <w:rPr>
          <w:rFonts w:ascii="Calibri" w:hAnsi="Calibri"/>
          <w:sz w:val="24"/>
        </w:rPr>
        <w:t>For the MAES Survey</w:t>
      </w:r>
      <w:r w:rsidRPr="003A0E89">
        <w:rPr>
          <w:rFonts w:ascii="Calibri" w:hAnsi="Calibri"/>
          <w:sz w:val="24"/>
        </w:rPr>
        <w:t>, questions were shaped into different kinds according to the type of response, i.e. multiple choice, rating scale, comment box, among others. Page randomization and page logic were added in some occasions so that the respondent was immediately directed from the end of a group of questions to the following groups in order of importance. No custom error was displayed if the respondents skipped any of the questions.</w:t>
      </w:r>
      <w:r>
        <w:rPr>
          <w:rFonts w:ascii="Calibri" w:hAnsi="Calibri"/>
          <w:sz w:val="24"/>
        </w:rPr>
        <w:t xml:space="preserve"> It was </w:t>
      </w:r>
      <w:r w:rsidRPr="00AC5534">
        <w:rPr>
          <w:rFonts w:ascii="Calibri" w:hAnsi="Calibri"/>
          <w:sz w:val="24"/>
        </w:rPr>
        <w:t>sent to a consolidated table of contacts of the consortium partners in various countries, scientific networks and the Expert Advisors, as well as the MAES WG and the participants of MAES Science-Policy Workshops 21-22 Nov 2012 in Brussels</w:t>
      </w:r>
      <w:r>
        <w:rPr>
          <w:rFonts w:ascii="Calibri" w:hAnsi="Calibri"/>
          <w:sz w:val="24"/>
        </w:rPr>
        <w:t>.</w:t>
      </w:r>
    </w:p>
    <w:p w:rsidR="001C55F3" w:rsidRPr="003A0E89" w:rsidRDefault="001C55F3" w:rsidP="001C55F3">
      <w:pPr>
        <w:spacing w:after="0" w:line="240" w:lineRule="auto"/>
        <w:rPr>
          <w:rFonts w:ascii="Calibri" w:hAnsi="Calibri"/>
          <w:sz w:val="24"/>
        </w:rPr>
      </w:pPr>
      <w:r>
        <w:rPr>
          <w:rFonts w:ascii="Calibri" w:hAnsi="Calibri"/>
          <w:sz w:val="24"/>
        </w:rPr>
        <w:t>The survey was sent out at the beginning July. The results presented in this report refer to those responses gathered until 15</w:t>
      </w:r>
      <w:r w:rsidRPr="00CF4FE3">
        <w:rPr>
          <w:rFonts w:ascii="Calibri" w:hAnsi="Calibri"/>
          <w:sz w:val="24"/>
          <w:vertAlign w:val="superscript"/>
        </w:rPr>
        <w:t>th</w:t>
      </w:r>
      <w:r>
        <w:rPr>
          <w:rFonts w:ascii="Calibri" w:hAnsi="Calibri"/>
          <w:sz w:val="24"/>
        </w:rPr>
        <w:t xml:space="preserve"> of October 2013. </w:t>
      </w:r>
    </w:p>
    <w:p w:rsidR="001C55F3" w:rsidRPr="003A0E89" w:rsidRDefault="001C55F3" w:rsidP="00622218">
      <w:pPr>
        <w:pStyle w:val="Titre1"/>
        <w:numPr>
          <w:ilvl w:val="1"/>
          <w:numId w:val="90"/>
        </w:numPr>
        <w:jc w:val="both"/>
        <w:rPr>
          <w:rFonts w:ascii="Calibri" w:hAnsi="Calibri"/>
        </w:rPr>
      </w:pPr>
      <w:bookmarkStart w:id="8" w:name="_Toc367883168"/>
      <w:r w:rsidRPr="003A0E89">
        <w:rPr>
          <w:rFonts w:ascii="Calibri" w:hAnsi="Calibri"/>
        </w:rPr>
        <w:lastRenderedPageBreak/>
        <w:t>Results</w:t>
      </w:r>
      <w:bookmarkEnd w:id="8"/>
    </w:p>
    <w:p w:rsidR="001C55F3" w:rsidRPr="003A0E89" w:rsidRDefault="001C55F3" w:rsidP="001C55F3">
      <w:pPr>
        <w:spacing w:after="0" w:line="240" w:lineRule="auto"/>
        <w:jc w:val="both"/>
        <w:rPr>
          <w:rFonts w:ascii="Calibri" w:hAnsi="Calibri"/>
          <w:sz w:val="24"/>
        </w:rPr>
      </w:pPr>
      <w:r>
        <w:rPr>
          <w:rFonts w:ascii="Calibri" w:hAnsi="Calibri"/>
          <w:sz w:val="24"/>
        </w:rPr>
        <w:t>The survey is divided in three groups of questions</w:t>
      </w:r>
      <w:r w:rsidRPr="003A0E89">
        <w:rPr>
          <w:rFonts w:ascii="Calibri" w:hAnsi="Calibri"/>
          <w:sz w:val="24"/>
        </w:rPr>
        <w:t xml:space="preserve"> and a </w:t>
      </w:r>
      <w:r>
        <w:rPr>
          <w:rFonts w:ascii="Calibri" w:hAnsi="Calibri"/>
          <w:sz w:val="24"/>
        </w:rPr>
        <w:t>last one on literature</w:t>
      </w:r>
      <w:r w:rsidRPr="003A0E89">
        <w:rPr>
          <w:rFonts w:ascii="Calibri" w:hAnsi="Calibri"/>
          <w:sz w:val="24"/>
        </w:rPr>
        <w:t xml:space="preserve">. </w:t>
      </w:r>
    </w:p>
    <w:p w:rsidR="001C55F3" w:rsidRPr="003A0E89" w:rsidRDefault="001C55F3" w:rsidP="001C55F3">
      <w:pPr>
        <w:spacing w:after="0" w:line="240" w:lineRule="auto"/>
        <w:jc w:val="both"/>
        <w:rPr>
          <w:rFonts w:ascii="Calibri" w:hAnsi="Calibri"/>
          <w:sz w:val="24"/>
        </w:rPr>
      </w:pPr>
      <w:r w:rsidRPr="003A0E89">
        <w:rPr>
          <w:rFonts w:ascii="Calibri" w:hAnsi="Calibri"/>
          <w:sz w:val="24"/>
        </w:rPr>
        <w:t xml:space="preserve">-Section 1 aims to provide identification data and data and information about the current level of organisation of the Biodiversity Strategy Target 2, Action 5 process and associated activities at national and subnational level in your country. </w:t>
      </w:r>
    </w:p>
    <w:p w:rsidR="001C55F3" w:rsidRPr="003A0E89" w:rsidRDefault="001C55F3" w:rsidP="001C55F3">
      <w:pPr>
        <w:spacing w:after="0" w:line="240" w:lineRule="auto"/>
        <w:jc w:val="both"/>
        <w:rPr>
          <w:rFonts w:ascii="Calibri" w:hAnsi="Calibri"/>
          <w:sz w:val="24"/>
        </w:rPr>
      </w:pPr>
      <w:r w:rsidRPr="003A0E89">
        <w:rPr>
          <w:rFonts w:ascii="Calibri" w:hAnsi="Calibri"/>
          <w:sz w:val="24"/>
        </w:rPr>
        <w:t>- Section 2 and 3 focus on methods and material, and process and activities respectively, used for ecosystem mapping and assessments in each of the participant countries.</w:t>
      </w:r>
    </w:p>
    <w:p w:rsidR="001C55F3" w:rsidRPr="003A0E89" w:rsidRDefault="001C55F3" w:rsidP="001C55F3">
      <w:pPr>
        <w:spacing w:after="0" w:line="240" w:lineRule="auto"/>
        <w:jc w:val="both"/>
        <w:rPr>
          <w:rFonts w:ascii="Calibri" w:hAnsi="Calibri"/>
          <w:sz w:val="24"/>
        </w:rPr>
      </w:pPr>
      <w:r w:rsidRPr="003A0E89">
        <w:rPr>
          <w:rFonts w:ascii="Calibri" w:hAnsi="Calibri"/>
          <w:sz w:val="24"/>
        </w:rPr>
        <w:t>- Questions in Section 4 aim at obtaining technical details of the mapping in each of the participant countries.</w:t>
      </w:r>
    </w:p>
    <w:p w:rsidR="001C55F3" w:rsidRPr="003A0E89" w:rsidRDefault="001C55F3" w:rsidP="001C55F3">
      <w:pPr>
        <w:spacing w:after="0" w:line="240" w:lineRule="auto"/>
        <w:jc w:val="both"/>
        <w:rPr>
          <w:rFonts w:ascii="Calibri" w:hAnsi="Calibri"/>
          <w:sz w:val="24"/>
        </w:rPr>
      </w:pPr>
      <w:r w:rsidRPr="003A0E89">
        <w:rPr>
          <w:rFonts w:ascii="Calibri" w:hAnsi="Calibri"/>
          <w:sz w:val="24"/>
        </w:rPr>
        <w:t>- The final section aims at supporting EEA'</w:t>
      </w:r>
      <w:r>
        <w:rPr>
          <w:rFonts w:ascii="Calibri" w:hAnsi="Calibri"/>
          <w:sz w:val="24"/>
        </w:rPr>
        <w:t>s Virtual Library by collecting</w:t>
      </w:r>
      <w:r w:rsidRPr="003A0E89">
        <w:rPr>
          <w:rFonts w:ascii="Calibri" w:hAnsi="Calibri"/>
          <w:sz w:val="24"/>
        </w:rPr>
        <w:t xml:space="preserve"> references on reports and publications on ecosystem assessments in each of the participant countries.</w:t>
      </w:r>
    </w:p>
    <w:p w:rsidR="001C55F3" w:rsidRPr="003A0E89" w:rsidRDefault="001C55F3" w:rsidP="001C55F3">
      <w:pPr>
        <w:pStyle w:val="Titre4"/>
        <w:rPr>
          <w:rFonts w:ascii="Calibri" w:hAnsi="Calibri"/>
          <w:sz w:val="24"/>
          <w:szCs w:val="24"/>
        </w:rPr>
      </w:pPr>
      <w:r w:rsidRPr="003A0E89">
        <w:rPr>
          <w:rFonts w:ascii="Calibri" w:hAnsi="Calibri"/>
          <w:sz w:val="24"/>
          <w:szCs w:val="24"/>
        </w:rPr>
        <w:t>Section 1: Identification of Respondent</w:t>
      </w:r>
    </w:p>
    <w:p w:rsidR="001C55F3" w:rsidRPr="008447B2" w:rsidRDefault="001C55F3" w:rsidP="00622218">
      <w:pPr>
        <w:pStyle w:val="Paragraphedeliste"/>
        <w:numPr>
          <w:ilvl w:val="0"/>
          <w:numId w:val="73"/>
        </w:numPr>
        <w:rPr>
          <w:rFonts w:ascii="Calibri" w:hAnsi="Calibri"/>
          <w:b/>
          <w:sz w:val="24"/>
          <w:szCs w:val="24"/>
          <w:u w:val="single"/>
        </w:rPr>
      </w:pPr>
      <w:r w:rsidRPr="008447B2">
        <w:rPr>
          <w:rFonts w:ascii="Calibri" w:hAnsi="Calibri"/>
          <w:b/>
          <w:sz w:val="24"/>
          <w:szCs w:val="24"/>
          <w:u w:val="single"/>
        </w:rPr>
        <w:t>Country</w:t>
      </w:r>
    </w:p>
    <w:p w:rsidR="001C55F3" w:rsidRDefault="001C55F3" w:rsidP="001C55F3">
      <w:pPr>
        <w:pStyle w:val="Paragraphedeliste"/>
        <w:rPr>
          <w:rFonts w:ascii="Calibri" w:hAnsi="Calibri"/>
          <w:sz w:val="24"/>
          <w:szCs w:val="24"/>
        </w:rPr>
      </w:pPr>
      <w:r>
        <w:rPr>
          <w:rFonts w:ascii="Calibri" w:hAnsi="Calibri"/>
          <w:sz w:val="24"/>
          <w:szCs w:val="24"/>
        </w:rPr>
        <w:t>The figure below shows the status of responses from the countries invited to the survey (until 12</w:t>
      </w:r>
      <w:r w:rsidRPr="004258D8">
        <w:rPr>
          <w:rFonts w:ascii="Calibri" w:hAnsi="Calibri"/>
          <w:sz w:val="24"/>
          <w:szCs w:val="24"/>
          <w:vertAlign w:val="superscript"/>
        </w:rPr>
        <w:t>th</w:t>
      </w:r>
      <w:r>
        <w:rPr>
          <w:rFonts w:ascii="Calibri" w:hAnsi="Calibri"/>
          <w:sz w:val="24"/>
          <w:szCs w:val="24"/>
        </w:rPr>
        <w:t xml:space="preserve"> September 2013) . </w:t>
      </w:r>
    </w:p>
    <w:p w:rsidR="001C55F3" w:rsidRDefault="001C55F3" w:rsidP="001C55F3">
      <w:pPr>
        <w:pStyle w:val="Paragraphedeliste"/>
        <w:rPr>
          <w:rFonts w:ascii="Calibri" w:hAnsi="Calibri"/>
          <w:noProof/>
          <w:sz w:val="24"/>
          <w:szCs w:val="24"/>
          <w:lang w:eastAsia="en-GB"/>
        </w:rPr>
      </w:pPr>
      <w:r>
        <w:rPr>
          <w:rFonts w:ascii="Calibri" w:hAnsi="Calibri"/>
          <w:noProof/>
          <w:sz w:val="24"/>
          <w:szCs w:val="24"/>
          <w:lang w:val="fr-BE" w:eastAsia="fr-BE"/>
        </w:rPr>
        <w:lastRenderedPageBreak/>
        <w:drawing>
          <wp:inline distT="0" distB="0" distL="0" distR="0">
            <wp:extent cx="4197927" cy="5937729"/>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EU_response_6.pn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98061" cy="5937919"/>
                    </a:xfrm>
                    <a:prstGeom prst="rect">
                      <a:avLst/>
                    </a:prstGeom>
                  </pic:spPr>
                </pic:pic>
              </a:graphicData>
            </a:graphic>
          </wp:inline>
        </w:drawing>
      </w:r>
    </w:p>
    <w:p w:rsidR="001C55F3" w:rsidRDefault="001C55F3" w:rsidP="001C55F3">
      <w:pPr>
        <w:pStyle w:val="Paragraphedeliste"/>
        <w:spacing w:after="0" w:line="240" w:lineRule="auto"/>
        <w:rPr>
          <w:rFonts w:ascii="Calibri" w:hAnsi="Calibri"/>
          <w:sz w:val="24"/>
          <w:szCs w:val="24"/>
        </w:rPr>
      </w:pPr>
      <w:r>
        <w:rPr>
          <w:rFonts w:ascii="Calibri" w:hAnsi="Calibri"/>
          <w:sz w:val="24"/>
          <w:szCs w:val="24"/>
        </w:rPr>
        <w:t>Although the UK and Belgium did not respond to the Survey, they had provided the relevant information through the Country Case studies (see next section). Malta, Bulgaria and Romania have indicated they are in the process of completing the survey.</w:t>
      </w:r>
    </w:p>
    <w:p w:rsidR="001C55F3" w:rsidRDefault="001C55F3" w:rsidP="001C55F3">
      <w:pPr>
        <w:pStyle w:val="Paragraphedeliste"/>
        <w:spacing w:after="0" w:line="240" w:lineRule="auto"/>
        <w:rPr>
          <w:rFonts w:ascii="Calibri" w:hAnsi="Calibri"/>
          <w:sz w:val="24"/>
          <w:szCs w:val="24"/>
        </w:rPr>
      </w:pPr>
    </w:p>
    <w:p w:rsidR="001C55F3" w:rsidRPr="008447B2" w:rsidRDefault="001C55F3" w:rsidP="00622218">
      <w:pPr>
        <w:pStyle w:val="Paragraphedeliste"/>
        <w:numPr>
          <w:ilvl w:val="0"/>
          <w:numId w:val="73"/>
        </w:numPr>
        <w:rPr>
          <w:rFonts w:ascii="Calibri" w:hAnsi="Calibri"/>
          <w:b/>
          <w:sz w:val="24"/>
          <w:szCs w:val="24"/>
          <w:u w:val="single"/>
        </w:rPr>
      </w:pPr>
      <w:r w:rsidRPr="008447B2">
        <w:rPr>
          <w:rFonts w:ascii="Calibri" w:hAnsi="Calibri"/>
          <w:b/>
          <w:sz w:val="24"/>
          <w:szCs w:val="24"/>
          <w:u w:val="single"/>
        </w:rPr>
        <w:t>Did your Government receive the request from the European Commission regarding Target 2, Action 5?</w:t>
      </w:r>
    </w:p>
    <w:p w:rsidR="001C55F3" w:rsidRDefault="001C55F3" w:rsidP="001C55F3">
      <w:pPr>
        <w:pStyle w:val="Paragraphedeliste"/>
        <w:ind w:left="426"/>
        <w:rPr>
          <w:noProof/>
          <w:lang w:eastAsia="en-GB"/>
        </w:rPr>
      </w:pPr>
      <w:r w:rsidRPr="0019789C">
        <w:rPr>
          <w:rFonts w:ascii="Calibri" w:hAnsi="Calibri"/>
          <w:noProof/>
          <w:sz w:val="24"/>
          <w:szCs w:val="24"/>
          <w:lang w:val="fr-BE" w:eastAsia="fr-BE"/>
        </w:rPr>
        <w:lastRenderedPageBreak/>
        <w:pict>
          <v:shapetype id="_x0000_t202" coordsize="21600,21600" o:spt="202" path="m,l,21600r21600,l21600,xe">
            <v:stroke joinstyle="miter"/>
            <v:path gradientshapeok="t" o:connecttype="rect"/>
          </v:shapetype>
          <v:shape id="Text Box 2" o:spid="_x0000_s1027" type="#_x0000_t202" style="position:absolute;left:0;text-align:left;margin-left:47.15pt;margin-top:146.45pt;width:100pt;height:36pt;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" stroked="f">
            <v:textbox>
              <w:txbxContent>
                <w:p w:rsidR="001C55F3" w:rsidRDefault="001C55F3" w:rsidP="001C55F3">
                  <w:r w:rsidRPr="003A0E89">
                    <w:rPr>
                      <w:rFonts w:ascii="Calibri" w:hAnsi="Calibri"/>
                      <w:noProof/>
                      <w:lang w:val="fr-BE" w:eastAsia="fr-BE"/>
                    </w:rPr>
                    <w:drawing>
                      <wp:inline distT="0" distB="0" distL="0" distR="0">
                        <wp:extent cx="914400" cy="1371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48309" t="82536" r="42036" b="14888"/>
                                <a:stretch/>
                              </pic:blipFill>
                              <pic:spPr bwMode="auto">
                                <a:xfrm>
                                  <a:off x="0" y="0"/>
                                  <a:ext cx="921426" cy="1382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r>
        <w:rPr>
          <w:noProof/>
          <w:lang w:val="fr-BE" w:eastAsia="fr-BE"/>
        </w:rPr>
        <w:drawing>
          <wp:inline distT="0" distB="0" distL="0" distR="0">
            <wp:extent cx="4489199" cy="2184400"/>
            <wp:effectExtent l="0" t="0" r="6985" b="635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43457" t="43733" r="4886" b="11557"/>
                    <a:stretch/>
                  </pic:blipFill>
                  <pic:spPr bwMode="auto">
                    <a:xfrm>
                      <a:off x="0" y="0"/>
                      <a:ext cx="4490190" cy="21848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Pr="003A0E89" w:rsidRDefault="001C55F3" w:rsidP="001C55F3">
      <w:pPr>
        <w:pStyle w:val="Paragraphedeliste"/>
        <w:ind w:left="426"/>
        <w:rPr>
          <w:rFonts w:ascii="Calibri" w:hAnsi="Calibri"/>
          <w:sz w:val="24"/>
          <w:szCs w:val="24"/>
        </w:rPr>
      </w:pPr>
    </w:p>
    <w:p w:rsidR="001C55F3" w:rsidRPr="008447B2" w:rsidRDefault="001C55F3" w:rsidP="00622218">
      <w:pPr>
        <w:pStyle w:val="Paragraphedeliste"/>
        <w:numPr>
          <w:ilvl w:val="0"/>
          <w:numId w:val="73"/>
        </w:numPr>
        <w:rPr>
          <w:rFonts w:ascii="Calibri" w:hAnsi="Calibri"/>
          <w:b/>
          <w:sz w:val="24"/>
          <w:szCs w:val="24"/>
          <w:u w:val="single"/>
        </w:rPr>
      </w:pPr>
      <w:r w:rsidRPr="008447B2">
        <w:rPr>
          <w:rFonts w:ascii="Calibri" w:hAnsi="Calibri"/>
          <w:b/>
          <w:sz w:val="24"/>
          <w:szCs w:val="24"/>
          <w:u w:val="single"/>
        </w:rPr>
        <w:t>Did your country start the MAES process?</w:t>
      </w:r>
    </w:p>
    <w:p w:rsidR="001C55F3" w:rsidRPr="003A0E89" w:rsidRDefault="001C55F3" w:rsidP="001C55F3">
      <w:pPr>
        <w:ind w:left="360"/>
        <w:rPr>
          <w:rFonts w:ascii="Calibri" w:hAnsi="Calibri"/>
          <w:sz w:val="24"/>
          <w:szCs w:val="24"/>
        </w:rPr>
      </w:pPr>
      <w:r>
        <w:rPr>
          <w:noProof/>
          <w:lang w:val="fr-BE" w:eastAsia="fr-BE"/>
        </w:rPr>
        <w:drawing>
          <wp:inline distT="0" distB="0" distL="0" distR="0">
            <wp:extent cx="4521200" cy="2274940"/>
            <wp:effectExtent l="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42999" t="30986" r="4851" b="22340"/>
                    <a:stretch/>
                  </pic:blipFill>
                  <pic:spPr bwMode="auto">
                    <a:xfrm>
                      <a:off x="0" y="0"/>
                      <a:ext cx="4522530" cy="22756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Pr="008447B2" w:rsidRDefault="001C55F3" w:rsidP="00622218">
      <w:pPr>
        <w:pStyle w:val="Paragraphedeliste"/>
        <w:numPr>
          <w:ilvl w:val="0"/>
          <w:numId w:val="73"/>
        </w:numPr>
        <w:rPr>
          <w:rFonts w:ascii="Calibri" w:hAnsi="Calibri"/>
          <w:b/>
          <w:sz w:val="24"/>
          <w:szCs w:val="24"/>
          <w:u w:val="single"/>
        </w:rPr>
      </w:pPr>
      <w:r w:rsidRPr="008447B2">
        <w:rPr>
          <w:rFonts w:ascii="Calibri" w:hAnsi="Calibri"/>
          <w:b/>
          <w:sz w:val="24"/>
          <w:szCs w:val="24"/>
          <w:u w:val="single"/>
        </w:rPr>
        <w:t>Do you have on-going/completed regional ecosystem assessments in your country that are possibly useful for Target 2, Action 5?</w:t>
      </w:r>
    </w:p>
    <w:p w:rsidR="001C55F3" w:rsidRDefault="001C55F3" w:rsidP="001C55F3">
      <w:pPr>
        <w:ind w:left="360"/>
        <w:rPr>
          <w:rFonts w:ascii="Calibri" w:hAnsi="Calibri"/>
          <w:sz w:val="24"/>
          <w:szCs w:val="24"/>
        </w:rPr>
      </w:pPr>
      <w:r>
        <w:rPr>
          <w:noProof/>
          <w:lang w:val="fr-BE" w:eastAsia="fr-BE"/>
        </w:rPr>
        <w:drawing>
          <wp:inline distT="0" distB="0" distL="0" distR="0">
            <wp:extent cx="4591050" cy="2237410"/>
            <wp:effectExtent l="0" t="0" r="0" b="0"/>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2999" t="29809" r="4741" b="24889"/>
                    <a:stretch/>
                  </pic:blipFill>
                  <pic:spPr bwMode="auto">
                    <a:xfrm>
                      <a:off x="0" y="0"/>
                      <a:ext cx="4597139" cy="224037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Pr="0007080F" w:rsidRDefault="001C55F3" w:rsidP="001C55F3">
      <w:pPr>
        <w:ind w:left="360"/>
        <w:rPr>
          <w:rFonts w:ascii="Calibri" w:hAnsi="Calibri"/>
          <w:sz w:val="24"/>
          <w:szCs w:val="24"/>
        </w:rPr>
      </w:pPr>
    </w:p>
    <w:p w:rsidR="001C55F3" w:rsidRPr="003A0E89" w:rsidRDefault="001C55F3" w:rsidP="001C55F3">
      <w:pPr>
        <w:pStyle w:val="Titre4"/>
        <w:rPr>
          <w:rFonts w:ascii="Calibri" w:hAnsi="Calibri"/>
          <w:sz w:val="24"/>
          <w:szCs w:val="24"/>
        </w:rPr>
      </w:pPr>
      <w:r w:rsidRPr="003A0E89">
        <w:rPr>
          <w:rFonts w:ascii="Calibri" w:hAnsi="Calibri"/>
          <w:sz w:val="24"/>
          <w:szCs w:val="24"/>
        </w:rPr>
        <w:t>Section 2: Mapping and Assessment Process and Activities</w:t>
      </w:r>
    </w:p>
    <w:p w:rsidR="001C55F3" w:rsidRPr="003A0E89" w:rsidRDefault="001C55F3" w:rsidP="001C55F3">
      <w:pPr>
        <w:rPr>
          <w:rFonts w:ascii="Calibri" w:hAnsi="Calibri"/>
        </w:rPr>
      </w:pPr>
    </w:p>
    <w:p w:rsidR="001C55F3" w:rsidRPr="008447B2" w:rsidRDefault="001C55F3" w:rsidP="00622218">
      <w:pPr>
        <w:pStyle w:val="Paragraphedeliste"/>
        <w:numPr>
          <w:ilvl w:val="0"/>
          <w:numId w:val="74"/>
        </w:numPr>
        <w:rPr>
          <w:rFonts w:ascii="Calibri" w:hAnsi="Calibri"/>
          <w:b/>
          <w:sz w:val="24"/>
          <w:szCs w:val="24"/>
          <w:u w:val="single"/>
        </w:rPr>
      </w:pPr>
      <w:r w:rsidRPr="008447B2">
        <w:rPr>
          <w:rFonts w:ascii="Calibri" w:hAnsi="Calibri"/>
          <w:b/>
          <w:sz w:val="24"/>
          <w:szCs w:val="24"/>
          <w:u w:val="single"/>
        </w:rPr>
        <w:lastRenderedPageBreak/>
        <w:t>Your country ecosystem assessment includes:</w:t>
      </w:r>
    </w:p>
    <w:p w:rsidR="001C55F3" w:rsidRPr="003A0E89" w:rsidRDefault="001C55F3" w:rsidP="001C55F3">
      <w:pPr>
        <w:ind w:left="360"/>
        <w:rPr>
          <w:rFonts w:ascii="Calibri" w:hAnsi="Calibri"/>
          <w:sz w:val="24"/>
          <w:szCs w:val="24"/>
        </w:rPr>
      </w:pPr>
      <w:r>
        <w:rPr>
          <w:noProof/>
          <w:lang w:val="fr-BE" w:eastAsia="fr-BE"/>
        </w:rPr>
        <w:drawing>
          <wp:inline distT="0" distB="0" distL="0" distR="0">
            <wp:extent cx="4781550" cy="2325343"/>
            <wp:effectExtent l="0" t="0" r="0"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42889" t="44518" r="4741" b="10180"/>
                    <a:stretch/>
                  </pic:blipFill>
                  <pic:spPr bwMode="auto">
                    <a:xfrm>
                      <a:off x="0" y="0"/>
                      <a:ext cx="4781550" cy="23253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Default="001C55F3" w:rsidP="001C55F3">
      <w:pPr>
        <w:ind w:left="360"/>
        <w:rPr>
          <w:rFonts w:ascii="Calibri" w:hAnsi="Calibri"/>
          <w:sz w:val="24"/>
          <w:szCs w:val="24"/>
        </w:rPr>
      </w:pPr>
    </w:p>
    <w:p w:rsidR="001C55F3" w:rsidRPr="008447B2" w:rsidRDefault="001C55F3" w:rsidP="00622218">
      <w:pPr>
        <w:pStyle w:val="Paragraphedeliste"/>
        <w:numPr>
          <w:ilvl w:val="0"/>
          <w:numId w:val="74"/>
        </w:numPr>
        <w:rPr>
          <w:rFonts w:ascii="Calibri" w:hAnsi="Calibri"/>
          <w:b/>
          <w:sz w:val="24"/>
          <w:szCs w:val="24"/>
          <w:u w:val="single"/>
        </w:rPr>
      </w:pPr>
      <w:r w:rsidRPr="008447B2">
        <w:rPr>
          <w:rFonts w:ascii="Calibri" w:hAnsi="Calibri"/>
          <w:b/>
          <w:sz w:val="24"/>
          <w:szCs w:val="24"/>
          <w:u w:val="single"/>
        </w:rPr>
        <w:t>Please indicate the development phase of the following activities:</w:t>
      </w:r>
    </w:p>
    <w:p w:rsidR="001C55F3" w:rsidRPr="003A0E89" w:rsidRDefault="001C55F3" w:rsidP="001C55F3">
      <w:pPr>
        <w:ind w:left="360"/>
        <w:rPr>
          <w:rFonts w:ascii="Calibri" w:hAnsi="Calibri"/>
          <w:sz w:val="24"/>
          <w:szCs w:val="24"/>
        </w:rPr>
      </w:pPr>
      <w:r>
        <w:rPr>
          <w:noProof/>
          <w:lang w:val="fr-BE" w:eastAsia="fr-BE"/>
        </w:rPr>
        <w:drawing>
          <wp:inline distT="0" distB="0" distL="0" distR="0">
            <wp:extent cx="5340350" cy="3145993"/>
            <wp:effectExtent l="0" t="0" r="0" b="0"/>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42668" t="30006" r="4741" b="14887"/>
                    <a:stretch/>
                  </pic:blipFill>
                  <pic:spPr bwMode="auto">
                    <a:xfrm>
                      <a:off x="0" y="0"/>
                      <a:ext cx="5344827" cy="314863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Default="001C55F3" w:rsidP="001C55F3">
      <w:pPr>
        <w:ind w:left="360"/>
        <w:rPr>
          <w:rFonts w:ascii="Calibri" w:hAnsi="Calibri"/>
          <w:sz w:val="24"/>
          <w:szCs w:val="24"/>
        </w:rPr>
      </w:pPr>
    </w:p>
    <w:p w:rsidR="001C55F3" w:rsidRDefault="001C55F3" w:rsidP="001C55F3">
      <w:pPr>
        <w:ind w:left="360"/>
        <w:rPr>
          <w:rFonts w:ascii="Calibri" w:hAnsi="Calibri"/>
          <w:sz w:val="24"/>
          <w:szCs w:val="24"/>
        </w:rPr>
      </w:pPr>
    </w:p>
    <w:p w:rsidR="001C55F3" w:rsidRDefault="001C55F3" w:rsidP="001C55F3">
      <w:pPr>
        <w:ind w:left="360"/>
        <w:rPr>
          <w:rFonts w:ascii="Calibri" w:hAnsi="Calibri"/>
          <w:sz w:val="24"/>
          <w:szCs w:val="24"/>
        </w:rPr>
      </w:pPr>
    </w:p>
    <w:p w:rsidR="001C55F3" w:rsidRDefault="001C55F3">
      <w:pPr>
        <w:rPr>
          <w:rFonts w:ascii="Calibri" w:hAnsi="Calibri"/>
          <w:sz w:val="24"/>
          <w:szCs w:val="24"/>
        </w:rPr>
      </w:pPr>
      <w:r>
        <w:rPr>
          <w:rFonts w:ascii="Calibri" w:hAnsi="Calibri"/>
          <w:sz w:val="24"/>
          <w:szCs w:val="24"/>
        </w:rPr>
        <w:br w:type="page"/>
      </w:r>
    </w:p>
    <w:p w:rsidR="001C55F3" w:rsidRPr="008447B2" w:rsidRDefault="001C55F3" w:rsidP="00622218">
      <w:pPr>
        <w:pStyle w:val="Paragraphedeliste"/>
        <w:numPr>
          <w:ilvl w:val="0"/>
          <w:numId w:val="74"/>
        </w:numPr>
        <w:rPr>
          <w:rFonts w:ascii="Calibri" w:hAnsi="Calibri"/>
          <w:b/>
          <w:sz w:val="24"/>
          <w:szCs w:val="24"/>
          <w:u w:val="single"/>
        </w:rPr>
      </w:pPr>
      <w:r w:rsidRPr="008447B2">
        <w:rPr>
          <w:rFonts w:ascii="Calibri" w:hAnsi="Calibri"/>
          <w:b/>
          <w:sz w:val="24"/>
          <w:szCs w:val="24"/>
          <w:u w:val="single"/>
        </w:rPr>
        <w:lastRenderedPageBreak/>
        <w:t>Please indicate if stakeholders are involved in your country ecosystem assessment:</w:t>
      </w:r>
    </w:p>
    <w:p w:rsidR="001C55F3" w:rsidRDefault="001C55F3" w:rsidP="001C55F3">
      <w:pPr>
        <w:ind w:left="360"/>
        <w:rPr>
          <w:rFonts w:ascii="Calibri" w:hAnsi="Calibri"/>
          <w:sz w:val="24"/>
          <w:szCs w:val="24"/>
        </w:rPr>
      </w:pPr>
      <w:r>
        <w:rPr>
          <w:noProof/>
          <w:lang w:val="fr-BE" w:eastAsia="fr-BE"/>
        </w:rPr>
        <w:drawing>
          <wp:inline distT="0" distB="0" distL="0" distR="0">
            <wp:extent cx="4667250" cy="2264991"/>
            <wp:effectExtent l="0" t="0" r="0" b="2540"/>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42888" t="44518" r="4631" b="10180"/>
                    <a:stretch/>
                  </pic:blipFill>
                  <pic:spPr bwMode="auto">
                    <a:xfrm>
                      <a:off x="0" y="0"/>
                      <a:ext cx="4671607" cy="226710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Pr="003A0E89" w:rsidRDefault="001C55F3" w:rsidP="001C55F3">
      <w:pPr>
        <w:ind w:left="360"/>
        <w:rPr>
          <w:rFonts w:ascii="Calibri" w:hAnsi="Calibri"/>
          <w:sz w:val="24"/>
          <w:szCs w:val="24"/>
        </w:rPr>
      </w:pPr>
    </w:p>
    <w:p w:rsidR="001C55F3" w:rsidRPr="00FD478D" w:rsidRDefault="001C55F3" w:rsidP="00622218">
      <w:pPr>
        <w:pStyle w:val="Paragraphedeliste"/>
        <w:numPr>
          <w:ilvl w:val="0"/>
          <w:numId w:val="74"/>
        </w:numPr>
        <w:rPr>
          <w:rFonts w:ascii="Calibri" w:hAnsi="Calibri"/>
          <w:b/>
          <w:sz w:val="24"/>
          <w:szCs w:val="24"/>
          <w:u w:val="single"/>
        </w:rPr>
      </w:pPr>
      <w:r w:rsidRPr="00FD478D">
        <w:rPr>
          <w:rFonts w:ascii="Calibri" w:hAnsi="Calibri"/>
          <w:b/>
          <w:sz w:val="24"/>
          <w:szCs w:val="24"/>
          <w:u w:val="single"/>
        </w:rPr>
        <w:t>Please select the problems encountered, if any, in the organisation of your country ecosystem assessment.</w:t>
      </w:r>
    </w:p>
    <w:p w:rsidR="001C55F3" w:rsidRDefault="001C55F3" w:rsidP="001C55F3">
      <w:pPr>
        <w:pStyle w:val="Paragraphedeliste"/>
        <w:rPr>
          <w:rFonts w:ascii="Calibri" w:hAnsi="Calibri"/>
          <w:sz w:val="24"/>
          <w:szCs w:val="24"/>
        </w:rPr>
      </w:pPr>
    </w:p>
    <w:p w:rsidR="001C55F3" w:rsidRDefault="001C55F3" w:rsidP="001C55F3">
      <w:pPr>
        <w:pStyle w:val="Paragraphedeliste"/>
        <w:rPr>
          <w:rFonts w:ascii="Calibri" w:hAnsi="Calibri"/>
          <w:sz w:val="24"/>
          <w:szCs w:val="24"/>
        </w:rPr>
      </w:pPr>
      <w:r>
        <w:rPr>
          <w:noProof/>
          <w:lang w:val="fr-BE" w:eastAsia="fr-BE"/>
        </w:rPr>
        <w:drawing>
          <wp:inline distT="0" distB="0" distL="0" distR="0">
            <wp:extent cx="5137150" cy="3498850"/>
            <wp:effectExtent l="0" t="0" r="25400" b="25400"/>
            <wp:docPr id="25"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1C55F3" w:rsidRDefault="001C55F3" w:rsidP="001C55F3">
      <w:pPr>
        <w:ind w:left="360"/>
        <w:rPr>
          <w:rFonts w:ascii="Calibri" w:hAnsi="Calibri"/>
          <w:sz w:val="24"/>
          <w:szCs w:val="24"/>
        </w:rPr>
      </w:pPr>
    </w:p>
    <w:p w:rsidR="001C55F3" w:rsidRDefault="001C55F3" w:rsidP="001C55F3">
      <w:pPr>
        <w:ind w:left="360"/>
        <w:rPr>
          <w:rFonts w:ascii="Calibri" w:hAnsi="Calibri"/>
          <w:sz w:val="24"/>
          <w:szCs w:val="24"/>
        </w:rPr>
      </w:pPr>
    </w:p>
    <w:p w:rsidR="001C55F3" w:rsidRDefault="001C55F3" w:rsidP="001C55F3">
      <w:pPr>
        <w:rPr>
          <w:rFonts w:ascii="Calibri" w:hAnsi="Calibri"/>
          <w:sz w:val="24"/>
          <w:szCs w:val="24"/>
        </w:rPr>
      </w:pPr>
    </w:p>
    <w:p w:rsidR="001C55F3" w:rsidRPr="003A0E89" w:rsidRDefault="001C55F3" w:rsidP="001C55F3">
      <w:pPr>
        <w:rPr>
          <w:rFonts w:ascii="Calibri" w:hAnsi="Calibri"/>
          <w:sz w:val="24"/>
          <w:szCs w:val="24"/>
        </w:rPr>
      </w:pPr>
    </w:p>
    <w:p w:rsidR="001C55F3" w:rsidRDefault="001C55F3" w:rsidP="001C55F3">
      <w:pPr>
        <w:pStyle w:val="Titre4"/>
        <w:rPr>
          <w:rFonts w:ascii="Calibri" w:hAnsi="Calibri"/>
          <w:sz w:val="24"/>
          <w:szCs w:val="24"/>
        </w:rPr>
      </w:pPr>
      <w:r w:rsidRPr="003A0E89">
        <w:rPr>
          <w:rFonts w:ascii="Calibri" w:hAnsi="Calibri"/>
          <w:sz w:val="24"/>
          <w:szCs w:val="24"/>
        </w:rPr>
        <w:lastRenderedPageBreak/>
        <w:t>Section 3: Mapping and Assessment Methods and Materials</w:t>
      </w:r>
    </w:p>
    <w:p w:rsidR="001C55F3" w:rsidRPr="00FD478D" w:rsidRDefault="001C55F3" w:rsidP="001C55F3"/>
    <w:p w:rsidR="001C55F3" w:rsidRPr="00FD478D" w:rsidRDefault="001C55F3" w:rsidP="00622218">
      <w:pPr>
        <w:pStyle w:val="Paragraphedeliste"/>
        <w:numPr>
          <w:ilvl w:val="0"/>
          <w:numId w:val="75"/>
        </w:numPr>
        <w:spacing w:line="240" w:lineRule="auto"/>
        <w:rPr>
          <w:rFonts w:ascii="Calibri" w:hAnsi="Calibri"/>
          <w:b/>
          <w:sz w:val="24"/>
          <w:szCs w:val="24"/>
          <w:u w:val="single"/>
        </w:rPr>
      </w:pPr>
      <w:r w:rsidRPr="00FD478D">
        <w:rPr>
          <w:rFonts w:ascii="Calibri" w:hAnsi="Calibri"/>
          <w:b/>
          <w:sz w:val="24"/>
          <w:szCs w:val="24"/>
          <w:u w:val="single"/>
        </w:rPr>
        <w:t>What are the three most relevant ecosystem/s that are covered in your country ecosystem assessment?:</w:t>
      </w:r>
    </w:p>
    <w:tbl>
      <w:tblPr>
        <w:tblStyle w:val="Titre5Car"/>
        <w:tblW w:w="0" w:type="auto"/>
        <w:tblInd w:w="392" w:type="dxa"/>
        <w:tblLook w:val="04A0"/>
      </w:tblPr>
      <w:tblGrid>
        <w:gridCol w:w="3652"/>
        <w:gridCol w:w="1593"/>
      </w:tblGrid>
      <w:tr w:rsidR="001C55F3" w:rsidRPr="003A0E89" w:rsidTr="001C55F3">
        <w:tc>
          <w:tcPr>
            <w:tcW w:w="3652" w:type="dxa"/>
            <w:vAlign w:val="center"/>
          </w:tcPr>
          <w:p w:rsidR="001C55F3" w:rsidRPr="003A0E89" w:rsidRDefault="001C55F3" w:rsidP="001C55F3">
            <w:pPr>
              <w:rPr>
                <w:rFonts w:ascii="Calibri" w:hAnsi="Calibri" w:cs="Microsoft Sans Serif"/>
                <w:b/>
                <w:bCs/>
                <w:color w:val="000000"/>
                <w:sz w:val="20"/>
                <w:szCs w:val="20"/>
              </w:rPr>
            </w:pPr>
            <w:r w:rsidRPr="003A0E89">
              <w:rPr>
                <w:rFonts w:ascii="Calibri" w:hAnsi="Calibri" w:cs="Microsoft Sans Serif"/>
                <w:b/>
                <w:bCs/>
                <w:color w:val="000000"/>
                <w:sz w:val="20"/>
                <w:szCs w:val="20"/>
              </w:rPr>
              <w:t>Answer Options</w:t>
            </w:r>
          </w:p>
        </w:tc>
        <w:tc>
          <w:tcPr>
            <w:tcW w:w="1593" w:type="dxa"/>
            <w:vAlign w:val="center"/>
          </w:tcPr>
          <w:p w:rsidR="001C55F3" w:rsidRPr="003A0E89" w:rsidRDefault="001C55F3" w:rsidP="001C55F3">
            <w:pPr>
              <w:jc w:val="center"/>
              <w:rPr>
                <w:rFonts w:ascii="Calibri" w:hAnsi="Calibri" w:cs="Microsoft Sans Serif"/>
                <w:b/>
                <w:bCs/>
                <w:color w:val="000000"/>
                <w:sz w:val="20"/>
                <w:szCs w:val="20"/>
              </w:rPr>
            </w:pPr>
            <w:r w:rsidRPr="003A0E89">
              <w:rPr>
                <w:rFonts w:ascii="Calibri" w:hAnsi="Calibri" w:cs="Microsoft Sans Serif"/>
                <w:b/>
                <w:bCs/>
                <w:color w:val="000000"/>
                <w:sz w:val="20"/>
                <w:szCs w:val="20"/>
              </w:rPr>
              <w:t>Response Count</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Agroecosystems (cropland)</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8</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Agroecosystems (grassland)</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9</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Forest</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13</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Freshwater (rivers and lakes)</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8</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Freshwater (groundwaters)</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4</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Freshwater (wetlands)</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8</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Marine (marine inlets and transitional waters)</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2</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Marine (coastal waters)</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4</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Marine (shelf waters)</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3A0E89" w:rsidTr="001C55F3">
        <w:tc>
          <w:tcPr>
            <w:tcW w:w="3652"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Marine (open ocean)</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0</w:t>
            </w:r>
          </w:p>
        </w:tc>
      </w:tr>
      <w:tr w:rsidR="001C55F3" w:rsidRPr="003A0E89" w:rsidTr="001C55F3">
        <w:tc>
          <w:tcPr>
            <w:tcW w:w="3652" w:type="dxa"/>
            <w:vAlign w:val="center"/>
          </w:tcPr>
          <w:p w:rsidR="001C55F3" w:rsidRPr="003A0E89" w:rsidRDefault="001C55F3" w:rsidP="001C55F3">
            <w:pPr>
              <w:rPr>
                <w:rFonts w:ascii="Calibri" w:hAnsi="Calibri" w:cs="Microsoft Sans Serif"/>
                <w:bCs/>
                <w:color w:val="000000"/>
                <w:sz w:val="20"/>
                <w:szCs w:val="20"/>
              </w:rPr>
            </w:pPr>
            <w:r w:rsidRPr="003A0E89">
              <w:rPr>
                <w:rFonts w:ascii="Calibri" w:hAnsi="Calibri" w:cs="Microsoft Sans Serif"/>
                <w:bCs/>
                <w:color w:val="000000"/>
                <w:sz w:val="20"/>
                <w:szCs w:val="20"/>
              </w:rPr>
              <w:t>Other (please specify)</w:t>
            </w:r>
          </w:p>
        </w:tc>
        <w:tc>
          <w:tcPr>
            <w:tcW w:w="1593"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8</w:t>
            </w:r>
          </w:p>
        </w:tc>
      </w:tr>
    </w:tbl>
    <w:p w:rsidR="001C55F3" w:rsidRDefault="001C55F3" w:rsidP="001C55F3">
      <w:pPr>
        <w:spacing w:after="0"/>
        <w:rPr>
          <w:rFonts w:ascii="Calibri" w:hAnsi="Calibri"/>
          <w:sz w:val="24"/>
          <w:szCs w:val="24"/>
        </w:rPr>
      </w:pPr>
    </w:p>
    <w:p w:rsidR="001C55F3" w:rsidRPr="003A0E89" w:rsidRDefault="001C55F3" w:rsidP="001C55F3">
      <w:pPr>
        <w:rPr>
          <w:rFonts w:ascii="Calibri" w:hAnsi="Calibri"/>
          <w:sz w:val="24"/>
          <w:szCs w:val="24"/>
        </w:rPr>
      </w:pPr>
      <w:r>
        <w:rPr>
          <w:rFonts w:ascii="Calibri" w:hAnsi="Calibri"/>
          <w:sz w:val="24"/>
          <w:szCs w:val="24"/>
        </w:rPr>
        <w:t>‘Other comments’ are detailed in the table below:</w:t>
      </w:r>
    </w:p>
    <w:tbl>
      <w:tblPr>
        <w:tblStyle w:val="Titre5Car"/>
        <w:tblW w:w="0" w:type="auto"/>
        <w:tblInd w:w="360" w:type="dxa"/>
        <w:tblLook w:val="04A0"/>
      </w:tblPr>
      <w:tblGrid>
        <w:gridCol w:w="1875"/>
        <w:gridCol w:w="7051"/>
      </w:tblGrid>
      <w:tr w:rsidR="001C55F3" w:rsidRPr="004258D8" w:rsidTr="001C55F3">
        <w:tc>
          <w:tcPr>
            <w:tcW w:w="1875" w:type="dxa"/>
          </w:tcPr>
          <w:p w:rsidR="001C55F3" w:rsidRPr="004258D8" w:rsidRDefault="001C55F3" w:rsidP="001C55F3">
            <w:pPr>
              <w:rPr>
                <w:rFonts w:ascii="Calibri" w:hAnsi="Calibri"/>
                <w:b/>
                <w:sz w:val="20"/>
                <w:szCs w:val="20"/>
              </w:rPr>
            </w:pPr>
            <w:r w:rsidRPr="004258D8">
              <w:rPr>
                <w:rFonts w:ascii="Calibri" w:hAnsi="Calibri"/>
                <w:b/>
                <w:sz w:val="20"/>
                <w:szCs w:val="20"/>
              </w:rPr>
              <w:t>Country</w:t>
            </w:r>
          </w:p>
        </w:tc>
        <w:tc>
          <w:tcPr>
            <w:tcW w:w="7051" w:type="dxa"/>
          </w:tcPr>
          <w:p w:rsidR="001C55F3" w:rsidRPr="004258D8" w:rsidRDefault="001C55F3" w:rsidP="001C55F3">
            <w:pPr>
              <w:rPr>
                <w:rFonts w:ascii="Calibri" w:hAnsi="Calibri"/>
                <w:b/>
                <w:sz w:val="20"/>
                <w:szCs w:val="20"/>
              </w:rPr>
            </w:pPr>
            <w:r w:rsidRPr="004258D8">
              <w:rPr>
                <w:rFonts w:ascii="Calibri" w:hAnsi="Calibri"/>
                <w:b/>
                <w:sz w:val="20"/>
                <w:szCs w:val="20"/>
              </w:rPr>
              <w:t>Comments</w:t>
            </w:r>
          </w:p>
        </w:tc>
      </w:tr>
      <w:tr w:rsidR="001C55F3" w:rsidRPr="004258D8" w:rsidTr="001C55F3">
        <w:tc>
          <w:tcPr>
            <w:tcW w:w="1875" w:type="dxa"/>
          </w:tcPr>
          <w:p w:rsidR="001C55F3" w:rsidRPr="004258D8" w:rsidRDefault="001C55F3" w:rsidP="001C55F3">
            <w:pPr>
              <w:rPr>
                <w:rFonts w:ascii="Calibri" w:hAnsi="Calibri"/>
                <w:sz w:val="20"/>
                <w:szCs w:val="20"/>
              </w:rPr>
            </w:pPr>
            <w:r w:rsidRPr="004258D8">
              <w:rPr>
                <w:rFonts w:ascii="Calibri" w:hAnsi="Calibri"/>
                <w:sz w:val="20"/>
                <w:szCs w:val="20"/>
              </w:rPr>
              <w:t>The Netherlands</w:t>
            </w:r>
          </w:p>
        </w:tc>
        <w:tc>
          <w:tcPr>
            <w:tcW w:w="7051"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Heathland, urban</w:t>
            </w:r>
          </w:p>
        </w:tc>
      </w:tr>
      <w:tr w:rsidR="001C55F3" w:rsidRPr="004258D8" w:rsidTr="001C55F3">
        <w:tc>
          <w:tcPr>
            <w:tcW w:w="1875" w:type="dxa"/>
          </w:tcPr>
          <w:p w:rsidR="001C55F3" w:rsidRPr="004258D8" w:rsidRDefault="001C55F3" w:rsidP="001C55F3">
            <w:pPr>
              <w:rPr>
                <w:rFonts w:ascii="Calibri" w:hAnsi="Calibri"/>
                <w:sz w:val="20"/>
                <w:szCs w:val="20"/>
              </w:rPr>
            </w:pPr>
            <w:r w:rsidRPr="004258D8">
              <w:rPr>
                <w:rFonts w:ascii="Calibri" w:hAnsi="Calibri"/>
                <w:sz w:val="20"/>
                <w:szCs w:val="20"/>
              </w:rPr>
              <w:t>France</w:t>
            </w:r>
          </w:p>
        </w:tc>
        <w:tc>
          <w:tcPr>
            <w:tcW w:w="7051"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2 more : Urban ecosystems, coral reef</w:t>
            </w:r>
          </w:p>
        </w:tc>
      </w:tr>
      <w:tr w:rsidR="001C55F3" w:rsidRPr="004258D8" w:rsidTr="001C55F3">
        <w:tc>
          <w:tcPr>
            <w:tcW w:w="1875" w:type="dxa"/>
          </w:tcPr>
          <w:p w:rsidR="001C55F3" w:rsidRPr="004258D8" w:rsidRDefault="001C55F3" w:rsidP="001C55F3">
            <w:pPr>
              <w:rPr>
                <w:rFonts w:ascii="Calibri" w:hAnsi="Calibri"/>
                <w:sz w:val="20"/>
                <w:szCs w:val="20"/>
              </w:rPr>
            </w:pPr>
            <w:r w:rsidRPr="004258D8">
              <w:rPr>
                <w:rFonts w:ascii="Calibri" w:hAnsi="Calibri"/>
                <w:sz w:val="20"/>
                <w:szCs w:val="20"/>
              </w:rPr>
              <w:t>Hungary</w:t>
            </w:r>
          </w:p>
        </w:tc>
        <w:tc>
          <w:tcPr>
            <w:tcW w:w="7051"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urban</w:t>
            </w:r>
          </w:p>
        </w:tc>
      </w:tr>
      <w:tr w:rsidR="001C55F3" w:rsidRPr="004258D8" w:rsidTr="001C55F3">
        <w:tc>
          <w:tcPr>
            <w:tcW w:w="1875" w:type="dxa"/>
          </w:tcPr>
          <w:p w:rsidR="001C55F3" w:rsidRPr="004258D8" w:rsidRDefault="001C55F3" w:rsidP="001C55F3">
            <w:pPr>
              <w:rPr>
                <w:rFonts w:ascii="Calibri" w:hAnsi="Calibri"/>
                <w:sz w:val="20"/>
                <w:szCs w:val="20"/>
              </w:rPr>
            </w:pPr>
            <w:r w:rsidRPr="004258D8">
              <w:rPr>
                <w:rFonts w:ascii="Calibri" w:hAnsi="Calibri"/>
                <w:sz w:val="20"/>
                <w:szCs w:val="20"/>
              </w:rPr>
              <w:t>Finland</w:t>
            </w:r>
          </w:p>
        </w:tc>
        <w:tc>
          <w:tcPr>
            <w:tcW w:w="7051"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Peatlands as a special part of wetlands</w:t>
            </w:r>
          </w:p>
        </w:tc>
      </w:tr>
      <w:tr w:rsidR="001C55F3" w:rsidRPr="004258D8" w:rsidTr="001C55F3">
        <w:tc>
          <w:tcPr>
            <w:tcW w:w="1875" w:type="dxa"/>
          </w:tcPr>
          <w:p w:rsidR="001C55F3" w:rsidRPr="004258D8" w:rsidRDefault="001C55F3" w:rsidP="001C55F3">
            <w:pPr>
              <w:rPr>
                <w:rFonts w:ascii="Calibri" w:hAnsi="Calibri"/>
                <w:sz w:val="20"/>
                <w:szCs w:val="20"/>
              </w:rPr>
            </w:pPr>
            <w:r w:rsidRPr="004258D8">
              <w:rPr>
                <w:rFonts w:ascii="Calibri" w:hAnsi="Calibri"/>
                <w:sz w:val="20"/>
                <w:szCs w:val="20"/>
              </w:rPr>
              <w:t>Spain</w:t>
            </w:r>
          </w:p>
        </w:tc>
        <w:tc>
          <w:tcPr>
            <w:tcW w:w="7051"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Urban, Mountains, Arid zones, Insular</w:t>
            </w:r>
          </w:p>
        </w:tc>
      </w:tr>
    </w:tbl>
    <w:p w:rsidR="001C55F3" w:rsidRPr="003A0E89" w:rsidRDefault="001C55F3" w:rsidP="001C55F3">
      <w:pPr>
        <w:ind w:left="360"/>
        <w:rPr>
          <w:rFonts w:ascii="Calibri" w:hAnsi="Calibri"/>
          <w:sz w:val="24"/>
          <w:szCs w:val="24"/>
        </w:rPr>
      </w:pPr>
    </w:p>
    <w:p w:rsidR="001C55F3" w:rsidRPr="00FD478D" w:rsidRDefault="001C55F3" w:rsidP="00622218">
      <w:pPr>
        <w:pStyle w:val="Paragraphedeliste"/>
        <w:numPr>
          <w:ilvl w:val="0"/>
          <w:numId w:val="75"/>
        </w:numPr>
        <w:spacing w:line="240" w:lineRule="auto"/>
        <w:rPr>
          <w:rFonts w:ascii="Calibri" w:hAnsi="Calibri"/>
          <w:b/>
          <w:sz w:val="24"/>
          <w:szCs w:val="24"/>
          <w:u w:val="single"/>
        </w:rPr>
      </w:pPr>
      <w:r w:rsidRPr="00FD478D">
        <w:rPr>
          <w:rFonts w:ascii="Calibri" w:hAnsi="Calibri"/>
          <w:b/>
          <w:sz w:val="24"/>
          <w:szCs w:val="24"/>
          <w:u w:val="single"/>
        </w:rPr>
        <w:t>What are the three most relevant ecosystem services that are covered in your country ecosystem assessment?:</w:t>
      </w:r>
    </w:p>
    <w:tbl>
      <w:tblPr>
        <w:tblStyle w:val="Titre5Car"/>
        <w:tblW w:w="0" w:type="auto"/>
        <w:tblInd w:w="360" w:type="dxa"/>
        <w:tblLook w:val="04A0"/>
      </w:tblPr>
      <w:tblGrid>
        <w:gridCol w:w="6836"/>
        <w:gridCol w:w="1984"/>
      </w:tblGrid>
      <w:tr w:rsidR="001C55F3" w:rsidRPr="003A0E89" w:rsidTr="001C55F3">
        <w:tc>
          <w:tcPr>
            <w:tcW w:w="6836" w:type="dxa"/>
            <w:vAlign w:val="bottom"/>
          </w:tcPr>
          <w:p w:rsidR="001C55F3" w:rsidRPr="003A0E89" w:rsidRDefault="001C55F3" w:rsidP="001C55F3">
            <w:pPr>
              <w:rPr>
                <w:rFonts w:ascii="Calibri" w:hAnsi="Calibri" w:cs="Microsoft Sans Serif"/>
                <w:b/>
                <w:sz w:val="20"/>
                <w:szCs w:val="20"/>
              </w:rPr>
            </w:pPr>
            <w:r w:rsidRPr="003A0E89">
              <w:rPr>
                <w:rFonts w:ascii="Calibri" w:hAnsi="Calibri" w:cs="Microsoft Sans Serif"/>
                <w:b/>
                <w:sz w:val="20"/>
                <w:szCs w:val="20"/>
              </w:rPr>
              <w:t>Answer Options</w:t>
            </w:r>
          </w:p>
        </w:tc>
        <w:tc>
          <w:tcPr>
            <w:tcW w:w="1984" w:type="dxa"/>
          </w:tcPr>
          <w:p w:rsidR="001C55F3" w:rsidRPr="003A0E89" w:rsidRDefault="001C55F3" w:rsidP="001C55F3">
            <w:pPr>
              <w:rPr>
                <w:rFonts w:ascii="Calibri" w:hAnsi="Calibri"/>
                <w:b/>
                <w:sz w:val="24"/>
                <w:szCs w:val="24"/>
              </w:rPr>
            </w:pPr>
            <w:r w:rsidRPr="003A0E89">
              <w:rPr>
                <w:rFonts w:ascii="Calibri" w:hAnsi="Calibri"/>
                <w:b/>
                <w:sz w:val="24"/>
                <w:szCs w:val="24"/>
              </w:rPr>
              <w:t>Response Count</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Food (e.g. fish, game, fruit)</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6</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Water (e.g. for drinking, irrigation, cooling)</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4</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Raw materials (e.g. fibre, timber, fuel wood, fodder, fertilizer)</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7</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Genetic resources (e.g. for crop improvement and medicinal purposes)</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Medicinal resources (e.g. biochemical products, models &amp; test organisms)</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Ornamental resources (e.g. artisan work, decorative plants, pet animals, fashion)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0</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Air quality regulation (e.g. capturing (fine)dust, chemicals, etc.)</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Climate regulation (incl. C-sequestration, influence of vegetation on rainfall, etc.)</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4</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Moderation of extreme events (e.g. storm protection and flood prevention)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3</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Regulation of water flows (e.g. natural drainage, irrigation and drought prevention)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5</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Waste treatment (especially water purification)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2</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Erosion prevention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Maintenance of soil fertility (incl. soil formation)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Pollination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Biological control (e.g. seed dispersal, pest and disease control)</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Maintenance of life cycles of migratory species (incl. nursery service)</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0</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Maintenance of genetic diversity (especially gene pool protection)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Aesthetic information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2</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lastRenderedPageBreak/>
              <w:t>Opportunities for recreation &amp; tourism</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9</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Inspiration for culture, art and design</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Spiritual experience</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Information for cognitive development</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I don't know</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0</w:t>
            </w:r>
          </w:p>
        </w:tc>
      </w:tr>
      <w:tr w:rsidR="001C55F3" w:rsidRPr="000057BE" w:rsidTr="001C55F3">
        <w:tc>
          <w:tcPr>
            <w:tcW w:w="6836" w:type="dxa"/>
            <w:vAlign w:val="bottom"/>
          </w:tcPr>
          <w:p w:rsidR="001C55F3" w:rsidRPr="003A0E89" w:rsidRDefault="001C55F3" w:rsidP="001C55F3">
            <w:pPr>
              <w:rPr>
                <w:rFonts w:ascii="Calibri" w:hAnsi="Calibri" w:cs="Microsoft Sans Serif"/>
                <w:sz w:val="20"/>
                <w:szCs w:val="20"/>
              </w:rPr>
            </w:pPr>
            <w:r w:rsidRPr="003A0E89">
              <w:rPr>
                <w:rFonts w:ascii="Calibri" w:hAnsi="Calibri" w:cs="Microsoft Sans Serif"/>
                <w:sz w:val="20"/>
                <w:szCs w:val="20"/>
              </w:rPr>
              <w:t>Other (please specify)</w:t>
            </w:r>
          </w:p>
        </w:tc>
        <w:tc>
          <w:tcPr>
            <w:tcW w:w="1984"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5</w:t>
            </w:r>
          </w:p>
        </w:tc>
      </w:tr>
    </w:tbl>
    <w:p w:rsidR="001C55F3" w:rsidRDefault="001C55F3" w:rsidP="001C55F3">
      <w:pPr>
        <w:rPr>
          <w:rFonts w:ascii="Calibri" w:hAnsi="Calibri"/>
          <w:sz w:val="24"/>
          <w:szCs w:val="24"/>
        </w:rPr>
      </w:pPr>
    </w:p>
    <w:p w:rsidR="001C55F3" w:rsidRPr="003A0E89" w:rsidRDefault="001C55F3" w:rsidP="00622218">
      <w:pPr>
        <w:pStyle w:val="Paragraphedeliste"/>
        <w:numPr>
          <w:ilvl w:val="0"/>
          <w:numId w:val="75"/>
        </w:numPr>
        <w:ind w:left="360"/>
        <w:rPr>
          <w:rFonts w:ascii="Calibri" w:hAnsi="Calibri"/>
          <w:sz w:val="24"/>
          <w:szCs w:val="24"/>
        </w:rPr>
      </w:pPr>
      <w:r w:rsidRPr="008D6649">
        <w:rPr>
          <w:rFonts w:ascii="Calibri" w:hAnsi="Calibri"/>
          <w:b/>
          <w:sz w:val="24"/>
          <w:szCs w:val="24"/>
          <w:u w:val="single"/>
        </w:rPr>
        <w:t>The Ecosystem Services classification used in the case study.</w:t>
      </w:r>
      <w:r>
        <w:rPr>
          <w:noProof/>
          <w:lang w:val="fr-BE" w:eastAsia="fr-BE"/>
        </w:rPr>
        <w:drawing>
          <wp:inline distT="0" distB="0" distL="0" distR="0">
            <wp:extent cx="4514850" cy="2432529"/>
            <wp:effectExtent l="0" t="0" r="0" b="6350"/>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42668" t="39811" r="4742" b="9788"/>
                    <a:stretch/>
                  </pic:blipFill>
                  <pic:spPr bwMode="auto">
                    <a:xfrm>
                      <a:off x="0" y="0"/>
                      <a:ext cx="4515846" cy="24330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Pr="008D6649" w:rsidRDefault="001C55F3" w:rsidP="00622218">
      <w:pPr>
        <w:pStyle w:val="Paragraphedeliste"/>
        <w:numPr>
          <w:ilvl w:val="0"/>
          <w:numId w:val="75"/>
        </w:numPr>
        <w:spacing w:line="240" w:lineRule="auto"/>
        <w:rPr>
          <w:rFonts w:ascii="Calibri" w:hAnsi="Calibri"/>
          <w:b/>
          <w:sz w:val="24"/>
          <w:szCs w:val="24"/>
          <w:u w:val="single"/>
        </w:rPr>
      </w:pPr>
      <w:r w:rsidRPr="008D6649">
        <w:rPr>
          <w:rFonts w:ascii="Calibri" w:hAnsi="Calibri"/>
          <w:b/>
          <w:sz w:val="24"/>
          <w:szCs w:val="24"/>
          <w:u w:val="single"/>
        </w:rPr>
        <w:t>The quantification of the indicators used in the mapping and assessment derive from:</w:t>
      </w:r>
    </w:p>
    <w:p w:rsidR="001C55F3" w:rsidRPr="003A0E89" w:rsidRDefault="001C55F3" w:rsidP="001C55F3">
      <w:pPr>
        <w:ind w:left="360"/>
        <w:rPr>
          <w:rFonts w:ascii="Calibri" w:hAnsi="Calibri"/>
          <w:sz w:val="24"/>
          <w:szCs w:val="24"/>
        </w:rPr>
      </w:pPr>
      <w:r>
        <w:rPr>
          <w:noProof/>
          <w:lang w:val="fr-BE" w:eastAsia="fr-BE"/>
        </w:rPr>
        <w:drawing>
          <wp:inline distT="0" distB="0" distL="0" distR="0">
            <wp:extent cx="4921250" cy="2388557"/>
            <wp:effectExtent l="0" t="0" r="0" b="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42668" t="37654" r="4631" b="16848"/>
                    <a:stretch/>
                  </pic:blipFill>
                  <pic:spPr bwMode="auto">
                    <a:xfrm>
                      <a:off x="0" y="0"/>
                      <a:ext cx="4922336" cy="23890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Pr="003A0E89" w:rsidRDefault="001C55F3" w:rsidP="001C55F3">
      <w:pPr>
        <w:ind w:left="360"/>
        <w:rPr>
          <w:rFonts w:ascii="Calibri" w:hAnsi="Calibri"/>
          <w:sz w:val="24"/>
          <w:szCs w:val="24"/>
        </w:rPr>
      </w:pPr>
    </w:p>
    <w:p w:rsidR="001C55F3" w:rsidRDefault="001C55F3" w:rsidP="001C55F3">
      <w:pPr>
        <w:rPr>
          <w:rFonts w:ascii="Calibri" w:hAnsi="Calibri"/>
          <w:sz w:val="24"/>
          <w:szCs w:val="24"/>
        </w:rPr>
      </w:pPr>
      <w:r>
        <w:rPr>
          <w:rFonts w:ascii="Calibri" w:hAnsi="Calibri"/>
          <w:sz w:val="24"/>
          <w:szCs w:val="24"/>
        </w:rPr>
        <w:br w:type="page"/>
      </w:r>
    </w:p>
    <w:p w:rsidR="001C55F3" w:rsidRPr="008D6649" w:rsidRDefault="001C55F3" w:rsidP="00622218">
      <w:pPr>
        <w:pStyle w:val="Paragraphedeliste"/>
        <w:numPr>
          <w:ilvl w:val="0"/>
          <w:numId w:val="75"/>
        </w:numPr>
        <w:rPr>
          <w:rFonts w:ascii="Calibri" w:hAnsi="Calibri"/>
          <w:b/>
          <w:sz w:val="24"/>
          <w:szCs w:val="24"/>
          <w:u w:val="single"/>
        </w:rPr>
      </w:pPr>
      <w:r w:rsidRPr="008D6649">
        <w:rPr>
          <w:rFonts w:ascii="Calibri" w:hAnsi="Calibri"/>
          <w:b/>
          <w:sz w:val="24"/>
          <w:szCs w:val="24"/>
          <w:u w:val="single"/>
        </w:rPr>
        <w:lastRenderedPageBreak/>
        <w:t>The data sources used originate from (please specify):</w:t>
      </w:r>
    </w:p>
    <w:tbl>
      <w:tblPr>
        <w:tblStyle w:val="Titre5Car"/>
        <w:tblW w:w="0" w:type="auto"/>
        <w:tblInd w:w="360" w:type="dxa"/>
        <w:tblLook w:val="04A0"/>
      </w:tblPr>
      <w:tblGrid>
        <w:gridCol w:w="4464"/>
        <w:gridCol w:w="2088"/>
      </w:tblGrid>
      <w:tr w:rsidR="001C55F3" w:rsidRPr="004258D8" w:rsidTr="001C55F3">
        <w:tc>
          <w:tcPr>
            <w:tcW w:w="4464" w:type="dxa"/>
          </w:tcPr>
          <w:p w:rsidR="001C55F3" w:rsidRPr="004258D8" w:rsidRDefault="001C55F3" w:rsidP="001C55F3">
            <w:pPr>
              <w:rPr>
                <w:rFonts w:ascii="Calibri" w:hAnsi="Calibri"/>
                <w:b/>
                <w:sz w:val="20"/>
                <w:szCs w:val="20"/>
              </w:rPr>
            </w:pPr>
            <w:r w:rsidRPr="004258D8">
              <w:rPr>
                <w:rFonts w:ascii="Calibri" w:hAnsi="Calibri"/>
                <w:b/>
                <w:sz w:val="20"/>
                <w:szCs w:val="20"/>
              </w:rPr>
              <w:t>Answer Choices</w:t>
            </w:r>
          </w:p>
        </w:tc>
        <w:tc>
          <w:tcPr>
            <w:tcW w:w="2088" w:type="dxa"/>
          </w:tcPr>
          <w:p w:rsidR="001C55F3" w:rsidRPr="004258D8" w:rsidRDefault="001C55F3" w:rsidP="001C55F3">
            <w:pPr>
              <w:rPr>
                <w:rFonts w:ascii="Calibri" w:hAnsi="Calibri"/>
                <w:b/>
                <w:sz w:val="20"/>
                <w:szCs w:val="20"/>
              </w:rPr>
            </w:pPr>
            <w:r w:rsidRPr="004258D8">
              <w:rPr>
                <w:rFonts w:ascii="Calibri" w:hAnsi="Calibri"/>
                <w:b/>
                <w:sz w:val="20"/>
                <w:szCs w:val="20"/>
              </w:rPr>
              <w:t>Response Count</w:t>
            </w:r>
          </w:p>
        </w:tc>
      </w:tr>
      <w:tr w:rsidR="001C55F3" w:rsidRPr="004258D8" w:rsidTr="001C55F3">
        <w:tc>
          <w:tcPr>
            <w:tcW w:w="4464"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EU</w:t>
            </w:r>
          </w:p>
        </w:tc>
        <w:tc>
          <w:tcPr>
            <w:tcW w:w="2088"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9</w:t>
            </w:r>
          </w:p>
        </w:tc>
      </w:tr>
      <w:tr w:rsidR="001C55F3" w:rsidRPr="004258D8" w:rsidTr="001C55F3">
        <w:tc>
          <w:tcPr>
            <w:tcW w:w="4464"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National</w:t>
            </w:r>
          </w:p>
        </w:tc>
        <w:tc>
          <w:tcPr>
            <w:tcW w:w="2088"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14</w:t>
            </w:r>
          </w:p>
        </w:tc>
      </w:tr>
      <w:tr w:rsidR="001C55F3" w:rsidRPr="004258D8" w:rsidTr="001C55F3">
        <w:tc>
          <w:tcPr>
            <w:tcW w:w="4464"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Other</w:t>
            </w:r>
          </w:p>
        </w:tc>
        <w:tc>
          <w:tcPr>
            <w:tcW w:w="2088"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7</w:t>
            </w:r>
          </w:p>
        </w:tc>
      </w:tr>
      <w:tr w:rsidR="001C55F3" w:rsidRPr="004258D8" w:rsidTr="001C55F3">
        <w:tc>
          <w:tcPr>
            <w:tcW w:w="4464"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I don't know</w:t>
            </w:r>
          </w:p>
        </w:tc>
        <w:tc>
          <w:tcPr>
            <w:tcW w:w="2088" w:type="dxa"/>
            <w:vAlign w:val="center"/>
          </w:tcPr>
          <w:p w:rsidR="001C55F3" w:rsidRPr="000057BE" w:rsidRDefault="001C55F3" w:rsidP="001C55F3">
            <w:pPr>
              <w:jc w:val="center"/>
              <w:rPr>
                <w:rFonts w:cs="Microsoft Sans Serif"/>
                <w:sz w:val="20"/>
                <w:szCs w:val="20"/>
              </w:rPr>
            </w:pPr>
            <w:r w:rsidRPr="000057BE">
              <w:rPr>
                <w:rFonts w:cs="Microsoft Sans Serif"/>
                <w:sz w:val="20"/>
                <w:szCs w:val="20"/>
              </w:rPr>
              <w:t>1</w:t>
            </w:r>
          </w:p>
        </w:tc>
      </w:tr>
    </w:tbl>
    <w:p w:rsidR="001C55F3" w:rsidRPr="003A0E89" w:rsidRDefault="001C55F3" w:rsidP="001C55F3">
      <w:pPr>
        <w:rPr>
          <w:rFonts w:ascii="Calibri" w:hAnsi="Calibri"/>
          <w:sz w:val="24"/>
          <w:szCs w:val="24"/>
        </w:rPr>
      </w:pPr>
    </w:p>
    <w:tbl>
      <w:tblPr>
        <w:tblStyle w:val="Titre5Car"/>
        <w:tblW w:w="8962" w:type="dxa"/>
        <w:tblInd w:w="360" w:type="dxa"/>
        <w:tblLook w:val="04A0"/>
      </w:tblPr>
      <w:tblGrid>
        <w:gridCol w:w="1308"/>
        <w:gridCol w:w="1984"/>
        <w:gridCol w:w="2410"/>
        <w:gridCol w:w="1701"/>
        <w:gridCol w:w="1559"/>
      </w:tblGrid>
      <w:tr w:rsidR="001C55F3" w:rsidRPr="004258D8" w:rsidTr="001C55F3">
        <w:tc>
          <w:tcPr>
            <w:tcW w:w="1308" w:type="dxa"/>
            <w:tcBorders>
              <w:top w:val="nil"/>
              <w:left w:val="nil"/>
            </w:tcBorders>
          </w:tcPr>
          <w:p w:rsidR="001C55F3" w:rsidRPr="004258D8" w:rsidRDefault="001C55F3" w:rsidP="001C55F3">
            <w:pPr>
              <w:rPr>
                <w:rFonts w:cs="Microsoft Sans Serif"/>
                <w:b/>
                <w:bCs/>
                <w:color w:val="000000"/>
                <w:sz w:val="20"/>
                <w:szCs w:val="20"/>
              </w:rPr>
            </w:pPr>
          </w:p>
        </w:tc>
        <w:tc>
          <w:tcPr>
            <w:tcW w:w="1984" w:type="dxa"/>
            <w:vAlign w:val="center"/>
          </w:tcPr>
          <w:p w:rsidR="001C55F3" w:rsidRPr="004258D8" w:rsidRDefault="001C55F3" w:rsidP="001C55F3">
            <w:pPr>
              <w:rPr>
                <w:rFonts w:cs="Microsoft Sans Serif"/>
                <w:b/>
                <w:bCs/>
                <w:color w:val="000000"/>
                <w:sz w:val="20"/>
                <w:szCs w:val="20"/>
              </w:rPr>
            </w:pPr>
            <w:r w:rsidRPr="004258D8">
              <w:rPr>
                <w:rFonts w:cs="Microsoft Sans Serif"/>
                <w:b/>
                <w:bCs/>
                <w:color w:val="000000"/>
                <w:sz w:val="20"/>
                <w:szCs w:val="20"/>
              </w:rPr>
              <w:t>EU</w:t>
            </w:r>
          </w:p>
        </w:tc>
        <w:tc>
          <w:tcPr>
            <w:tcW w:w="2410" w:type="dxa"/>
            <w:vAlign w:val="center"/>
          </w:tcPr>
          <w:p w:rsidR="001C55F3" w:rsidRPr="004258D8" w:rsidRDefault="001C55F3" w:rsidP="001C55F3">
            <w:pPr>
              <w:rPr>
                <w:rFonts w:cs="Microsoft Sans Serif"/>
                <w:b/>
                <w:bCs/>
                <w:color w:val="000000"/>
                <w:sz w:val="20"/>
                <w:szCs w:val="20"/>
              </w:rPr>
            </w:pPr>
            <w:r w:rsidRPr="004258D8">
              <w:rPr>
                <w:rFonts w:cs="Microsoft Sans Serif"/>
                <w:b/>
                <w:bCs/>
                <w:color w:val="000000"/>
                <w:sz w:val="20"/>
                <w:szCs w:val="20"/>
              </w:rPr>
              <w:t>National</w:t>
            </w:r>
          </w:p>
        </w:tc>
        <w:tc>
          <w:tcPr>
            <w:tcW w:w="1701" w:type="dxa"/>
            <w:vAlign w:val="center"/>
          </w:tcPr>
          <w:p w:rsidR="001C55F3" w:rsidRPr="004258D8" w:rsidRDefault="001C55F3" w:rsidP="001C55F3">
            <w:pPr>
              <w:rPr>
                <w:rFonts w:cs="Microsoft Sans Serif"/>
                <w:b/>
                <w:bCs/>
                <w:color w:val="000000"/>
                <w:sz w:val="20"/>
                <w:szCs w:val="20"/>
              </w:rPr>
            </w:pPr>
            <w:r w:rsidRPr="004258D8">
              <w:rPr>
                <w:rFonts w:cs="Microsoft Sans Serif"/>
                <w:b/>
                <w:bCs/>
                <w:color w:val="000000"/>
                <w:sz w:val="20"/>
                <w:szCs w:val="20"/>
              </w:rPr>
              <w:t>Other</w:t>
            </w:r>
          </w:p>
        </w:tc>
        <w:tc>
          <w:tcPr>
            <w:tcW w:w="1559" w:type="dxa"/>
            <w:vAlign w:val="center"/>
          </w:tcPr>
          <w:p w:rsidR="001C55F3" w:rsidRPr="004258D8" w:rsidRDefault="001C55F3" w:rsidP="001C55F3">
            <w:pPr>
              <w:rPr>
                <w:rFonts w:cs="Microsoft Sans Serif"/>
                <w:b/>
                <w:bCs/>
                <w:color w:val="000000"/>
                <w:sz w:val="20"/>
                <w:szCs w:val="20"/>
              </w:rPr>
            </w:pPr>
            <w:r w:rsidRPr="004258D8">
              <w:rPr>
                <w:rFonts w:cs="Microsoft Sans Serif"/>
                <w:b/>
                <w:bCs/>
                <w:color w:val="000000"/>
                <w:sz w:val="20"/>
                <w:szCs w:val="20"/>
              </w:rPr>
              <w:t>I don't know</w:t>
            </w: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Estonia</w:t>
            </w:r>
          </w:p>
        </w:tc>
        <w:tc>
          <w:tcPr>
            <w:tcW w:w="1984" w:type="dxa"/>
            <w:vAlign w:val="bottom"/>
          </w:tcPr>
          <w:p w:rsidR="001C55F3" w:rsidRPr="004258D8" w:rsidRDefault="001C55F3" w:rsidP="001C55F3">
            <w:pPr>
              <w:rPr>
                <w:rFonts w:cs="Microsoft Sans Serif"/>
                <w:sz w:val="20"/>
                <w:szCs w:val="20"/>
              </w:rPr>
            </w:pP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Estonian Nature Information Systems (EELIS)</w:t>
            </w:r>
          </w:p>
        </w:tc>
        <w:tc>
          <w:tcPr>
            <w:tcW w:w="1701" w:type="dxa"/>
            <w:vAlign w:val="bottom"/>
          </w:tcPr>
          <w:p w:rsidR="001C55F3" w:rsidRPr="004258D8" w:rsidRDefault="001C55F3" w:rsidP="001C55F3">
            <w:pPr>
              <w:rPr>
                <w:rFonts w:cs="Microsoft Sans Serif"/>
                <w:sz w:val="20"/>
                <w:szCs w:val="20"/>
              </w:rPr>
            </w:pPr>
          </w:p>
        </w:tc>
        <w:tc>
          <w:tcPr>
            <w:tcW w:w="1559" w:type="dxa"/>
            <w:vAlign w:val="bottom"/>
          </w:tcPr>
          <w:p w:rsidR="001C55F3" w:rsidRPr="004258D8" w:rsidRDefault="001C55F3" w:rsidP="001C55F3">
            <w:pPr>
              <w:rPr>
                <w:rFonts w:cs="Microsoft Sans Serif"/>
                <w:sz w:val="20"/>
                <w:szCs w:val="20"/>
              </w:rPr>
            </w:pPr>
            <w:r w:rsidRPr="004258D8">
              <w:rPr>
                <w:rFonts w:cs="Microsoft Sans Serif"/>
                <w:sz w:val="20"/>
                <w:szCs w:val="20"/>
              </w:rPr>
              <w:t>It is hard to say as there has not yet been any mapping pilot as such</w:t>
            </w: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The Netherlands</w:t>
            </w:r>
          </w:p>
        </w:tc>
        <w:tc>
          <w:tcPr>
            <w:tcW w:w="1984" w:type="dxa"/>
            <w:vAlign w:val="bottom"/>
          </w:tcPr>
          <w:p w:rsidR="001C55F3" w:rsidRPr="004258D8" w:rsidRDefault="001C55F3" w:rsidP="001C55F3">
            <w:pPr>
              <w:rPr>
                <w:rFonts w:cs="Microsoft Sans Serif"/>
                <w:sz w:val="20"/>
                <w:szCs w:val="20"/>
              </w:rPr>
            </w:pPr>
            <w:r w:rsidRPr="004258D8">
              <w:rPr>
                <w:rFonts w:cs="Microsoft Sans Serif"/>
                <w:sz w:val="20"/>
                <w:szCs w:val="20"/>
              </w:rPr>
              <w:t>EEA, Corine</w:t>
            </w: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RIVM, Alterra, Deltares,</w:t>
            </w:r>
          </w:p>
        </w:tc>
        <w:tc>
          <w:tcPr>
            <w:tcW w:w="1701" w:type="dxa"/>
            <w:vAlign w:val="bottom"/>
          </w:tcPr>
          <w:p w:rsidR="001C55F3" w:rsidRPr="004258D8" w:rsidRDefault="001C55F3" w:rsidP="001C55F3">
            <w:pPr>
              <w:rPr>
                <w:rFonts w:cs="Microsoft Sans Serif"/>
                <w:sz w:val="20"/>
                <w:szCs w:val="20"/>
              </w:rPr>
            </w:pPr>
            <w:r w:rsidRPr="004258D8">
              <w:rPr>
                <w:rFonts w:cs="Microsoft Sans Serif"/>
                <w:sz w:val="20"/>
                <w:szCs w:val="20"/>
              </w:rPr>
              <w:t>NGO's collecting Biodiversity data</w:t>
            </w: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Sweden</w:t>
            </w:r>
          </w:p>
        </w:tc>
        <w:tc>
          <w:tcPr>
            <w:tcW w:w="1984" w:type="dxa"/>
            <w:vAlign w:val="bottom"/>
          </w:tcPr>
          <w:p w:rsidR="001C55F3" w:rsidRPr="004258D8" w:rsidRDefault="001C55F3" w:rsidP="001C55F3">
            <w:pPr>
              <w:rPr>
                <w:rFonts w:cs="Microsoft Sans Serif"/>
                <w:sz w:val="20"/>
                <w:szCs w:val="20"/>
              </w:rPr>
            </w:pP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National environmental monitoring programs</w:t>
            </w:r>
          </w:p>
        </w:tc>
        <w:tc>
          <w:tcPr>
            <w:tcW w:w="1701" w:type="dxa"/>
            <w:vAlign w:val="bottom"/>
          </w:tcPr>
          <w:p w:rsidR="001C55F3" w:rsidRPr="004258D8" w:rsidRDefault="001C55F3" w:rsidP="001C55F3">
            <w:pPr>
              <w:rPr>
                <w:rFonts w:cs="Microsoft Sans Serif"/>
                <w:sz w:val="20"/>
                <w:szCs w:val="20"/>
              </w:rPr>
            </w:pPr>
            <w:r w:rsidRPr="004258D8">
              <w:rPr>
                <w:rFonts w:cs="Microsoft Sans Serif"/>
                <w:sz w:val="20"/>
                <w:szCs w:val="20"/>
              </w:rPr>
              <w:t>Regional case studies</w:t>
            </w: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France</w:t>
            </w:r>
          </w:p>
        </w:tc>
        <w:tc>
          <w:tcPr>
            <w:tcW w:w="1984" w:type="dxa"/>
            <w:vAlign w:val="bottom"/>
          </w:tcPr>
          <w:p w:rsidR="001C55F3" w:rsidRPr="004258D8" w:rsidRDefault="001C55F3" w:rsidP="001C55F3">
            <w:pPr>
              <w:rPr>
                <w:rFonts w:cs="Microsoft Sans Serif"/>
                <w:sz w:val="20"/>
                <w:szCs w:val="20"/>
              </w:rPr>
            </w:pPr>
            <w:r w:rsidRPr="004258D8">
              <w:rPr>
                <w:rFonts w:cs="Microsoft Sans Serif"/>
                <w:sz w:val="20"/>
                <w:szCs w:val="20"/>
              </w:rPr>
              <w:t>Reporting of EU Directives</w:t>
            </w: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National statistics and research programs</w:t>
            </w:r>
          </w:p>
        </w:tc>
        <w:tc>
          <w:tcPr>
            <w:tcW w:w="1701" w:type="dxa"/>
            <w:vAlign w:val="bottom"/>
          </w:tcPr>
          <w:p w:rsidR="001C55F3" w:rsidRPr="004258D8" w:rsidRDefault="001C55F3" w:rsidP="001C55F3">
            <w:pPr>
              <w:rPr>
                <w:rFonts w:cs="Microsoft Sans Serif"/>
                <w:sz w:val="20"/>
                <w:szCs w:val="20"/>
              </w:rPr>
            </w:pP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Hungary</w:t>
            </w:r>
          </w:p>
        </w:tc>
        <w:tc>
          <w:tcPr>
            <w:tcW w:w="1984" w:type="dxa"/>
            <w:vAlign w:val="bottom"/>
          </w:tcPr>
          <w:p w:rsidR="001C55F3" w:rsidRPr="004258D8" w:rsidRDefault="001C55F3" w:rsidP="001C55F3">
            <w:pPr>
              <w:rPr>
                <w:rFonts w:cs="Microsoft Sans Serif"/>
                <w:sz w:val="20"/>
                <w:szCs w:val="20"/>
              </w:rPr>
            </w:pPr>
            <w:r w:rsidRPr="004258D8">
              <w:rPr>
                <w:rFonts w:cs="Microsoft Sans Serif"/>
                <w:sz w:val="20"/>
                <w:szCs w:val="20"/>
              </w:rPr>
              <w:t>many (e.g. CORINE)</w:t>
            </w: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many (e.g. MÉTA)</w:t>
            </w:r>
          </w:p>
        </w:tc>
        <w:tc>
          <w:tcPr>
            <w:tcW w:w="1701" w:type="dxa"/>
            <w:vAlign w:val="bottom"/>
          </w:tcPr>
          <w:p w:rsidR="001C55F3" w:rsidRPr="004258D8" w:rsidRDefault="001C55F3" w:rsidP="001C55F3">
            <w:pPr>
              <w:rPr>
                <w:rFonts w:cs="Microsoft Sans Serif"/>
                <w:sz w:val="20"/>
                <w:szCs w:val="20"/>
              </w:rPr>
            </w:pP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Lithuania</w:t>
            </w:r>
          </w:p>
        </w:tc>
        <w:tc>
          <w:tcPr>
            <w:tcW w:w="1984" w:type="dxa"/>
            <w:vAlign w:val="bottom"/>
          </w:tcPr>
          <w:p w:rsidR="001C55F3" w:rsidRPr="004258D8" w:rsidRDefault="001C55F3" w:rsidP="001C55F3">
            <w:pPr>
              <w:rPr>
                <w:rFonts w:cs="Microsoft Sans Serif"/>
                <w:sz w:val="20"/>
                <w:szCs w:val="20"/>
              </w:rPr>
            </w:pPr>
            <w:r w:rsidRPr="004258D8">
              <w:rPr>
                <w:rFonts w:cs="Microsoft Sans Serif"/>
                <w:sz w:val="20"/>
                <w:szCs w:val="20"/>
              </w:rPr>
              <w:t>Corine CLC</w:t>
            </w: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Environmental monitoring data, environmental statistics, land mapping</w:t>
            </w:r>
          </w:p>
        </w:tc>
        <w:tc>
          <w:tcPr>
            <w:tcW w:w="1701" w:type="dxa"/>
            <w:vAlign w:val="bottom"/>
          </w:tcPr>
          <w:p w:rsidR="001C55F3" w:rsidRPr="004258D8" w:rsidRDefault="001C55F3" w:rsidP="001C55F3">
            <w:pPr>
              <w:rPr>
                <w:rFonts w:cs="Microsoft Sans Serif"/>
                <w:sz w:val="20"/>
                <w:szCs w:val="20"/>
              </w:rPr>
            </w:pPr>
            <w:r w:rsidRPr="004258D8">
              <w:rPr>
                <w:rFonts w:cs="Microsoft Sans Serif"/>
                <w:sz w:val="20"/>
                <w:szCs w:val="20"/>
              </w:rPr>
              <w:t>EU and other relevant sources for the benefit transfer</w:t>
            </w: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Czech Republic</w:t>
            </w:r>
          </w:p>
        </w:tc>
        <w:tc>
          <w:tcPr>
            <w:tcW w:w="1984" w:type="dxa"/>
            <w:vAlign w:val="bottom"/>
          </w:tcPr>
          <w:p w:rsidR="001C55F3" w:rsidRPr="004258D8" w:rsidRDefault="001C55F3" w:rsidP="001C55F3">
            <w:pPr>
              <w:rPr>
                <w:rFonts w:cs="Microsoft Sans Serif"/>
                <w:sz w:val="20"/>
                <w:szCs w:val="20"/>
              </w:rPr>
            </w:pPr>
            <w:r w:rsidRPr="004258D8">
              <w:rPr>
                <w:rFonts w:cs="Microsoft Sans Serif"/>
                <w:sz w:val="20"/>
                <w:szCs w:val="20"/>
              </w:rPr>
              <w:t>peer-reviewed literature (from Scopus and WoS databases)</w:t>
            </w: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peer-reviewed literature, Czech Statistical Office</w:t>
            </w:r>
          </w:p>
        </w:tc>
        <w:tc>
          <w:tcPr>
            <w:tcW w:w="1701" w:type="dxa"/>
            <w:vAlign w:val="bottom"/>
          </w:tcPr>
          <w:p w:rsidR="001C55F3" w:rsidRPr="004258D8" w:rsidRDefault="001C55F3" w:rsidP="001C55F3">
            <w:pPr>
              <w:rPr>
                <w:rFonts w:cs="Microsoft Sans Serif"/>
                <w:sz w:val="20"/>
                <w:szCs w:val="20"/>
              </w:rPr>
            </w:pPr>
            <w:r w:rsidRPr="004258D8">
              <w:rPr>
                <w:rFonts w:cs="Microsoft Sans Serif"/>
                <w:sz w:val="20"/>
                <w:szCs w:val="20"/>
              </w:rPr>
              <w:t>ESVD database, FAO</w:t>
            </w: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Austria</w:t>
            </w:r>
          </w:p>
        </w:tc>
        <w:tc>
          <w:tcPr>
            <w:tcW w:w="1984" w:type="dxa"/>
            <w:vAlign w:val="bottom"/>
          </w:tcPr>
          <w:p w:rsidR="001C55F3" w:rsidRPr="004258D8" w:rsidRDefault="001C55F3" w:rsidP="001C55F3">
            <w:pPr>
              <w:rPr>
                <w:rFonts w:cs="Microsoft Sans Serif"/>
                <w:sz w:val="20"/>
                <w:szCs w:val="20"/>
              </w:rPr>
            </w:pP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IACS, FFH-Monitoring, Forestry Inventor,...</w:t>
            </w:r>
          </w:p>
        </w:tc>
        <w:tc>
          <w:tcPr>
            <w:tcW w:w="1701" w:type="dxa"/>
            <w:vAlign w:val="bottom"/>
          </w:tcPr>
          <w:p w:rsidR="001C55F3" w:rsidRPr="004258D8" w:rsidRDefault="001C55F3" w:rsidP="001C55F3">
            <w:pPr>
              <w:rPr>
                <w:rFonts w:cs="Microsoft Sans Serif"/>
                <w:sz w:val="20"/>
                <w:szCs w:val="20"/>
              </w:rPr>
            </w:pP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Denmark</w:t>
            </w:r>
          </w:p>
        </w:tc>
        <w:tc>
          <w:tcPr>
            <w:tcW w:w="1984" w:type="dxa"/>
            <w:vAlign w:val="bottom"/>
          </w:tcPr>
          <w:p w:rsidR="001C55F3" w:rsidRPr="004258D8" w:rsidRDefault="001C55F3" w:rsidP="001C55F3">
            <w:pPr>
              <w:rPr>
                <w:rFonts w:cs="Microsoft Sans Serif"/>
                <w:sz w:val="20"/>
                <w:szCs w:val="20"/>
              </w:rPr>
            </w:pPr>
          </w:p>
        </w:tc>
        <w:tc>
          <w:tcPr>
            <w:tcW w:w="2410" w:type="dxa"/>
            <w:vAlign w:val="bottom"/>
          </w:tcPr>
          <w:p w:rsidR="001C55F3" w:rsidRPr="004258D8" w:rsidRDefault="001C55F3" w:rsidP="001C55F3">
            <w:pPr>
              <w:rPr>
                <w:rFonts w:cs="Microsoft Sans Serif"/>
                <w:sz w:val="20"/>
                <w:szCs w:val="20"/>
              </w:rPr>
            </w:pPr>
          </w:p>
        </w:tc>
        <w:tc>
          <w:tcPr>
            <w:tcW w:w="1701" w:type="dxa"/>
            <w:vAlign w:val="bottom"/>
          </w:tcPr>
          <w:p w:rsidR="001C55F3" w:rsidRPr="004258D8" w:rsidRDefault="001C55F3" w:rsidP="001C55F3">
            <w:pPr>
              <w:rPr>
                <w:rFonts w:cs="Microsoft Sans Serif"/>
                <w:sz w:val="20"/>
                <w:szCs w:val="20"/>
              </w:rPr>
            </w:pPr>
            <w:r w:rsidRPr="004258D8">
              <w:rPr>
                <w:rFonts w:cs="Microsoft Sans Serif"/>
                <w:sz w:val="20"/>
                <w:szCs w:val="20"/>
              </w:rPr>
              <w:t>Not yet planned</w:t>
            </w: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Poland</w:t>
            </w:r>
          </w:p>
        </w:tc>
        <w:tc>
          <w:tcPr>
            <w:tcW w:w="1984" w:type="dxa"/>
            <w:vAlign w:val="bottom"/>
          </w:tcPr>
          <w:p w:rsidR="001C55F3" w:rsidRPr="004258D8" w:rsidRDefault="001C55F3" w:rsidP="001C55F3">
            <w:pPr>
              <w:rPr>
                <w:rFonts w:cs="Microsoft Sans Serif"/>
                <w:sz w:val="20"/>
                <w:szCs w:val="20"/>
              </w:rPr>
            </w:pPr>
            <w:r w:rsidRPr="004258D8">
              <w:rPr>
                <w:rFonts w:cs="Microsoft Sans Serif"/>
                <w:sz w:val="20"/>
                <w:szCs w:val="20"/>
              </w:rPr>
              <w:t>CLC</w:t>
            </w: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National Statistics, State Environmental Monitoring, National Forests monitoring</w:t>
            </w:r>
          </w:p>
        </w:tc>
        <w:tc>
          <w:tcPr>
            <w:tcW w:w="1701" w:type="dxa"/>
            <w:vAlign w:val="bottom"/>
          </w:tcPr>
          <w:p w:rsidR="001C55F3" w:rsidRPr="004258D8" w:rsidRDefault="001C55F3" w:rsidP="001C55F3">
            <w:pPr>
              <w:rPr>
                <w:rFonts w:cs="Microsoft Sans Serif"/>
                <w:sz w:val="20"/>
                <w:szCs w:val="20"/>
              </w:rPr>
            </w:pPr>
            <w:r w:rsidRPr="004258D8">
              <w:rPr>
                <w:rFonts w:cs="Microsoft Sans Serif"/>
                <w:sz w:val="20"/>
                <w:szCs w:val="20"/>
              </w:rPr>
              <w:t>Estimations from research institites</w:t>
            </w: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Slovenia</w:t>
            </w:r>
          </w:p>
        </w:tc>
        <w:tc>
          <w:tcPr>
            <w:tcW w:w="1984" w:type="dxa"/>
            <w:vAlign w:val="bottom"/>
          </w:tcPr>
          <w:p w:rsidR="001C55F3" w:rsidRPr="004258D8" w:rsidRDefault="001C55F3" w:rsidP="001C55F3">
            <w:pPr>
              <w:rPr>
                <w:rFonts w:cs="Microsoft Sans Serif"/>
                <w:sz w:val="20"/>
                <w:szCs w:val="20"/>
              </w:rPr>
            </w:pPr>
            <w:r w:rsidRPr="004258D8">
              <w:rPr>
                <w:rFonts w:cs="Microsoft Sans Serif"/>
                <w:sz w:val="20"/>
                <w:szCs w:val="20"/>
              </w:rPr>
              <w:t>Other case studies from EU (indicators, mapping)</w:t>
            </w: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Sectoral data on forests, water management, etc</w:t>
            </w:r>
          </w:p>
        </w:tc>
        <w:tc>
          <w:tcPr>
            <w:tcW w:w="1701" w:type="dxa"/>
            <w:vAlign w:val="bottom"/>
          </w:tcPr>
          <w:p w:rsidR="001C55F3" w:rsidRPr="004258D8" w:rsidRDefault="001C55F3" w:rsidP="001C55F3">
            <w:pPr>
              <w:rPr>
                <w:rFonts w:cs="Microsoft Sans Serif"/>
                <w:sz w:val="20"/>
                <w:szCs w:val="20"/>
              </w:rPr>
            </w:pPr>
            <w:r w:rsidRPr="004258D8">
              <w:rPr>
                <w:rFonts w:cs="Microsoft Sans Serif"/>
                <w:sz w:val="20"/>
                <w:szCs w:val="20"/>
              </w:rPr>
              <w:t>Stakeholders data, surveys, local data</w:t>
            </w: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Finland</w:t>
            </w:r>
          </w:p>
        </w:tc>
        <w:tc>
          <w:tcPr>
            <w:tcW w:w="1984" w:type="dxa"/>
            <w:vAlign w:val="bottom"/>
          </w:tcPr>
          <w:p w:rsidR="001C55F3" w:rsidRPr="004258D8" w:rsidRDefault="001C55F3" w:rsidP="001C55F3">
            <w:pPr>
              <w:rPr>
                <w:rFonts w:cs="Microsoft Sans Serif"/>
                <w:sz w:val="20"/>
                <w:szCs w:val="20"/>
              </w:rPr>
            </w:pP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Results of existing national biodiversity and ecosystem status assessments, others to be confirmed</w:t>
            </w:r>
          </w:p>
        </w:tc>
        <w:tc>
          <w:tcPr>
            <w:tcW w:w="1701" w:type="dxa"/>
            <w:vAlign w:val="bottom"/>
          </w:tcPr>
          <w:p w:rsidR="001C55F3" w:rsidRPr="004258D8" w:rsidRDefault="001C55F3" w:rsidP="001C55F3">
            <w:pPr>
              <w:rPr>
                <w:rFonts w:cs="Microsoft Sans Serif"/>
                <w:sz w:val="20"/>
                <w:szCs w:val="20"/>
              </w:rPr>
            </w:pP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Germany</w:t>
            </w:r>
          </w:p>
        </w:tc>
        <w:tc>
          <w:tcPr>
            <w:tcW w:w="1984" w:type="dxa"/>
            <w:vAlign w:val="bottom"/>
          </w:tcPr>
          <w:p w:rsidR="001C55F3" w:rsidRPr="004258D8" w:rsidRDefault="001C55F3" w:rsidP="001C55F3">
            <w:pPr>
              <w:rPr>
                <w:rFonts w:cs="Microsoft Sans Serif"/>
                <w:sz w:val="20"/>
                <w:szCs w:val="20"/>
              </w:rPr>
            </w:pP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diverse data from different institutions</w:t>
            </w:r>
          </w:p>
        </w:tc>
        <w:tc>
          <w:tcPr>
            <w:tcW w:w="1701" w:type="dxa"/>
            <w:vAlign w:val="bottom"/>
          </w:tcPr>
          <w:p w:rsidR="001C55F3" w:rsidRPr="004258D8" w:rsidRDefault="001C55F3" w:rsidP="001C55F3">
            <w:pPr>
              <w:rPr>
                <w:rFonts w:cs="Microsoft Sans Serif"/>
                <w:sz w:val="20"/>
                <w:szCs w:val="20"/>
              </w:rPr>
            </w:pP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sidRPr="004258D8">
              <w:rPr>
                <w:rFonts w:cs="Microsoft Sans Serif"/>
                <w:sz w:val="20"/>
                <w:szCs w:val="20"/>
              </w:rPr>
              <w:t>Spain</w:t>
            </w:r>
          </w:p>
        </w:tc>
        <w:tc>
          <w:tcPr>
            <w:tcW w:w="1984" w:type="dxa"/>
            <w:vAlign w:val="bottom"/>
          </w:tcPr>
          <w:p w:rsidR="001C55F3" w:rsidRPr="004258D8" w:rsidRDefault="001C55F3" w:rsidP="001C55F3">
            <w:pPr>
              <w:rPr>
                <w:rFonts w:cs="Microsoft Sans Serif"/>
                <w:sz w:val="20"/>
                <w:szCs w:val="20"/>
              </w:rPr>
            </w:pPr>
            <w:r w:rsidRPr="004258D8">
              <w:rPr>
                <w:rFonts w:cs="Microsoft Sans Serif"/>
                <w:sz w:val="20"/>
                <w:szCs w:val="20"/>
              </w:rPr>
              <w:t>Joint Resarch Centre (mapping of Ecosystem services)</w:t>
            </w:r>
          </w:p>
        </w:tc>
        <w:tc>
          <w:tcPr>
            <w:tcW w:w="2410" w:type="dxa"/>
            <w:vAlign w:val="bottom"/>
          </w:tcPr>
          <w:p w:rsidR="001C55F3" w:rsidRPr="004258D8" w:rsidRDefault="001C55F3" w:rsidP="001C55F3">
            <w:pPr>
              <w:rPr>
                <w:rFonts w:cs="Microsoft Sans Serif"/>
                <w:sz w:val="20"/>
                <w:szCs w:val="20"/>
              </w:rPr>
            </w:pPr>
            <w:r w:rsidRPr="004258D8">
              <w:rPr>
                <w:rFonts w:cs="Microsoft Sans Serif"/>
                <w:sz w:val="20"/>
                <w:szCs w:val="20"/>
              </w:rPr>
              <w:t>Spanish National Statistics, World bank, FAO; WRI...</w:t>
            </w:r>
          </w:p>
        </w:tc>
        <w:tc>
          <w:tcPr>
            <w:tcW w:w="1701" w:type="dxa"/>
            <w:vAlign w:val="bottom"/>
          </w:tcPr>
          <w:p w:rsidR="001C55F3" w:rsidRPr="004258D8" w:rsidRDefault="001C55F3" w:rsidP="001C55F3">
            <w:pPr>
              <w:rPr>
                <w:rFonts w:cs="Microsoft Sans Serif"/>
                <w:sz w:val="20"/>
                <w:szCs w:val="20"/>
              </w:rPr>
            </w:pPr>
          </w:p>
        </w:tc>
        <w:tc>
          <w:tcPr>
            <w:tcW w:w="1559" w:type="dxa"/>
            <w:vAlign w:val="bottom"/>
          </w:tcPr>
          <w:p w:rsidR="001C55F3" w:rsidRPr="004258D8" w:rsidRDefault="001C55F3" w:rsidP="001C55F3">
            <w:pPr>
              <w:rPr>
                <w:rFonts w:cs="Microsoft Sans Serif"/>
                <w:sz w:val="20"/>
                <w:szCs w:val="20"/>
              </w:rPr>
            </w:pPr>
          </w:p>
        </w:tc>
      </w:tr>
      <w:tr w:rsidR="001C55F3" w:rsidRPr="004258D8" w:rsidTr="001C55F3">
        <w:tc>
          <w:tcPr>
            <w:tcW w:w="1308" w:type="dxa"/>
          </w:tcPr>
          <w:p w:rsidR="001C55F3" w:rsidRPr="004258D8" w:rsidRDefault="001C55F3" w:rsidP="001C55F3">
            <w:pPr>
              <w:rPr>
                <w:rFonts w:cs="Microsoft Sans Serif"/>
                <w:sz w:val="20"/>
                <w:szCs w:val="20"/>
              </w:rPr>
            </w:pPr>
            <w:r>
              <w:rPr>
                <w:rFonts w:cs="Microsoft Sans Serif"/>
                <w:sz w:val="20"/>
                <w:szCs w:val="20"/>
              </w:rPr>
              <w:t>Portugal</w:t>
            </w:r>
          </w:p>
        </w:tc>
        <w:tc>
          <w:tcPr>
            <w:tcW w:w="1984" w:type="dxa"/>
            <w:vAlign w:val="bottom"/>
          </w:tcPr>
          <w:p w:rsidR="001C55F3" w:rsidRPr="004258D8" w:rsidRDefault="001C55F3" w:rsidP="001C55F3">
            <w:pPr>
              <w:rPr>
                <w:rFonts w:cs="Microsoft Sans Serif"/>
                <w:sz w:val="20"/>
                <w:szCs w:val="20"/>
              </w:rPr>
            </w:pPr>
            <w:r w:rsidRPr="00EF1112">
              <w:rPr>
                <w:rFonts w:cs="Microsoft Sans Serif"/>
                <w:sz w:val="20"/>
                <w:szCs w:val="20"/>
              </w:rPr>
              <w:t>Corine land cover, all relevant EU databases and maps available</w:t>
            </w:r>
          </w:p>
        </w:tc>
        <w:tc>
          <w:tcPr>
            <w:tcW w:w="2410" w:type="dxa"/>
            <w:vAlign w:val="bottom"/>
          </w:tcPr>
          <w:p w:rsidR="001C55F3" w:rsidRPr="004258D8" w:rsidRDefault="001C55F3" w:rsidP="001C55F3">
            <w:pPr>
              <w:rPr>
                <w:rFonts w:cs="Microsoft Sans Serif"/>
                <w:sz w:val="20"/>
                <w:szCs w:val="20"/>
              </w:rPr>
            </w:pPr>
            <w:r w:rsidRPr="00EF1112">
              <w:rPr>
                <w:rFonts w:cs="Microsoft Sans Serif"/>
                <w:sz w:val="20"/>
                <w:szCs w:val="20"/>
              </w:rPr>
              <w:t>National Land Use Cover, all relevant national databases and maps available</w:t>
            </w:r>
          </w:p>
        </w:tc>
        <w:tc>
          <w:tcPr>
            <w:tcW w:w="1701" w:type="dxa"/>
            <w:vAlign w:val="bottom"/>
          </w:tcPr>
          <w:p w:rsidR="001C55F3" w:rsidRPr="004258D8" w:rsidRDefault="001C55F3" w:rsidP="001C55F3">
            <w:pPr>
              <w:rPr>
                <w:rFonts w:cs="Microsoft Sans Serif"/>
                <w:sz w:val="20"/>
                <w:szCs w:val="20"/>
              </w:rPr>
            </w:pPr>
          </w:p>
        </w:tc>
        <w:tc>
          <w:tcPr>
            <w:tcW w:w="1559" w:type="dxa"/>
            <w:vAlign w:val="bottom"/>
          </w:tcPr>
          <w:p w:rsidR="001C55F3" w:rsidRPr="004258D8" w:rsidRDefault="001C55F3" w:rsidP="001C55F3">
            <w:pPr>
              <w:rPr>
                <w:rFonts w:cs="Microsoft Sans Serif"/>
                <w:sz w:val="20"/>
                <w:szCs w:val="20"/>
              </w:rPr>
            </w:pPr>
          </w:p>
        </w:tc>
      </w:tr>
    </w:tbl>
    <w:p w:rsidR="001C55F3" w:rsidRDefault="001C55F3" w:rsidP="001C55F3">
      <w:pPr>
        <w:ind w:left="360"/>
        <w:rPr>
          <w:rFonts w:ascii="Calibri" w:hAnsi="Calibri"/>
          <w:sz w:val="24"/>
          <w:szCs w:val="24"/>
        </w:rPr>
      </w:pPr>
    </w:p>
    <w:p w:rsidR="001C55F3" w:rsidRPr="008D6649" w:rsidRDefault="001C55F3" w:rsidP="00622218">
      <w:pPr>
        <w:pStyle w:val="Paragraphedeliste"/>
        <w:numPr>
          <w:ilvl w:val="0"/>
          <w:numId w:val="75"/>
        </w:numPr>
        <w:rPr>
          <w:rFonts w:ascii="Calibri" w:hAnsi="Calibri"/>
          <w:b/>
          <w:sz w:val="24"/>
          <w:szCs w:val="24"/>
          <w:u w:val="single"/>
        </w:rPr>
      </w:pPr>
      <w:r w:rsidRPr="008D6649">
        <w:rPr>
          <w:rFonts w:ascii="Calibri" w:hAnsi="Calibri"/>
          <w:b/>
          <w:sz w:val="24"/>
          <w:szCs w:val="24"/>
          <w:u w:val="single"/>
        </w:rPr>
        <w:lastRenderedPageBreak/>
        <w:t>Some of the indicators and data used originate from the reporting of the following EU Directives</w:t>
      </w:r>
    </w:p>
    <w:p w:rsidR="001C55F3" w:rsidRPr="003A0E89" w:rsidRDefault="001C55F3" w:rsidP="001C55F3">
      <w:pPr>
        <w:ind w:left="360"/>
        <w:rPr>
          <w:rFonts w:ascii="Calibri" w:hAnsi="Calibri"/>
          <w:sz w:val="24"/>
          <w:szCs w:val="24"/>
        </w:rPr>
      </w:pPr>
      <w:r>
        <w:rPr>
          <w:noProof/>
          <w:lang w:val="fr-BE" w:eastAsia="fr-BE"/>
        </w:rPr>
        <w:drawing>
          <wp:inline distT="0" distB="0" distL="0" distR="0">
            <wp:extent cx="5469774" cy="3557848"/>
            <wp:effectExtent l="0" t="0" r="17145" b="24130"/>
            <wp:docPr id="29"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C55F3" w:rsidRPr="008D6649" w:rsidRDefault="001C55F3" w:rsidP="00622218">
      <w:pPr>
        <w:pStyle w:val="Paragraphedeliste"/>
        <w:numPr>
          <w:ilvl w:val="0"/>
          <w:numId w:val="75"/>
        </w:numPr>
        <w:rPr>
          <w:rFonts w:ascii="Calibri" w:hAnsi="Calibri"/>
          <w:b/>
          <w:sz w:val="24"/>
          <w:szCs w:val="24"/>
          <w:u w:val="single"/>
        </w:rPr>
      </w:pPr>
      <w:r w:rsidRPr="008D6649">
        <w:rPr>
          <w:rFonts w:ascii="Calibri" w:hAnsi="Calibri"/>
          <w:b/>
          <w:sz w:val="24"/>
          <w:szCs w:val="24"/>
          <w:u w:val="single"/>
        </w:rPr>
        <w:t>The study includes a scientific analysis of the appropriateness of indicators to assess the services, i.e. the uncertainty of the assessment</w:t>
      </w:r>
    </w:p>
    <w:tbl>
      <w:tblPr>
        <w:tblStyle w:val="Titre5Car"/>
        <w:tblW w:w="0" w:type="auto"/>
        <w:tblInd w:w="360" w:type="dxa"/>
        <w:tblLook w:val="04A0"/>
      </w:tblPr>
      <w:tblGrid>
        <w:gridCol w:w="4464"/>
        <w:gridCol w:w="2372"/>
      </w:tblGrid>
      <w:tr w:rsidR="001C55F3" w:rsidRPr="004258D8" w:rsidTr="001C55F3">
        <w:tc>
          <w:tcPr>
            <w:tcW w:w="4464" w:type="dxa"/>
          </w:tcPr>
          <w:p w:rsidR="001C55F3" w:rsidRPr="004258D8" w:rsidRDefault="001C55F3" w:rsidP="001C55F3">
            <w:pPr>
              <w:rPr>
                <w:rFonts w:ascii="Calibri" w:hAnsi="Calibri"/>
                <w:b/>
                <w:sz w:val="20"/>
                <w:szCs w:val="20"/>
              </w:rPr>
            </w:pPr>
            <w:r w:rsidRPr="004258D8">
              <w:rPr>
                <w:rFonts w:ascii="Calibri" w:hAnsi="Calibri"/>
                <w:b/>
                <w:sz w:val="20"/>
                <w:szCs w:val="20"/>
              </w:rPr>
              <w:t>Answer options</w:t>
            </w:r>
          </w:p>
        </w:tc>
        <w:tc>
          <w:tcPr>
            <w:tcW w:w="2372" w:type="dxa"/>
          </w:tcPr>
          <w:p w:rsidR="001C55F3" w:rsidRPr="004258D8" w:rsidRDefault="001C55F3" w:rsidP="001C55F3">
            <w:pPr>
              <w:rPr>
                <w:rFonts w:ascii="Calibri" w:hAnsi="Calibri"/>
                <w:b/>
                <w:sz w:val="20"/>
                <w:szCs w:val="20"/>
              </w:rPr>
            </w:pPr>
            <w:r w:rsidRPr="004258D8">
              <w:rPr>
                <w:rFonts w:ascii="Calibri" w:hAnsi="Calibri"/>
                <w:b/>
                <w:sz w:val="20"/>
                <w:szCs w:val="20"/>
              </w:rPr>
              <w:t>Response count</w:t>
            </w:r>
          </w:p>
        </w:tc>
      </w:tr>
      <w:tr w:rsidR="001C55F3" w:rsidRPr="004258D8" w:rsidTr="001C55F3">
        <w:tc>
          <w:tcPr>
            <w:tcW w:w="4464"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No</w:t>
            </w:r>
          </w:p>
        </w:tc>
        <w:tc>
          <w:tcPr>
            <w:tcW w:w="2372" w:type="dxa"/>
            <w:vAlign w:val="center"/>
          </w:tcPr>
          <w:p w:rsidR="001C55F3" w:rsidRPr="00EF6821" w:rsidRDefault="001C55F3" w:rsidP="001C55F3">
            <w:pPr>
              <w:jc w:val="center"/>
              <w:rPr>
                <w:rFonts w:cs="Microsoft Sans Serif"/>
                <w:sz w:val="20"/>
                <w:szCs w:val="20"/>
              </w:rPr>
            </w:pPr>
            <w:r w:rsidRPr="00EF6821">
              <w:rPr>
                <w:rFonts w:cs="Microsoft Sans Serif"/>
                <w:sz w:val="20"/>
                <w:szCs w:val="20"/>
              </w:rPr>
              <w:t>4</w:t>
            </w:r>
          </w:p>
        </w:tc>
      </w:tr>
      <w:tr w:rsidR="001C55F3" w:rsidRPr="004258D8" w:rsidTr="001C55F3">
        <w:tc>
          <w:tcPr>
            <w:tcW w:w="4464"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I don't know</w:t>
            </w:r>
          </w:p>
        </w:tc>
        <w:tc>
          <w:tcPr>
            <w:tcW w:w="2372" w:type="dxa"/>
            <w:vAlign w:val="center"/>
          </w:tcPr>
          <w:p w:rsidR="001C55F3" w:rsidRPr="00EF6821" w:rsidRDefault="001C55F3" w:rsidP="001C55F3">
            <w:pPr>
              <w:jc w:val="center"/>
              <w:rPr>
                <w:rFonts w:cs="Microsoft Sans Serif"/>
                <w:sz w:val="20"/>
                <w:szCs w:val="20"/>
              </w:rPr>
            </w:pPr>
            <w:r w:rsidRPr="00EF6821">
              <w:rPr>
                <w:rFonts w:cs="Microsoft Sans Serif"/>
                <w:sz w:val="20"/>
                <w:szCs w:val="20"/>
              </w:rPr>
              <w:t>2</w:t>
            </w:r>
          </w:p>
        </w:tc>
      </w:tr>
      <w:tr w:rsidR="001C55F3" w:rsidRPr="004258D8" w:rsidTr="001C55F3">
        <w:tc>
          <w:tcPr>
            <w:tcW w:w="4464"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Yes</w:t>
            </w:r>
          </w:p>
        </w:tc>
        <w:tc>
          <w:tcPr>
            <w:tcW w:w="2372" w:type="dxa"/>
            <w:vAlign w:val="center"/>
          </w:tcPr>
          <w:p w:rsidR="001C55F3" w:rsidRPr="00EF6821" w:rsidRDefault="001C55F3" w:rsidP="001C55F3">
            <w:pPr>
              <w:jc w:val="center"/>
              <w:rPr>
                <w:rFonts w:cs="Microsoft Sans Serif"/>
                <w:sz w:val="20"/>
                <w:szCs w:val="20"/>
              </w:rPr>
            </w:pPr>
            <w:r w:rsidRPr="00EF6821">
              <w:rPr>
                <w:rFonts w:cs="Microsoft Sans Serif"/>
                <w:sz w:val="20"/>
                <w:szCs w:val="20"/>
              </w:rPr>
              <w:t>6</w:t>
            </w:r>
          </w:p>
        </w:tc>
      </w:tr>
      <w:tr w:rsidR="001C55F3" w:rsidRPr="004258D8" w:rsidTr="001C55F3">
        <w:tc>
          <w:tcPr>
            <w:tcW w:w="4464" w:type="dxa"/>
            <w:vAlign w:val="bottom"/>
          </w:tcPr>
          <w:p w:rsidR="001C55F3" w:rsidRPr="004258D8" w:rsidRDefault="001C55F3" w:rsidP="001C55F3">
            <w:pPr>
              <w:rPr>
                <w:rFonts w:ascii="Calibri" w:hAnsi="Calibri" w:cs="Microsoft Sans Serif"/>
                <w:sz w:val="20"/>
                <w:szCs w:val="20"/>
              </w:rPr>
            </w:pPr>
            <w:r w:rsidRPr="004258D8">
              <w:rPr>
                <w:rFonts w:ascii="Calibri" w:hAnsi="Calibri" w:cs="Microsoft Sans Serif"/>
                <w:sz w:val="20"/>
                <w:szCs w:val="20"/>
              </w:rPr>
              <w:t>If yes, please specify</w:t>
            </w:r>
          </w:p>
        </w:tc>
        <w:tc>
          <w:tcPr>
            <w:tcW w:w="2372" w:type="dxa"/>
            <w:vAlign w:val="center"/>
          </w:tcPr>
          <w:p w:rsidR="001C55F3" w:rsidRPr="00EF6821" w:rsidRDefault="001C55F3" w:rsidP="001C55F3">
            <w:pPr>
              <w:jc w:val="center"/>
              <w:rPr>
                <w:rFonts w:cs="Microsoft Sans Serif"/>
                <w:sz w:val="20"/>
                <w:szCs w:val="20"/>
              </w:rPr>
            </w:pPr>
            <w:r w:rsidRPr="00EF6821">
              <w:rPr>
                <w:rFonts w:cs="Microsoft Sans Serif"/>
                <w:sz w:val="20"/>
                <w:szCs w:val="20"/>
              </w:rPr>
              <w:t>7</w:t>
            </w:r>
          </w:p>
        </w:tc>
      </w:tr>
    </w:tbl>
    <w:p w:rsidR="001C55F3" w:rsidRPr="003A0E89" w:rsidRDefault="001C55F3" w:rsidP="001C55F3">
      <w:pPr>
        <w:ind w:left="360"/>
        <w:rPr>
          <w:rFonts w:ascii="Calibri" w:hAnsi="Calibri"/>
          <w:sz w:val="24"/>
          <w:szCs w:val="24"/>
        </w:rPr>
      </w:pPr>
    </w:p>
    <w:p w:rsidR="001C55F3" w:rsidRPr="008D6649" w:rsidRDefault="001C55F3" w:rsidP="00622218">
      <w:pPr>
        <w:pStyle w:val="Paragraphedeliste"/>
        <w:numPr>
          <w:ilvl w:val="0"/>
          <w:numId w:val="75"/>
        </w:numPr>
        <w:rPr>
          <w:rFonts w:ascii="Calibri" w:hAnsi="Calibri"/>
          <w:b/>
          <w:sz w:val="24"/>
          <w:szCs w:val="24"/>
          <w:u w:val="single"/>
        </w:rPr>
      </w:pPr>
      <w:r w:rsidRPr="008D6649">
        <w:rPr>
          <w:rFonts w:ascii="Calibri" w:hAnsi="Calibri"/>
          <w:b/>
          <w:sz w:val="24"/>
          <w:szCs w:val="24"/>
          <w:u w:val="single"/>
        </w:rPr>
        <w:t>What type of guidance would you be interested in?</w:t>
      </w:r>
    </w:p>
    <w:p w:rsidR="001C55F3" w:rsidRPr="00A87286" w:rsidRDefault="001C55F3" w:rsidP="001C55F3">
      <w:pPr>
        <w:ind w:left="360"/>
        <w:rPr>
          <w:rFonts w:ascii="Calibri" w:hAnsi="Calibri"/>
          <w:sz w:val="24"/>
          <w:szCs w:val="24"/>
        </w:rPr>
      </w:pPr>
      <w:r>
        <w:rPr>
          <w:noProof/>
          <w:lang w:val="fr-BE" w:eastAsia="fr-BE"/>
        </w:rPr>
        <w:drawing>
          <wp:inline distT="0" distB="0" distL="0" distR="0">
            <wp:extent cx="4343400" cy="2275979"/>
            <wp:effectExtent l="0" t="0" r="0" b="0"/>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42558" t="33535" r="4631" b="17240"/>
                    <a:stretch/>
                  </pic:blipFill>
                  <pic:spPr bwMode="auto">
                    <a:xfrm>
                      <a:off x="0" y="0"/>
                      <a:ext cx="4347539" cy="22781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Pr="003A0E89" w:rsidRDefault="001C55F3" w:rsidP="001C55F3">
      <w:pPr>
        <w:pStyle w:val="Titre4"/>
        <w:rPr>
          <w:rFonts w:ascii="Calibri" w:hAnsi="Calibri"/>
          <w:sz w:val="24"/>
          <w:szCs w:val="24"/>
        </w:rPr>
      </w:pPr>
      <w:r w:rsidRPr="003A0E89">
        <w:rPr>
          <w:rFonts w:ascii="Calibri" w:hAnsi="Calibri"/>
          <w:sz w:val="24"/>
          <w:szCs w:val="24"/>
        </w:rPr>
        <w:lastRenderedPageBreak/>
        <w:t>Section 4: Technical Aspects of the Mapping of Ecosystems</w:t>
      </w:r>
    </w:p>
    <w:p w:rsidR="001C55F3" w:rsidRPr="008D6649" w:rsidRDefault="001C55F3" w:rsidP="00622218">
      <w:pPr>
        <w:pStyle w:val="Paragraphedeliste"/>
        <w:numPr>
          <w:ilvl w:val="0"/>
          <w:numId w:val="76"/>
        </w:numPr>
        <w:rPr>
          <w:rFonts w:ascii="Calibri" w:hAnsi="Calibri"/>
          <w:b/>
          <w:sz w:val="24"/>
          <w:szCs w:val="24"/>
          <w:u w:val="single"/>
        </w:rPr>
      </w:pPr>
      <w:r w:rsidRPr="008D6649">
        <w:rPr>
          <w:rFonts w:ascii="Calibri" w:hAnsi="Calibri"/>
          <w:b/>
          <w:sz w:val="24"/>
          <w:szCs w:val="24"/>
          <w:u w:val="single"/>
        </w:rPr>
        <w:t>The Base maps used (based on bio-physical variables):</w:t>
      </w:r>
    </w:p>
    <w:tbl>
      <w:tblPr>
        <w:tblStyle w:val="Titre5Car"/>
        <w:tblW w:w="0" w:type="auto"/>
        <w:tblInd w:w="360" w:type="dxa"/>
        <w:tblLook w:val="04A0"/>
      </w:tblPr>
      <w:tblGrid>
        <w:gridCol w:w="5985"/>
        <w:gridCol w:w="1985"/>
      </w:tblGrid>
      <w:tr w:rsidR="001C55F3" w:rsidRPr="004258D8" w:rsidTr="001C55F3">
        <w:tc>
          <w:tcPr>
            <w:tcW w:w="5985" w:type="dxa"/>
          </w:tcPr>
          <w:p w:rsidR="001C55F3" w:rsidRPr="004258D8" w:rsidRDefault="001C55F3" w:rsidP="001C55F3">
            <w:pPr>
              <w:rPr>
                <w:rFonts w:ascii="Calibri" w:hAnsi="Calibri"/>
                <w:b/>
                <w:sz w:val="20"/>
                <w:szCs w:val="20"/>
              </w:rPr>
            </w:pPr>
            <w:r w:rsidRPr="004258D8">
              <w:rPr>
                <w:rFonts w:ascii="Calibri" w:hAnsi="Calibri"/>
                <w:b/>
                <w:sz w:val="20"/>
                <w:szCs w:val="20"/>
              </w:rPr>
              <w:t>Answer choice</w:t>
            </w:r>
          </w:p>
        </w:tc>
        <w:tc>
          <w:tcPr>
            <w:tcW w:w="1985" w:type="dxa"/>
          </w:tcPr>
          <w:p w:rsidR="001C55F3" w:rsidRPr="004258D8" w:rsidRDefault="001C55F3" w:rsidP="001C55F3">
            <w:pPr>
              <w:rPr>
                <w:rFonts w:ascii="Calibri" w:hAnsi="Calibri"/>
                <w:b/>
                <w:sz w:val="20"/>
                <w:szCs w:val="20"/>
              </w:rPr>
            </w:pPr>
            <w:r w:rsidRPr="004258D8">
              <w:rPr>
                <w:rFonts w:ascii="Calibri" w:hAnsi="Calibri"/>
                <w:b/>
                <w:sz w:val="20"/>
                <w:szCs w:val="20"/>
              </w:rPr>
              <w:t>Response count</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European Land cover/land use: Corine Land Cover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11</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National Land cover/Land use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12</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Forest types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11</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Hydrology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11</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Marine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4</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Digital elevation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9</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Soil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10</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Natura 2000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11</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National protected areas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11</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Vegetation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8</w:t>
            </w:r>
          </w:p>
        </w:tc>
      </w:tr>
      <w:tr w:rsidR="001C55F3" w:rsidRPr="004258D8" w:rsidTr="001C55F3">
        <w:tc>
          <w:tcPr>
            <w:tcW w:w="5985" w:type="dxa"/>
            <w:vAlign w:val="center"/>
          </w:tcPr>
          <w:p w:rsidR="001C55F3" w:rsidRPr="004258D8" w:rsidRDefault="001C55F3" w:rsidP="001C55F3">
            <w:pPr>
              <w:rPr>
                <w:rFonts w:ascii="Calibri" w:hAnsi="Calibri"/>
                <w:sz w:val="20"/>
                <w:szCs w:val="20"/>
              </w:rPr>
            </w:pPr>
            <w:r w:rsidRPr="004258D8">
              <w:rPr>
                <w:rFonts w:ascii="Calibri" w:hAnsi="Calibri"/>
                <w:sz w:val="20"/>
                <w:szCs w:val="20"/>
              </w:rPr>
              <w:t xml:space="preserve">Climate </w:t>
            </w:r>
          </w:p>
        </w:tc>
        <w:tc>
          <w:tcPr>
            <w:tcW w:w="1985" w:type="dxa"/>
            <w:vAlign w:val="center"/>
          </w:tcPr>
          <w:p w:rsidR="001C55F3" w:rsidRPr="00A87286" w:rsidRDefault="001C55F3" w:rsidP="001C55F3">
            <w:pPr>
              <w:jc w:val="center"/>
              <w:rPr>
                <w:rFonts w:cs="Microsoft Sans Serif"/>
                <w:sz w:val="20"/>
                <w:szCs w:val="20"/>
              </w:rPr>
            </w:pPr>
            <w:r w:rsidRPr="00A87286">
              <w:rPr>
                <w:rFonts w:cs="Microsoft Sans Serif"/>
                <w:sz w:val="20"/>
                <w:szCs w:val="20"/>
              </w:rPr>
              <w:t>7</w:t>
            </w:r>
          </w:p>
        </w:tc>
      </w:tr>
    </w:tbl>
    <w:p w:rsidR="001C55F3" w:rsidRDefault="001C55F3" w:rsidP="001C55F3">
      <w:pPr>
        <w:rPr>
          <w:rFonts w:ascii="Calibri" w:hAnsi="Calibri"/>
          <w:sz w:val="24"/>
          <w:szCs w:val="24"/>
        </w:rPr>
      </w:pPr>
    </w:p>
    <w:p w:rsidR="001C55F3" w:rsidRPr="004B598A" w:rsidRDefault="001C55F3" w:rsidP="00622218">
      <w:pPr>
        <w:pStyle w:val="Paragraphedeliste"/>
        <w:numPr>
          <w:ilvl w:val="0"/>
          <w:numId w:val="76"/>
        </w:numPr>
        <w:rPr>
          <w:rFonts w:ascii="Calibri" w:hAnsi="Calibri"/>
          <w:b/>
          <w:sz w:val="24"/>
          <w:szCs w:val="24"/>
        </w:rPr>
      </w:pPr>
      <w:r w:rsidRPr="004B598A">
        <w:rPr>
          <w:rFonts w:ascii="Calibri" w:hAnsi="Calibri"/>
          <w:b/>
          <w:sz w:val="24"/>
          <w:szCs w:val="24"/>
        </w:rPr>
        <w:t>GIS technology used (e.g ArcGIS software packages technical methodology).</w:t>
      </w:r>
    </w:p>
    <w:tbl>
      <w:tblPr>
        <w:tblStyle w:val="Titre5Car"/>
        <w:tblW w:w="0" w:type="auto"/>
        <w:tblInd w:w="360" w:type="dxa"/>
        <w:tblLook w:val="04A0"/>
      </w:tblPr>
      <w:tblGrid>
        <w:gridCol w:w="2725"/>
        <w:gridCol w:w="6201"/>
      </w:tblGrid>
      <w:tr w:rsidR="001C55F3" w:rsidRPr="004258D8" w:rsidTr="001C55F3">
        <w:tc>
          <w:tcPr>
            <w:tcW w:w="2725" w:type="dxa"/>
          </w:tcPr>
          <w:p w:rsidR="001C55F3" w:rsidRPr="004258D8" w:rsidRDefault="001C55F3" w:rsidP="001C55F3">
            <w:pPr>
              <w:rPr>
                <w:rFonts w:ascii="Calibri" w:hAnsi="Calibri"/>
                <w:b/>
                <w:sz w:val="20"/>
                <w:szCs w:val="20"/>
              </w:rPr>
            </w:pPr>
            <w:r w:rsidRPr="004258D8">
              <w:rPr>
                <w:rFonts w:ascii="Calibri" w:hAnsi="Calibri"/>
                <w:b/>
                <w:sz w:val="20"/>
                <w:szCs w:val="20"/>
              </w:rPr>
              <w:t>Country</w:t>
            </w:r>
          </w:p>
        </w:tc>
        <w:tc>
          <w:tcPr>
            <w:tcW w:w="6203" w:type="dxa"/>
          </w:tcPr>
          <w:p w:rsidR="001C55F3" w:rsidRPr="004258D8" w:rsidRDefault="001C55F3" w:rsidP="001C55F3">
            <w:pPr>
              <w:rPr>
                <w:rFonts w:ascii="Calibri" w:hAnsi="Calibri"/>
                <w:b/>
                <w:sz w:val="20"/>
                <w:szCs w:val="20"/>
              </w:rPr>
            </w:pPr>
            <w:r w:rsidRPr="004258D8">
              <w:rPr>
                <w:rFonts w:ascii="Calibri" w:hAnsi="Calibri"/>
                <w:b/>
                <w:sz w:val="20"/>
                <w:szCs w:val="20"/>
              </w:rPr>
              <w:t>Comments</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Ireland</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ArcGIS, Trimble handheld mappers</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The Netherlands</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ARCGIS and specialised applications</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France</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A priori we'll use ArcGIS software, but it is not decided yet.</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Lithuania</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ArcGis</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Czech Republic</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ArcGis</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Denmark</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ArcGis is expected</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Poland</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ArcGis</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Spain</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ArcGIS 9.3 gvSIG 1.10</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Slovenia</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Spatial analyst, etc....</w:t>
            </w:r>
          </w:p>
        </w:tc>
      </w:tr>
      <w:tr w:rsidR="001C55F3" w:rsidRPr="004258D8" w:rsidTr="001C55F3">
        <w:tc>
          <w:tcPr>
            <w:tcW w:w="2725" w:type="dxa"/>
          </w:tcPr>
          <w:p w:rsidR="001C55F3" w:rsidRPr="004258D8" w:rsidRDefault="001C55F3" w:rsidP="001C55F3">
            <w:pPr>
              <w:rPr>
                <w:rFonts w:ascii="Calibri" w:hAnsi="Calibri"/>
                <w:sz w:val="20"/>
                <w:szCs w:val="20"/>
              </w:rPr>
            </w:pPr>
            <w:r w:rsidRPr="004258D8">
              <w:rPr>
                <w:rFonts w:ascii="Calibri" w:hAnsi="Calibri"/>
                <w:sz w:val="20"/>
                <w:szCs w:val="20"/>
              </w:rPr>
              <w:t>Hungary</w:t>
            </w:r>
          </w:p>
        </w:tc>
        <w:tc>
          <w:tcPr>
            <w:tcW w:w="6203" w:type="dxa"/>
          </w:tcPr>
          <w:p w:rsidR="001C55F3" w:rsidRPr="004258D8" w:rsidRDefault="001C55F3" w:rsidP="001C55F3">
            <w:pPr>
              <w:rPr>
                <w:rFonts w:ascii="Calibri" w:hAnsi="Calibri"/>
                <w:sz w:val="20"/>
                <w:szCs w:val="20"/>
              </w:rPr>
            </w:pPr>
            <w:r w:rsidRPr="004258D8">
              <w:rPr>
                <w:rFonts w:ascii="Calibri" w:hAnsi="Calibri"/>
                <w:sz w:val="20"/>
                <w:szCs w:val="20"/>
              </w:rPr>
              <w:t>yes, we plan to use advanced GIS</w:t>
            </w:r>
          </w:p>
        </w:tc>
      </w:tr>
      <w:tr w:rsidR="001C55F3" w:rsidRPr="004258D8" w:rsidTr="001C55F3">
        <w:tc>
          <w:tcPr>
            <w:tcW w:w="2725" w:type="dxa"/>
          </w:tcPr>
          <w:p w:rsidR="001C55F3" w:rsidRPr="004258D8" w:rsidRDefault="001C55F3" w:rsidP="001C55F3">
            <w:pPr>
              <w:rPr>
                <w:rFonts w:ascii="Calibri" w:hAnsi="Calibri"/>
                <w:sz w:val="20"/>
                <w:szCs w:val="20"/>
              </w:rPr>
            </w:pPr>
            <w:r>
              <w:rPr>
                <w:rFonts w:ascii="Calibri" w:hAnsi="Calibri"/>
                <w:sz w:val="20"/>
                <w:szCs w:val="20"/>
              </w:rPr>
              <w:t>Portugal</w:t>
            </w:r>
          </w:p>
        </w:tc>
        <w:tc>
          <w:tcPr>
            <w:tcW w:w="6203" w:type="dxa"/>
          </w:tcPr>
          <w:p w:rsidR="001C55F3" w:rsidRPr="00A87286" w:rsidRDefault="001C55F3" w:rsidP="001C55F3">
            <w:pPr>
              <w:rPr>
                <w:rFonts w:ascii="Calibri" w:hAnsi="Calibri"/>
                <w:sz w:val="20"/>
                <w:szCs w:val="20"/>
              </w:rPr>
            </w:pPr>
            <w:r w:rsidRPr="00A87286">
              <w:rPr>
                <w:sz w:val="20"/>
              </w:rPr>
              <w:t>ArcGIS</w:t>
            </w:r>
          </w:p>
        </w:tc>
      </w:tr>
    </w:tbl>
    <w:p w:rsidR="001C55F3" w:rsidRPr="003A0E89" w:rsidRDefault="001C55F3" w:rsidP="001C55F3">
      <w:pPr>
        <w:ind w:left="360"/>
        <w:rPr>
          <w:rFonts w:ascii="Calibri" w:hAnsi="Calibri"/>
          <w:sz w:val="24"/>
          <w:szCs w:val="24"/>
        </w:rPr>
      </w:pPr>
    </w:p>
    <w:p w:rsidR="001C55F3" w:rsidRPr="004B598A" w:rsidRDefault="001C55F3" w:rsidP="00622218">
      <w:pPr>
        <w:pStyle w:val="Paragraphedeliste"/>
        <w:numPr>
          <w:ilvl w:val="0"/>
          <w:numId w:val="76"/>
        </w:numPr>
        <w:rPr>
          <w:rFonts w:ascii="Calibri" w:hAnsi="Calibri"/>
          <w:b/>
          <w:sz w:val="24"/>
          <w:szCs w:val="24"/>
          <w:u w:val="single"/>
        </w:rPr>
      </w:pPr>
      <w:r w:rsidRPr="004B598A">
        <w:rPr>
          <w:rFonts w:ascii="Calibri" w:hAnsi="Calibri"/>
          <w:b/>
          <w:sz w:val="24"/>
          <w:szCs w:val="24"/>
          <w:u w:val="single"/>
        </w:rPr>
        <w:t>Is your metadata following the INSPIRE format?</w:t>
      </w:r>
    </w:p>
    <w:p w:rsidR="001C55F3" w:rsidRPr="00140343" w:rsidRDefault="001C55F3" w:rsidP="001C55F3">
      <w:pPr>
        <w:pStyle w:val="Paragraphedeliste"/>
        <w:rPr>
          <w:rFonts w:ascii="Calibri" w:hAnsi="Calibri"/>
          <w:sz w:val="24"/>
          <w:szCs w:val="24"/>
        </w:rPr>
      </w:pPr>
    </w:p>
    <w:p w:rsidR="001C55F3" w:rsidRPr="003A0E89" w:rsidRDefault="001C55F3" w:rsidP="001C55F3">
      <w:pPr>
        <w:pStyle w:val="Paragraphedeliste"/>
        <w:rPr>
          <w:rFonts w:ascii="Calibri" w:hAnsi="Calibri"/>
          <w:sz w:val="24"/>
          <w:szCs w:val="24"/>
        </w:rPr>
      </w:pPr>
      <w:r>
        <w:rPr>
          <w:noProof/>
          <w:lang w:val="fr-BE" w:eastAsia="fr-BE"/>
        </w:rPr>
        <w:drawing>
          <wp:inline distT="0" distB="0" distL="0" distR="0">
            <wp:extent cx="2793349" cy="2247900"/>
            <wp:effectExtent l="0" t="0" r="7620" b="0"/>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45865" t="32359" r="16869" b="14298"/>
                    <a:stretch/>
                  </pic:blipFill>
                  <pic:spPr bwMode="auto">
                    <a:xfrm>
                      <a:off x="0" y="0"/>
                      <a:ext cx="2797437" cy="22511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Default="001C55F3">
      <w:pPr>
        <w:rPr>
          <w:rFonts w:ascii="Calibri" w:hAnsi="Calibri"/>
          <w:sz w:val="24"/>
          <w:szCs w:val="24"/>
        </w:rPr>
      </w:pPr>
      <w:r>
        <w:rPr>
          <w:rFonts w:ascii="Calibri" w:hAnsi="Calibri"/>
          <w:sz w:val="24"/>
          <w:szCs w:val="24"/>
        </w:rPr>
        <w:br w:type="page"/>
      </w:r>
    </w:p>
    <w:p w:rsidR="001C55F3" w:rsidRPr="003A0E89" w:rsidRDefault="001C55F3" w:rsidP="00622218">
      <w:pPr>
        <w:pStyle w:val="Paragraphedeliste"/>
        <w:numPr>
          <w:ilvl w:val="0"/>
          <w:numId w:val="76"/>
        </w:numPr>
        <w:rPr>
          <w:rFonts w:ascii="Calibri" w:hAnsi="Calibri"/>
          <w:sz w:val="24"/>
          <w:szCs w:val="24"/>
        </w:rPr>
      </w:pPr>
      <w:r w:rsidRPr="003A0E89">
        <w:rPr>
          <w:rFonts w:ascii="Calibri" w:hAnsi="Calibri"/>
          <w:sz w:val="24"/>
          <w:szCs w:val="24"/>
        </w:rPr>
        <w:lastRenderedPageBreak/>
        <w:t>What is the spatial resolution of the mapping? (e.g. 1:100.000; 1 Km grid)</w:t>
      </w:r>
    </w:p>
    <w:tbl>
      <w:tblPr>
        <w:tblStyle w:val="Titre5Car"/>
        <w:tblW w:w="0" w:type="auto"/>
        <w:tblInd w:w="360" w:type="dxa"/>
        <w:tblLook w:val="04A0"/>
      </w:tblPr>
      <w:tblGrid>
        <w:gridCol w:w="2681"/>
        <w:gridCol w:w="6245"/>
      </w:tblGrid>
      <w:tr w:rsidR="001C55F3" w:rsidRPr="004258D8" w:rsidTr="001C55F3">
        <w:tc>
          <w:tcPr>
            <w:tcW w:w="2583" w:type="dxa"/>
          </w:tcPr>
          <w:p w:rsidR="001C55F3" w:rsidRPr="004258D8" w:rsidRDefault="001C55F3" w:rsidP="001C55F3">
            <w:pPr>
              <w:rPr>
                <w:rFonts w:ascii="Calibri" w:hAnsi="Calibri"/>
                <w:b/>
                <w:sz w:val="20"/>
                <w:szCs w:val="20"/>
              </w:rPr>
            </w:pPr>
            <w:r w:rsidRPr="004258D8">
              <w:rPr>
                <w:rFonts w:ascii="Calibri" w:hAnsi="Calibri"/>
                <w:b/>
                <w:sz w:val="20"/>
                <w:szCs w:val="20"/>
              </w:rPr>
              <w:t>Country</w:t>
            </w:r>
          </w:p>
        </w:tc>
        <w:tc>
          <w:tcPr>
            <w:tcW w:w="6345" w:type="dxa"/>
          </w:tcPr>
          <w:p w:rsidR="001C55F3" w:rsidRPr="004258D8" w:rsidRDefault="001C55F3" w:rsidP="001C55F3">
            <w:pPr>
              <w:rPr>
                <w:rFonts w:ascii="Calibri" w:hAnsi="Calibri"/>
                <w:b/>
                <w:sz w:val="20"/>
                <w:szCs w:val="20"/>
              </w:rPr>
            </w:pPr>
            <w:r w:rsidRPr="004258D8">
              <w:rPr>
                <w:rFonts w:ascii="Calibri" w:hAnsi="Calibri"/>
                <w:b/>
                <w:sz w:val="20"/>
                <w:szCs w:val="20"/>
              </w:rPr>
              <w:t>Comment</w:t>
            </w:r>
          </w:p>
        </w:tc>
      </w:tr>
      <w:tr w:rsidR="001C55F3" w:rsidRPr="004258D8" w:rsidTr="001C55F3">
        <w:tc>
          <w:tcPr>
            <w:tcW w:w="2583" w:type="dxa"/>
          </w:tcPr>
          <w:p w:rsidR="001C55F3" w:rsidRPr="004258D8" w:rsidRDefault="001C55F3" w:rsidP="001C55F3">
            <w:pPr>
              <w:tabs>
                <w:tab w:val="left" w:pos="3036"/>
              </w:tabs>
              <w:rPr>
                <w:rFonts w:ascii="Calibri" w:hAnsi="Calibri"/>
                <w:sz w:val="20"/>
                <w:szCs w:val="20"/>
              </w:rPr>
            </w:pPr>
            <w:r w:rsidRPr="004258D8">
              <w:rPr>
                <w:rFonts w:ascii="Calibri" w:hAnsi="Calibri"/>
                <w:sz w:val="20"/>
                <w:szCs w:val="20"/>
              </w:rPr>
              <w:t>Ireland</w:t>
            </w:r>
            <w:r w:rsidRPr="004258D8">
              <w:rPr>
                <w:rFonts w:ascii="Calibri" w:hAnsi="Calibri"/>
                <w:sz w:val="20"/>
                <w:szCs w:val="20"/>
              </w:rPr>
              <w:tab/>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various</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The Netherlands</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base maps have various resolutions down to 100x100 m; scale of ecosystem service synthesis maps has to be decided after testing various scales.</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France</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Mapping planned in 2014</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Hungary</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we have not decided yet</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Lithuania</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Not defined yet</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Czech Republic</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1:10.000</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Austria</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100m x 100m</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Denmark</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Not yet planned</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Poland</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not decided yet</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Slovenia</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Due to small scale studies from 1:1000 to 1:5000</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Germany</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See answer 2. Different maps will be produced with different resolution. Some maps will have a resolution of 25 ha according to CLC. Others will present average data on county level (Kreisebene). There are 402 "Kreise" and "kreisfreieStädte" in Germay.</w:t>
            </w:r>
          </w:p>
        </w:tc>
      </w:tr>
      <w:tr w:rsidR="001C55F3" w:rsidRPr="004258D8" w:rsidTr="001C55F3">
        <w:tc>
          <w:tcPr>
            <w:tcW w:w="2583" w:type="dxa"/>
          </w:tcPr>
          <w:p w:rsidR="001C55F3" w:rsidRPr="004258D8" w:rsidRDefault="001C55F3" w:rsidP="001C55F3">
            <w:pPr>
              <w:rPr>
                <w:rFonts w:ascii="Calibri" w:hAnsi="Calibri"/>
                <w:sz w:val="20"/>
                <w:szCs w:val="20"/>
              </w:rPr>
            </w:pPr>
            <w:r w:rsidRPr="004258D8">
              <w:rPr>
                <w:rFonts w:ascii="Calibri" w:hAnsi="Calibri"/>
                <w:sz w:val="20"/>
                <w:szCs w:val="20"/>
              </w:rPr>
              <w:t>Spain</w:t>
            </w:r>
          </w:p>
        </w:tc>
        <w:tc>
          <w:tcPr>
            <w:tcW w:w="6345" w:type="dxa"/>
          </w:tcPr>
          <w:p w:rsidR="001C55F3" w:rsidRPr="004258D8" w:rsidRDefault="001C55F3" w:rsidP="001C55F3">
            <w:pPr>
              <w:rPr>
                <w:rFonts w:ascii="Calibri" w:hAnsi="Calibri"/>
                <w:sz w:val="20"/>
                <w:szCs w:val="20"/>
              </w:rPr>
            </w:pPr>
            <w:r w:rsidRPr="004258D8">
              <w:rPr>
                <w:rFonts w:ascii="Calibri" w:hAnsi="Calibri"/>
                <w:sz w:val="20"/>
                <w:szCs w:val="20"/>
              </w:rPr>
              <w:t>For ecosystems mapping 5ha grid. For land use changes 25ha grid Biodiversity 5km grid Protected areas 100m grid</w:t>
            </w:r>
          </w:p>
        </w:tc>
      </w:tr>
      <w:tr w:rsidR="001C55F3" w:rsidRPr="004258D8" w:rsidTr="001C55F3">
        <w:tc>
          <w:tcPr>
            <w:tcW w:w="2583" w:type="dxa"/>
          </w:tcPr>
          <w:p w:rsidR="001C55F3" w:rsidRPr="004258D8" w:rsidRDefault="001C55F3" w:rsidP="001C55F3">
            <w:pPr>
              <w:rPr>
                <w:rFonts w:ascii="Calibri" w:hAnsi="Calibri"/>
                <w:sz w:val="20"/>
                <w:szCs w:val="20"/>
              </w:rPr>
            </w:pPr>
            <w:r>
              <w:rPr>
                <w:rFonts w:ascii="Calibri" w:hAnsi="Calibri"/>
                <w:sz w:val="20"/>
                <w:szCs w:val="20"/>
              </w:rPr>
              <w:t>Portugal</w:t>
            </w:r>
          </w:p>
        </w:tc>
        <w:tc>
          <w:tcPr>
            <w:tcW w:w="6345" w:type="dxa"/>
          </w:tcPr>
          <w:p w:rsidR="001C55F3" w:rsidRPr="004258D8" w:rsidRDefault="001C55F3" w:rsidP="001C55F3">
            <w:pPr>
              <w:rPr>
                <w:rFonts w:ascii="Calibri" w:hAnsi="Calibri"/>
                <w:sz w:val="20"/>
                <w:szCs w:val="20"/>
              </w:rPr>
            </w:pPr>
            <w:r w:rsidRPr="00140343">
              <w:rPr>
                <w:sz w:val="20"/>
              </w:rPr>
              <w:t>1 ha - 100 km^2 resolution</w:t>
            </w:r>
          </w:p>
        </w:tc>
      </w:tr>
    </w:tbl>
    <w:tbl>
      <w:tblPr>
        <w:tblW w:w="4015" w:type="pct"/>
        <w:tblCellSpacing w:w="0" w:type="dxa"/>
        <w:tblCellMar>
          <w:left w:w="0" w:type="dxa"/>
          <w:right w:w="0" w:type="dxa"/>
        </w:tblCellMar>
        <w:tblLook w:val="04A0"/>
      </w:tblPr>
      <w:tblGrid>
        <w:gridCol w:w="5669"/>
        <w:gridCol w:w="1614"/>
      </w:tblGrid>
      <w:tr w:rsidR="001C55F3" w:rsidRPr="003A0E89" w:rsidTr="001C55F3">
        <w:trPr>
          <w:tblCellSpacing w:w="0" w:type="dxa"/>
        </w:trPr>
        <w:tc>
          <w:tcPr>
            <w:tcW w:w="3892" w:type="pct"/>
            <w:vAlign w:val="center"/>
          </w:tcPr>
          <w:p w:rsidR="001C55F3" w:rsidRPr="003A0E89" w:rsidRDefault="001C55F3" w:rsidP="001C55F3">
            <w:pPr>
              <w:spacing w:after="0"/>
              <w:rPr>
                <w:rFonts w:ascii="Calibri" w:hAnsi="Calibri"/>
                <w:sz w:val="24"/>
                <w:szCs w:val="24"/>
              </w:rPr>
            </w:pPr>
            <w:bookmarkStart w:id="9" w:name="s_136813651"/>
            <w:bookmarkEnd w:id="9"/>
          </w:p>
        </w:tc>
        <w:tc>
          <w:tcPr>
            <w:tcW w:w="1108" w:type="pct"/>
            <w:noWrap/>
            <w:vAlign w:val="center"/>
          </w:tcPr>
          <w:p w:rsidR="001C55F3" w:rsidRPr="003A0E89" w:rsidRDefault="001C55F3" w:rsidP="001C55F3">
            <w:pPr>
              <w:spacing w:after="0"/>
              <w:jc w:val="right"/>
              <w:rPr>
                <w:rFonts w:ascii="Calibri" w:hAnsi="Calibri"/>
                <w:sz w:val="24"/>
                <w:szCs w:val="24"/>
              </w:rPr>
            </w:pPr>
          </w:p>
        </w:tc>
      </w:tr>
    </w:tbl>
    <w:p w:rsidR="001C55F3" w:rsidRPr="00DE0F3D" w:rsidRDefault="001C55F3" w:rsidP="001C55F3">
      <w:pPr>
        <w:spacing w:after="0" w:line="240" w:lineRule="auto"/>
        <w:rPr>
          <w:rFonts w:ascii="Calibri" w:hAnsi="Calibri"/>
          <w:vanish/>
          <w:sz w:val="28"/>
          <w:szCs w:val="28"/>
        </w:rPr>
      </w:pPr>
    </w:p>
    <w:p w:rsidR="001C55F3" w:rsidRPr="00DE0F3D" w:rsidRDefault="001C55F3" w:rsidP="00622218">
      <w:pPr>
        <w:pStyle w:val="Paragraphedeliste"/>
        <w:numPr>
          <w:ilvl w:val="1"/>
          <w:numId w:val="90"/>
        </w:numPr>
        <w:rPr>
          <w:rFonts w:ascii="Calibri" w:eastAsiaTheme="majorEastAsia" w:hAnsi="Calibri" w:cstheme="majorBidi"/>
          <w:b/>
          <w:bCs/>
          <w:color w:val="365F91" w:themeColor="accent1" w:themeShade="BF"/>
          <w:sz w:val="28"/>
          <w:szCs w:val="28"/>
        </w:rPr>
      </w:pPr>
      <w:r w:rsidRPr="00DE0F3D">
        <w:rPr>
          <w:rFonts w:ascii="Calibri" w:eastAsiaTheme="majorEastAsia" w:hAnsi="Calibri" w:cstheme="majorBidi"/>
          <w:b/>
          <w:bCs/>
          <w:color w:val="365F91" w:themeColor="accent1" w:themeShade="BF"/>
          <w:sz w:val="28"/>
          <w:szCs w:val="28"/>
        </w:rPr>
        <w:t>Conclusions</w:t>
      </w:r>
    </w:p>
    <w:p w:rsidR="001C55F3" w:rsidRDefault="001C55F3" w:rsidP="001C55F3">
      <w:pPr>
        <w:spacing w:line="240" w:lineRule="auto"/>
      </w:pPr>
      <w:r>
        <w:t>The main conclusions that can be drawn from the survey are as follows:</w:t>
      </w:r>
    </w:p>
    <w:p w:rsidR="001C55F3" w:rsidRDefault="001C55F3" w:rsidP="00622218">
      <w:pPr>
        <w:pStyle w:val="Paragraphedeliste"/>
        <w:numPr>
          <w:ilvl w:val="0"/>
          <w:numId w:val="80"/>
        </w:numPr>
        <w:spacing w:line="240" w:lineRule="auto"/>
      </w:pPr>
      <w:r w:rsidRPr="00023360">
        <w:t>Mapping and Assessment process:</w:t>
      </w:r>
      <w:r>
        <w:t xml:space="preserve"> is an</w:t>
      </w:r>
      <w:r w:rsidRPr="00023360">
        <w:t xml:space="preserve"> on-going </w:t>
      </w:r>
      <w:r>
        <w:t xml:space="preserve">process in most of the countries </w:t>
      </w:r>
      <w:r w:rsidRPr="00023360">
        <w:t>but needs targeted support</w:t>
      </w:r>
      <w:r>
        <w:t>. From the 15 countries responding:</w:t>
      </w:r>
    </w:p>
    <w:p w:rsidR="001C55F3" w:rsidRDefault="001C55F3" w:rsidP="00622218">
      <w:pPr>
        <w:pStyle w:val="Paragraphedeliste"/>
        <w:numPr>
          <w:ilvl w:val="1"/>
          <w:numId w:val="81"/>
        </w:numPr>
        <w:spacing w:line="240" w:lineRule="auto"/>
      </w:pPr>
      <w:r>
        <w:t>Approx. 80% started the MAES process (national level, regional and case studies);</w:t>
      </w:r>
    </w:p>
    <w:p w:rsidR="001C55F3" w:rsidRDefault="001C55F3" w:rsidP="00622218">
      <w:pPr>
        <w:pStyle w:val="Paragraphedeliste"/>
        <w:numPr>
          <w:ilvl w:val="1"/>
          <w:numId w:val="81"/>
        </w:numPr>
        <w:spacing w:line="240" w:lineRule="auto"/>
      </w:pPr>
      <w:r>
        <w:t>Mapping is already happening, but not uniformly developed;</w:t>
      </w:r>
    </w:p>
    <w:p w:rsidR="001C55F3" w:rsidRDefault="001C55F3" w:rsidP="00622218">
      <w:pPr>
        <w:pStyle w:val="Paragraphedeliste"/>
        <w:numPr>
          <w:ilvl w:val="1"/>
          <w:numId w:val="81"/>
        </w:numPr>
        <w:spacing w:line="240" w:lineRule="auto"/>
      </w:pPr>
      <w:r>
        <w:t xml:space="preserve"> 80% include stakeholders (policy makers, NGO’s, scientists, citizens, etc.);</w:t>
      </w:r>
    </w:p>
    <w:p w:rsidR="001C55F3" w:rsidRDefault="001C55F3" w:rsidP="00622218">
      <w:pPr>
        <w:pStyle w:val="Paragraphedeliste"/>
        <w:numPr>
          <w:ilvl w:val="1"/>
          <w:numId w:val="81"/>
        </w:numPr>
        <w:spacing w:line="240" w:lineRule="auto"/>
      </w:pPr>
      <w:r>
        <w:t>Expertise is available but they need government (financial) support and EU guidance (common approach).</w:t>
      </w:r>
    </w:p>
    <w:p w:rsidR="001C55F3" w:rsidRDefault="001C55F3" w:rsidP="00622218">
      <w:pPr>
        <w:pStyle w:val="Paragraphedeliste"/>
        <w:numPr>
          <w:ilvl w:val="0"/>
          <w:numId w:val="81"/>
        </w:numPr>
        <w:spacing w:line="240" w:lineRule="auto"/>
      </w:pPr>
      <w:r w:rsidRPr="00023360">
        <w:t>Methods and Material</w:t>
      </w:r>
      <w:r>
        <w:t>: main ecosystems and ecosystem services are covered using national data and the same European sources, i.e. ES CICES classification and CORINE Land Cover. The Main problems encountered are  lack of consistent approaches among all parties involved,  lack of relevant data and limited resources. From the 15 countries responding:</w:t>
      </w:r>
    </w:p>
    <w:p w:rsidR="001C55F3" w:rsidRDefault="001C55F3" w:rsidP="00622218">
      <w:pPr>
        <w:pStyle w:val="Paragraphedeliste"/>
        <w:numPr>
          <w:ilvl w:val="1"/>
          <w:numId w:val="81"/>
        </w:numPr>
        <w:spacing w:line="240" w:lineRule="auto"/>
      </w:pPr>
      <w:r>
        <w:t xml:space="preserve">The most relevant ecosystems covered are forests, followed by agro-ecosystems, freshwater and marine. </w:t>
      </w:r>
      <w:r w:rsidRPr="00023360">
        <w:t xml:space="preserve">Other </w:t>
      </w:r>
      <w:r>
        <w:t xml:space="preserve">ecosystems </w:t>
      </w:r>
      <w:r w:rsidRPr="00023360">
        <w:t>mentioned</w:t>
      </w:r>
      <w:r>
        <w:t xml:space="preserve"> are</w:t>
      </w:r>
      <w:r w:rsidRPr="00023360">
        <w:t>: Urban, heathland, mountains, arid zones, insular, peat lands (as part of wetlands).</w:t>
      </w:r>
    </w:p>
    <w:p w:rsidR="001C55F3" w:rsidRDefault="001C55F3" w:rsidP="00622218">
      <w:pPr>
        <w:pStyle w:val="Paragraphedeliste"/>
        <w:numPr>
          <w:ilvl w:val="1"/>
          <w:numId w:val="81"/>
        </w:numPr>
        <w:spacing w:line="240" w:lineRule="auto"/>
      </w:pPr>
      <w:r>
        <w:t>T</w:t>
      </w:r>
      <w:r w:rsidRPr="00023360">
        <w:t xml:space="preserve">he most relevant </w:t>
      </w:r>
      <w:r>
        <w:t xml:space="preserve">ecosystem services </w:t>
      </w:r>
      <w:r w:rsidRPr="00023360">
        <w:t>to be mapped are cultural services (tourism and recreation), followed provisioning (food and timber) and regulating (water flows, climate and extreme events).</w:t>
      </w:r>
    </w:p>
    <w:p w:rsidR="001C55F3" w:rsidRDefault="001C55F3" w:rsidP="00622218">
      <w:pPr>
        <w:pStyle w:val="Paragraphedeliste"/>
        <w:numPr>
          <w:ilvl w:val="1"/>
          <w:numId w:val="81"/>
        </w:numPr>
        <w:spacing w:line="240" w:lineRule="auto"/>
      </w:pPr>
      <w:r>
        <w:t>Indicators mainly quantified based on national statistics;</w:t>
      </w:r>
    </w:p>
    <w:p w:rsidR="001C55F3" w:rsidRDefault="001C55F3" w:rsidP="00622218">
      <w:pPr>
        <w:pStyle w:val="Paragraphedeliste"/>
        <w:numPr>
          <w:ilvl w:val="1"/>
          <w:numId w:val="81"/>
        </w:numPr>
        <w:spacing w:line="240" w:lineRule="auto"/>
      </w:pPr>
      <w:r>
        <w:t>EU common factors: the most used classification is CICES (60%) and main data sources are CORINE Land Cover and reporting to EU Directives.</w:t>
      </w:r>
    </w:p>
    <w:p w:rsidR="001C55F3" w:rsidRDefault="001C55F3" w:rsidP="00622218">
      <w:pPr>
        <w:pStyle w:val="Paragraphedeliste"/>
        <w:numPr>
          <w:ilvl w:val="0"/>
          <w:numId w:val="81"/>
        </w:numPr>
        <w:spacing w:line="240" w:lineRule="auto"/>
      </w:pPr>
      <w:r w:rsidRPr="004549A2">
        <w:t>Tec</w:t>
      </w:r>
      <w:r>
        <w:t>hnical aspects: guidance is needed. From the 15 countries responding:</w:t>
      </w:r>
    </w:p>
    <w:p w:rsidR="001C55F3" w:rsidRDefault="001C55F3" w:rsidP="00622218">
      <w:pPr>
        <w:pStyle w:val="Paragraphedeliste"/>
        <w:numPr>
          <w:ilvl w:val="0"/>
          <w:numId w:val="82"/>
        </w:numPr>
        <w:spacing w:line="240" w:lineRule="auto"/>
      </w:pPr>
      <w:r>
        <w:t>Guidance is needed in methods, data and GIS;</w:t>
      </w:r>
    </w:p>
    <w:p w:rsidR="001C55F3" w:rsidRDefault="001C55F3" w:rsidP="00622218">
      <w:pPr>
        <w:pStyle w:val="Paragraphedeliste"/>
        <w:numPr>
          <w:ilvl w:val="0"/>
          <w:numId w:val="82"/>
        </w:numPr>
        <w:spacing w:line="240" w:lineRule="auto"/>
      </w:pPr>
      <w:r>
        <w:t>Common elements in the mapping are : Land cover/Land Use, ArcGIS and Geostatistics;</w:t>
      </w:r>
    </w:p>
    <w:p w:rsidR="001C55F3" w:rsidRDefault="001C55F3" w:rsidP="00622218">
      <w:pPr>
        <w:pStyle w:val="Paragraphedeliste"/>
        <w:numPr>
          <w:ilvl w:val="0"/>
          <w:numId w:val="82"/>
        </w:numPr>
        <w:spacing w:line="240" w:lineRule="auto"/>
      </w:pPr>
      <w:r>
        <w:t>INSPIRE is not yet embedded.</w:t>
      </w:r>
    </w:p>
    <w:p w:rsidR="001C55F3" w:rsidRPr="00DE0F3D" w:rsidRDefault="001C55F3" w:rsidP="00622218">
      <w:pPr>
        <w:pStyle w:val="Titre1"/>
        <w:numPr>
          <w:ilvl w:val="1"/>
          <w:numId w:val="90"/>
        </w:numPr>
        <w:jc w:val="both"/>
        <w:rPr>
          <w:rFonts w:ascii="Calibri" w:hAnsi="Calibri"/>
        </w:rPr>
      </w:pPr>
      <w:bookmarkStart w:id="10" w:name="_Toc367883170"/>
      <w:r w:rsidRPr="00DE0F3D">
        <w:rPr>
          <w:rFonts w:ascii="Calibri" w:hAnsi="Calibri"/>
        </w:rPr>
        <w:lastRenderedPageBreak/>
        <w:t>References</w:t>
      </w:r>
      <w:bookmarkEnd w:id="10"/>
    </w:p>
    <w:p w:rsidR="001C55F3" w:rsidRPr="003A0E89" w:rsidRDefault="001C55F3" w:rsidP="001C55F3">
      <w:pPr>
        <w:spacing w:after="0" w:line="240" w:lineRule="auto"/>
        <w:jc w:val="both"/>
        <w:rPr>
          <w:rStyle w:val="reference-text"/>
          <w:rFonts w:ascii="Calibri" w:hAnsi="Calibri"/>
          <w:sz w:val="24"/>
          <w:szCs w:val="24"/>
        </w:rPr>
      </w:pPr>
      <w:r w:rsidRPr="003A0E89">
        <w:rPr>
          <w:rFonts w:ascii="Calibri" w:hAnsi="Calibri"/>
          <w:sz w:val="24"/>
          <w:szCs w:val="24"/>
        </w:rPr>
        <w:t xml:space="preserve">Survey Monkey Website (accessed online 2013): </w:t>
      </w:r>
      <w:hyperlink r:id="rId33" w:history="1">
        <w:r w:rsidRPr="003A0E89">
          <w:rPr>
            <w:rStyle w:val="Lienhypertexte"/>
            <w:rFonts w:ascii="Calibri" w:hAnsi="Calibri"/>
            <w:sz w:val="24"/>
            <w:szCs w:val="24"/>
          </w:rPr>
          <w:t>http://www.surveymonkey.com/</w:t>
        </w:r>
      </w:hyperlink>
    </w:p>
    <w:p w:rsidR="001C55F3" w:rsidRPr="003A0E89" w:rsidRDefault="001C55F3" w:rsidP="001C55F3">
      <w:pPr>
        <w:spacing w:after="0" w:line="240" w:lineRule="auto"/>
        <w:jc w:val="both"/>
        <w:rPr>
          <w:rStyle w:val="reference-text"/>
          <w:rFonts w:ascii="Calibri" w:hAnsi="Calibri"/>
          <w:sz w:val="24"/>
          <w:szCs w:val="24"/>
        </w:rPr>
      </w:pPr>
    </w:p>
    <w:p w:rsidR="001C55F3" w:rsidRDefault="001C55F3" w:rsidP="001C55F3">
      <w:pPr>
        <w:spacing w:after="0" w:line="240" w:lineRule="auto"/>
        <w:jc w:val="both"/>
        <w:rPr>
          <w:rStyle w:val="reference-text"/>
          <w:rFonts w:ascii="Calibri" w:hAnsi="Calibri"/>
          <w:sz w:val="24"/>
          <w:szCs w:val="24"/>
        </w:rPr>
      </w:pPr>
      <w:r>
        <w:rPr>
          <w:rStyle w:val="reference-text"/>
          <w:rFonts w:ascii="Calibri" w:hAnsi="Calibri"/>
          <w:sz w:val="24"/>
          <w:szCs w:val="24"/>
        </w:rPr>
        <w:t>The References filled in by the respondents are listed in the table below.</w:t>
      </w:r>
    </w:p>
    <w:p w:rsidR="001C55F3" w:rsidRDefault="001C55F3" w:rsidP="001C55F3">
      <w:pPr>
        <w:spacing w:after="0" w:line="240" w:lineRule="auto"/>
        <w:jc w:val="both"/>
        <w:rPr>
          <w:rStyle w:val="reference-text"/>
          <w:rFonts w:ascii="Calibri" w:hAnsi="Calibri"/>
          <w:sz w:val="24"/>
          <w:szCs w:val="24"/>
        </w:rPr>
      </w:pPr>
    </w:p>
    <w:tbl>
      <w:tblPr>
        <w:tblStyle w:val="Titre5Car"/>
        <w:tblW w:w="0" w:type="auto"/>
        <w:tblLook w:val="04A0"/>
      </w:tblPr>
      <w:tblGrid>
        <w:gridCol w:w="1809"/>
        <w:gridCol w:w="7477"/>
      </w:tblGrid>
      <w:tr w:rsidR="001C55F3" w:rsidRPr="00023360" w:rsidTr="001C55F3">
        <w:tc>
          <w:tcPr>
            <w:tcW w:w="1809" w:type="dxa"/>
            <w:vAlign w:val="bottom"/>
          </w:tcPr>
          <w:p w:rsidR="001C55F3" w:rsidRPr="00023360" w:rsidRDefault="001C55F3" w:rsidP="001C55F3">
            <w:pPr>
              <w:rPr>
                <w:b/>
                <w:sz w:val="20"/>
                <w:szCs w:val="20"/>
              </w:rPr>
            </w:pPr>
            <w:r w:rsidRPr="00023360">
              <w:rPr>
                <w:b/>
                <w:sz w:val="20"/>
                <w:szCs w:val="20"/>
              </w:rPr>
              <w:t>Country</w:t>
            </w:r>
          </w:p>
        </w:tc>
        <w:tc>
          <w:tcPr>
            <w:tcW w:w="7477" w:type="dxa"/>
            <w:vAlign w:val="bottom"/>
          </w:tcPr>
          <w:p w:rsidR="001C55F3" w:rsidRPr="00023360" w:rsidRDefault="001C55F3" w:rsidP="001C55F3">
            <w:pPr>
              <w:rPr>
                <w:b/>
                <w:sz w:val="20"/>
                <w:szCs w:val="20"/>
              </w:rPr>
            </w:pPr>
            <w:r w:rsidRPr="00023360">
              <w:rPr>
                <w:b/>
                <w:sz w:val="20"/>
                <w:szCs w:val="20"/>
              </w:rPr>
              <w:br/>
              <w:t xml:space="preserve">References </w:t>
            </w:r>
          </w:p>
        </w:tc>
      </w:tr>
      <w:tr w:rsidR="001C55F3" w:rsidRPr="000E4FF5" w:rsidTr="001C55F3">
        <w:tc>
          <w:tcPr>
            <w:tcW w:w="1809" w:type="dxa"/>
          </w:tcPr>
          <w:p w:rsidR="001C55F3" w:rsidRPr="00023360" w:rsidRDefault="001C55F3" w:rsidP="001C55F3">
            <w:pPr>
              <w:rPr>
                <w:sz w:val="20"/>
                <w:szCs w:val="20"/>
              </w:rPr>
            </w:pPr>
            <w:r w:rsidRPr="00023360">
              <w:rPr>
                <w:sz w:val="20"/>
                <w:szCs w:val="20"/>
              </w:rPr>
              <w:t>The Netherlands</w:t>
            </w:r>
          </w:p>
        </w:tc>
        <w:tc>
          <w:tcPr>
            <w:tcW w:w="7477" w:type="dxa"/>
            <w:vAlign w:val="bottom"/>
          </w:tcPr>
          <w:p w:rsidR="001C55F3" w:rsidRPr="00023360" w:rsidRDefault="001C55F3" w:rsidP="001C55F3">
            <w:pPr>
              <w:rPr>
                <w:rFonts w:cs="Microsoft Sans Serif"/>
                <w:sz w:val="20"/>
                <w:szCs w:val="20"/>
                <w:lang w:val="nl-NL"/>
              </w:rPr>
            </w:pPr>
            <w:r w:rsidRPr="00023360">
              <w:rPr>
                <w:rFonts w:cs="Microsoft Sans Serif"/>
                <w:sz w:val="20"/>
                <w:szCs w:val="20"/>
                <w:lang w:val="nl-NL"/>
              </w:rPr>
              <w:t>Braat, L. &amp; K. Hendriks (2013) De Nederlandse Ecosysteem Assessment:  op weg naar een Digitale Atlas Natuurlijk Kapitaal (DANK) EindRapport Voorstudie (Wageningen)</w:t>
            </w:r>
          </w:p>
        </w:tc>
      </w:tr>
      <w:tr w:rsidR="001C55F3" w:rsidRPr="00023360" w:rsidTr="001C55F3">
        <w:tc>
          <w:tcPr>
            <w:tcW w:w="1809" w:type="dxa"/>
          </w:tcPr>
          <w:p w:rsidR="001C55F3" w:rsidRPr="00023360" w:rsidRDefault="001C55F3" w:rsidP="001C55F3">
            <w:pPr>
              <w:rPr>
                <w:sz w:val="20"/>
                <w:szCs w:val="20"/>
                <w:lang w:val="nl-NL"/>
              </w:rPr>
            </w:pPr>
            <w:r w:rsidRPr="00023360">
              <w:rPr>
                <w:sz w:val="20"/>
                <w:szCs w:val="20"/>
                <w:lang w:val="nl-NL"/>
              </w:rPr>
              <w:t>Sweden</w:t>
            </w:r>
          </w:p>
        </w:tc>
        <w:tc>
          <w:tcPr>
            <w:tcW w:w="7477" w:type="dxa"/>
            <w:vAlign w:val="bottom"/>
          </w:tcPr>
          <w:p w:rsidR="001C55F3" w:rsidRPr="00023360" w:rsidRDefault="001C55F3" w:rsidP="001C55F3">
            <w:pPr>
              <w:rPr>
                <w:rFonts w:cs="Microsoft Sans Serif"/>
                <w:sz w:val="20"/>
                <w:szCs w:val="20"/>
              </w:rPr>
            </w:pPr>
            <w:r w:rsidRPr="00023360">
              <w:rPr>
                <w:rFonts w:cs="Microsoft Sans Serif"/>
                <w:sz w:val="20"/>
                <w:szCs w:val="20"/>
              </w:rPr>
              <w:t>Gamfeldt, L., Snall, T., Bagchi, R., Jonsson, M., Gustafsson, L., Kjellander, P., . . . Bengtsson, J. (2013). Higher levels of multiple ecosystem services are found in forests with more tree species. Nature Communications, 4. doi: 10.1038/ncomms2328</w:t>
            </w:r>
          </w:p>
        </w:tc>
      </w:tr>
      <w:tr w:rsidR="001C55F3" w:rsidRPr="00023360" w:rsidTr="001C55F3">
        <w:tc>
          <w:tcPr>
            <w:tcW w:w="1809" w:type="dxa"/>
          </w:tcPr>
          <w:p w:rsidR="001C55F3" w:rsidRPr="00023360" w:rsidRDefault="001C55F3" w:rsidP="001C55F3">
            <w:pPr>
              <w:rPr>
                <w:sz w:val="20"/>
                <w:szCs w:val="20"/>
              </w:rPr>
            </w:pPr>
            <w:r w:rsidRPr="00023360">
              <w:rPr>
                <w:sz w:val="20"/>
                <w:szCs w:val="20"/>
              </w:rPr>
              <w:t>France</w:t>
            </w:r>
          </w:p>
        </w:tc>
        <w:tc>
          <w:tcPr>
            <w:tcW w:w="7477" w:type="dxa"/>
            <w:vAlign w:val="bottom"/>
          </w:tcPr>
          <w:p w:rsidR="001C55F3" w:rsidRPr="00023360" w:rsidRDefault="001C55F3" w:rsidP="001C55F3">
            <w:pPr>
              <w:rPr>
                <w:rFonts w:cs="Microsoft Sans Serif"/>
                <w:sz w:val="20"/>
                <w:szCs w:val="20"/>
              </w:rPr>
            </w:pPr>
            <w:r w:rsidRPr="00023360">
              <w:rPr>
                <w:rFonts w:cs="Microsoft Sans Serif"/>
                <w:sz w:val="20"/>
                <w:szCs w:val="20"/>
              </w:rPr>
              <w:t>"MAES : an analytical framework for EA under action 5 of the EUBS to 2020 - Discussion paper" (april 2013)</w:t>
            </w:r>
          </w:p>
        </w:tc>
      </w:tr>
      <w:tr w:rsidR="001C55F3" w:rsidRPr="00023360" w:rsidTr="001C55F3">
        <w:tc>
          <w:tcPr>
            <w:tcW w:w="1809" w:type="dxa"/>
          </w:tcPr>
          <w:p w:rsidR="001C55F3" w:rsidRPr="00023360" w:rsidRDefault="001C55F3" w:rsidP="001C55F3">
            <w:pPr>
              <w:rPr>
                <w:sz w:val="20"/>
                <w:szCs w:val="20"/>
              </w:rPr>
            </w:pPr>
            <w:r w:rsidRPr="00023360">
              <w:rPr>
                <w:sz w:val="20"/>
                <w:szCs w:val="20"/>
              </w:rPr>
              <w:t>Czech Republic</w:t>
            </w:r>
          </w:p>
        </w:tc>
        <w:tc>
          <w:tcPr>
            <w:tcW w:w="7477" w:type="dxa"/>
            <w:vAlign w:val="bottom"/>
          </w:tcPr>
          <w:p w:rsidR="001C55F3" w:rsidRPr="00023360" w:rsidRDefault="001C55F3" w:rsidP="001C55F3">
            <w:pPr>
              <w:rPr>
                <w:rFonts w:cs="Microsoft Sans Serif"/>
                <w:sz w:val="20"/>
                <w:szCs w:val="20"/>
              </w:rPr>
            </w:pPr>
            <w:r w:rsidRPr="00023360">
              <w:rPr>
                <w:rFonts w:cs="Microsoft Sans Serif"/>
                <w:sz w:val="20"/>
                <w:szCs w:val="20"/>
              </w:rPr>
              <w:t>Integrated Assessment of Ecosystem Services in the Czech Republic. Project Report, Global Change Research Centre, December 2012, 41 pp.</w:t>
            </w:r>
          </w:p>
        </w:tc>
      </w:tr>
      <w:tr w:rsidR="001C55F3" w:rsidRPr="00023360" w:rsidTr="001C55F3">
        <w:tc>
          <w:tcPr>
            <w:tcW w:w="1809" w:type="dxa"/>
          </w:tcPr>
          <w:p w:rsidR="001C55F3" w:rsidRPr="00023360" w:rsidRDefault="001C55F3" w:rsidP="001C55F3">
            <w:pPr>
              <w:rPr>
                <w:sz w:val="20"/>
                <w:szCs w:val="20"/>
              </w:rPr>
            </w:pPr>
            <w:r w:rsidRPr="00023360">
              <w:rPr>
                <w:sz w:val="20"/>
                <w:szCs w:val="20"/>
              </w:rPr>
              <w:t>Slovenia</w:t>
            </w:r>
          </w:p>
        </w:tc>
        <w:tc>
          <w:tcPr>
            <w:tcW w:w="7477" w:type="dxa"/>
            <w:vAlign w:val="bottom"/>
          </w:tcPr>
          <w:p w:rsidR="001C55F3" w:rsidRPr="00023360" w:rsidRDefault="001C55F3" w:rsidP="001C55F3">
            <w:pPr>
              <w:rPr>
                <w:rFonts w:cs="Microsoft Sans Serif"/>
                <w:sz w:val="20"/>
                <w:szCs w:val="20"/>
              </w:rPr>
            </w:pPr>
            <w:r w:rsidRPr="00023360">
              <w:rPr>
                <w:rFonts w:cs="Microsoft Sans Serif"/>
                <w:sz w:val="20"/>
                <w:szCs w:val="20"/>
              </w:rPr>
              <w:t>Small scale studies:</w:t>
            </w:r>
            <w:r w:rsidRPr="00023360">
              <w:rPr>
                <w:rFonts w:cs="Microsoft Sans Serif"/>
                <w:sz w:val="20"/>
                <w:szCs w:val="20"/>
              </w:rPr>
              <w:br/>
              <w:t>1. http://www.natreg.eu/publications/special-promotional-activities</w:t>
            </w:r>
            <w:r w:rsidRPr="00023360">
              <w:rPr>
                <w:rFonts w:cs="Microsoft Sans Serif"/>
                <w:sz w:val="20"/>
                <w:szCs w:val="20"/>
              </w:rPr>
              <w:br/>
              <w:t>2. http://www.park-skocjanske-jame.si/download/Ecosystem_Services_Evaluation.pdf</w:t>
            </w:r>
            <w:r w:rsidRPr="00023360">
              <w:rPr>
                <w:rFonts w:cs="Microsoft Sans Serif"/>
                <w:sz w:val="20"/>
                <w:szCs w:val="20"/>
              </w:rPr>
              <w:br/>
              <w:t>3. it is in Slovene language and not yet published - Title in english would be: Evaluation of ecosystem services in Slovene forests - background and model for application</w:t>
            </w:r>
          </w:p>
        </w:tc>
      </w:tr>
      <w:tr w:rsidR="001C55F3" w:rsidRPr="00023360" w:rsidTr="001C55F3">
        <w:tc>
          <w:tcPr>
            <w:tcW w:w="1809" w:type="dxa"/>
          </w:tcPr>
          <w:p w:rsidR="001C55F3" w:rsidRPr="00023360" w:rsidRDefault="001C55F3" w:rsidP="001C55F3">
            <w:pPr>
              <w:rPr>
                <w:sz w:val="20"/>
                <w:szCs w:val="20"/>
              </w:rPr>
            </w:pPr>
            <w:r w:rsidRPr="00023360">
              <w:rPr>
                <w:sz w:val="20"/>
                <w:szCs w:val="20"/>
              </w:rPr>
              <w:t>Estonia</w:t>
            </w:r>
          </w:p>
        </w:tc>
        <w:tc>
          <w:tcPr>
            <w:tcW w:w="7477" w:type="dxa"/>
            <w:vAlign w:val="bottom"/>
          </w:tcPr>
          <w:p w:rsidR="001C55F3" w:rsidRPr="00023360" w:rsidRDefault="001C55F3" w:rsidP="001C55F3">
            <w:pPr>
              <w:rPr>
                <w:rFonts w:cs="Microsoft Sans Serif"/>
                <w:sz w:val="20"/>
                <w:szCs w:val="20"/>
              </w:rPr>
            </w:pPr>
            <w:r w:rsidRPr="00023360">
              <w:rPr>
                <w:rFonts w:cs="Microsoft Sans Serif"/>
                <w:sz w:val="20"/>
                <w:szCs w:val="20"/>
              </w:rPr>
              <w:t>1) Review of forest ecosystems services under conservation, using one conservation area (Järvselja) as an example; Economical (monetary) valuation of forest ecosystem services using one nature conservation area as an example;</w:t>
            </w:r>
            <w:r w:rsidRPr="00023360">
              <w:rPr>
                <w:rFonts w:cs="Microsoft Sans Serif"/>
                <w:sz w:val="20"/>
                <w:szCs w:val="20"/>
              </w:rPr>
              <w:br/>
              <w:t>2) Review of ecosystem services estonian bogs can supply and their economical (monetary) valuation.</w:t>
            </w:r>
          </w:p>
        </w:tc>
      </w:tr>
      <w:tr w:rsidR="001C55F3" w:rsidRPr="00023360" w:rsidTr="001C55F3">
        <w:tc>
          <w:tcPr>
            <w:tcW w:w="1809" w:type="dxa"/>
          </w:tcPr>
          <w:p w:rsidR="001C55F3" w:rsidRPr="00023360" w:rsidRDefault="001C55F3" w:rsidP="001C55F3">
            <w:pPr>
              <w:rPr>
                <w:sz w:val="20"/>
                <w:szCs w:val="20"/>
              </w:rPr>
            </w:pPr>
            <w:r w:rsidRPr="00023360">
              <w:rPr>
                <w:sz w:val="20"/>
                <w:szCs w:val="20"/>
              </w:rPr>
              <w:t>Spain</w:t>
            </w:r>
          </w:p>
        </w:tc>
        <w:tc>
          <w:tcPr>
            <w:tcW w:w="7477" w:type="dxa"/>
            <w:vAlign w:val="bottom"/>
          </w:tcPr>
          <w:p w:rsidR="001C55F3" w:rsidRPr="00023360" w:rsidRDefault="001C55F3" w:rsidP="001C55F3">
            <w:pPr>
              <w:rPr>
                <w:rFonts w:cs="Microsoft Sans Serif"/>
                <w:sz w:val="20"/>
                <w:szCs w:val="20"/>
              </w:rPr>
            </w:pPr>
            <w:r w:rsidRPr="00023360">
              <w:rPr>
                <w:rFonts w:cs="Microsoft Sans Serif"/>
                <w:sz w:val="20"/>
                <w:szCs w:val="20"/>
                <w:lang w:val="es-ES_tradnl"/>
              </w:rPr>
              <w:t>SpanishNationalEcosystemAssessment (2011) Ecosistemas y biodiversidad para el bienestar humano. Evaluación de los Ecosistemas del Milenio de España. Montes, C, F Santos-Martin and J. Benayas (Editors). Madrid, Spain: Fundación Biodiversidad, Ministerio de Medio Ambiente y Medio Rural y Marino. 304 p.</w:t>
            </w:r>
            <w:r w:rsidRPr="00023360">
              <w:rPr>
                <w:rFonts w:cs="Microsoft Sans Serif"/>
                <w:sz w:val="20"/>
                <w:szCs w:val="20"/>
                <w:lang w:val="es-ES_tradnl"/>
              </w:rPr>
              <w:br/>
            </w:r>
            <w:r w:rsidRPr="00023360">
              <w:rPr>
                <w:rFonts w:cs="Microsoft Sans Serif"/>
                <w:sz w:val="20"/>
                <w:szCs w:val="20"/>
                <w:lang w:val="es-ES_tradnl"/>
              </w:rPr>
              <w:br/>
              <w:t>Maes J, Teller A, Erhard M, Liquete C, Braat L, Berry P, Egoh B, Puydarrieux P, Fiorina C, Santos F, Paracchini ML, Keune H, Wittmer H, Hauck J, Fiala I, Verburg PH, Condé S, Schägner JP, San Miguel J, Estreguil C, Ostermann O,</w:t>
            </w:r>
            <w:r w:rsidRPr="00023360">
              <w:rPr>
                <w:rFonts w:cs="Microsoft Sans Serif"/>
                <w:sz w:val="20"/>
                <w:szCs w:val="20"/>
                <w:lang w:val="es-ES_tradnl"/>
              </w:rPr>
              <w:br/>
            </w:r>
            <w:r w:rsidRPr="00023360">
              <w:rPr>
                <w:rFonts w:cs="Microsoft Sans Serif"/>
                <w:sz w:val="20"/>
                <w:szCs w:val="20"/>
                <w:lang w:val="es-ES_tradnl"/>
              </w:rPr>
              <w:br/>
              <w:t>Barredo JI, Pereira HM, Stott A, Laporte V, Meiner A, Olah B, Royo Gelabert E, Spyropoulou R, Petersen JE, Maguire C, Zal N, Achilleos E, Rubin A, Ledoux L, Brown C, Raes C, Jacobs S, Vandewalle M, Connor D, Bidoglio G (2013)</w:t>
            </w:r>
            <w:r w:rsidRPr="00023360">
              <w:rPr>
                <w:rFonts w:cs="Microsoft Sans Serif"/>
                <w:sz w:val="20"/>
                <w:szCs w:val="20"/>
                <w:lang w:val="es-ES_tradnl"/>
              </w:rPr>
              <w:br/>
            </w:r>
            <w:r w:rsidRPr="00023360">
              <w:rPr>
                <w:rFonts w:cs="Microsoft Sans Serif"/>
                <w:sz w:val="20"/>
                <w:szCs w:val="20"/>
                <w:lang w:val="es-ES_tradnl"/>
              </w:rPr>
              <w:br/>
              <w:t xml:space="preserve">Mapping and Assessment of Ecosystems and theirServices. </w:t>
            </w:r>
            <w:r w:rsidRPr="00023360">
              <w:rPr>
                <w:rFonts w:cs="Microsoft Sans Serif"/>
                <w:sz w:val="20"/>
                <w:szCs w:val="20"/>
              </w:rPr>
              <w:t>An analytical framework for ecosystem assessments under action 5 of the EU biodiversity strategy to 2020. Publications office of the European Union, Luxembourg.</w:t>
            </w:r>
          </w:p>
        </w:tc>
      </w:tr>
    </w:tbl>
    <w:p w:rsidR="001C55F3" w:rsidRPr="003A0E89" w:rsidRDefault="001C55F3" w:rsidP="001C55F3">
      <w:pPr>
        <w:spacing w:after="0" w:line="240" w:lineRule="auto"/>
        <w:jc w:val="both"/>
        <w:rPr>
          <w:rFonts w:ascii="Calibri" w:hAnsi="Calibri"/>
          <w:sz w:val="28"/>
          <w:szCs w:val="28"/>
        </w:rPr>
      </w:pPr>
    </w:p>
    <w:p w:rsidR="001C55F3" w:rsidRPr="00970638" w:rsidRDefault="001C55F3" w:rsidP="00D22B61">
      <w:pPr>
        <w:spacing w:after="0" w:line="240" w:lineRule="auto"/>
        <w:jc w:val="both"/>
        <w:rPr>
          <w:rFonts w:cstheme="minorHAnsi"/>
          <w:b/>
          <w:sz w:val="28"/>
          <w:szCs w:val="28"/>
          <w:lang w:eastAsia="en-GB"/>
        </w:rPr>
      </w:pPr>
    </w:p>
    <w:p w:rsidR="001C55F3" w:rsidRDefault="001C55F3">
      <w:pPr>
        <w:rPr>
          <w:rFonts w:asciiTheme="majorHAnsi" w:eastAsiaTheme="majorEastAsia" w:hAnsiTheme="majorHAnsi" w:cstheme="majorBidi"/>
          <w:b/>
          <w:bCs/>
          <w:color w:val="4F81BD" w:themeColor="accent1"/>
          <w:sz w:val="26"/>
          <w:szCs w:val="26"/>
        </w:rPr>
      </w:pPr>
      <w:r>
        <w:br w:type="page"/>
      </w:r>
    </w:p>
    <w:p w:rsidR="001C55F3" w:rsidRPr="00DE0F3D" w:rsidRDefault="001C55F3" w:rsidP="001C55F3">
      <w:pPr>
        <w:pStyle w:val="Titre1"/>
        <w:rPr>
          <w:sz w:val="36"/>
          <w:szCs w:val="36"/>
        </w:rPr>
      </w:pPr>
      <w:r w:rsidRPr="00DE0F3D">
        <w:rPr>
          <w:sz w:val="36"/>
          <w:szCs w:val="36"/>
        </w:rPr>
        <w:lastRenderedPageBreak/>
        <w:t>3.</w:t>
      </w:r>
      <w:r w:rsidRPr="00DE0F3D">
        <w:rPr>
          <w:sz w:val="36"/>
          <w:szCs w:val="36"/>
        </w:rPr>
        <w:tab/>
        <w:t>C</w:t>
      </w:r>
      <w:r>
        <w:rPr>
          <w:sz w:val="36"/>
          <w:szCs w:val="36"/>
        </w:rPr>
        <w:t>OUNTRY CASE</w:t>
      </w:r>
      <w:r w:rsidRPr="00DE0F3D">
        <w:rPr>
          <w:sz w:val="36"/>
          <w:szCs w:val="36"/>
        </w:rPr>
        <w:t xml:space="preserve"> S</w:t>
      </w:r>
      <w:r>
        <w:rPr>
          <w:sz w:val="36"/>
          <w:szCs w:val="36"/>
        </w:rPr>
        <w:t>TUDIES</w:t>
      </w:r>
    </w:p>
    <w:p w:rsidR="001C55F3" w:rsidRPr="00573F33" w:rsidRDefault="001C55F3" w:rsidP="00F73BFA">
      <w:pPr>
        <w:pStyle w:val="Titre2"/>
      </w:pPr>
      <w:r>
        <w:t>3</w:t>
      </w:r>
      <w:r w:rsidRPr="00573F33">
        <w:t xml:space="preserve">.1 </w:t>
      </w:r>
      <w:r w:rsidRPr="00573F33">
        <w:tab/>
        <w:t xml:space="preserve">Introduction </w:t>
      </w:r>
      <w:r>
        <w:t xml:space="preserve">to </w:t>
      </w:r>
      <w:r w:rsidRPr="00573F33">
        <w:t>the Country Case studies</w:t>
      </w:r>
    </w:p>
    <w:p w:rsidR="001C55F3" w:rsidRPr="00970638" w:rsidRDefault="001C55F3" w:rsidP="002102BC">
      <w:pPr>
        <w:autoSpaceDE w:val="0"/>
        <w:autoSpaceDN w:val="0"/>
        <w:adjustRightInd w:val="0"/>
        <w:spacing w:after="0" w:line="240" w:lineRule="auto"/>
        <w:contextualSpacing/>
        <w:jc w:val="both"/>
        <w:rPr>
          <w:rFonts w:cstheme="minorHAnsi"/>
          <w:color w:val="000000"/>
          <w:sz w:val="24"/>
          <w:szCs w:val="24"/>
        </w:rPr>
      </w:pPr>
    </w:p>
    <w:p w:rsidR="001C55F3" w:rsidRPr="00A0509F" w:rsidRDefault="001C55F3" w:rsidP="002102BC">
      <w:pPr>
        <w:autoSpaceDE w:val="0"/>
        <w:autoSpaceDN w:val="0"/>
        <w:adjustRightInd w:val="0"/>
        <w:spacing w:after="0" w:line="240" w:lineRule="auto"/>
        <w:contextualSpacing/>
        <w:jc w:val="both"/>
        <w:rPr>
          <w:rFonts w:cstheme="minorHAnsi"/>
          <w:color w:val="000000"/>
        </w:rPr>
      </w:pPr>
      <w:r w:rsidRPr="00A0509F">
        <w:rPr>
          <w:rFonts w:cstheme="minorHAnsi"/>
          <w:color w:val="000000"/>
        </w:rPr>
        <w:t xml:space="preserve">The Consortium has selected, and the Steering Group agreed, to analyse two Country Case studies for each of the following classes of cases: </w:t>
      </w:r>
    </w:p>
    <w:p w:rsidR="001C55F3" w:rsidRPr="00A0509F" w:rsidRDefault="001C55F3" w:rsidP="00622218">
      <w:pPr>
        <w:pStyle w:val="Paragraphedeliste"/>
        <w:numPr>
          <w:ilvl w:val="0"/>
          <w:numId w:val="61"/>
        </w:numPr>
        <w:autoSpaceDE w:val="0"/>
        <w:autoSpaceDN w:val="0"/>
        <w:adjustRightInd w:val="0"/>
        <w:spacing w:after="0" w:line="240" w:lineRule="auto"/>
        <w:jc w:val="both"/>
        <w:rPr>
          <w:rFonts w:cstheme="minorHAnsi"/>
          <w:color w:val="000000"/>
        </w:rPr>
      </w:pPr>
      <w:r w:rsidRPr="00A0509F">
        <w:rPr>
          <w:rFonts w:cstheme="minorHAnsi"/>
          <w:color w:val="000000"/>
        </w:rPr>
        <w:t>Class 1: EU-Member States, advanced in Ecosystem &amp; Ecosystem Services Assessment &amp; Mapping: UK and Spain</w:t>
      </w:r>
    </w:p>
    <w:p w:rsidR="001C55F3" w:rsidRPr="00A0509F" w:rsidRDefault="001C55F3" w:rsidP="00622218">
      <w:pPr>
        <w:pStyle w:val="Paragraphedeliste"/>
        <w:numPr>
          <w:ilvl w:val="0"/>
          <w:numId w:val="61"/>
        </w:numPr>
        <w:autoSpaceDE w:val="0"/>
        <w:autoSpaceDN w:val="0"/>
        <w:adjustRightInd w:val="0"/>
        <w:spacing w:after="0" w:line="240" w:lineRule="auto"/>
        <w:jc w:val="both"/>
        <w:rPr>
          <w:rFonts w:cstheme="minorHAnsi"/>
          <w:color w:val="000000"/>
        </w:rPr>
      </w:pPr>
      <w:r w:rsidRPr="00A0509F">
        <w:rPr>
          <w:rFonts w:cstheme="minorHAnsi"/>
          <w:color w:val="000000"/>
        </w:rPr>
        <w:t>Class 2: EU-Member States, less advanced: Belgium and Austria</w:t>
      </w:r>
    </w:p>
    <w:p w:rsidR="001C55F3" w:rsidRPr="00DE0F3D" w:rsidRDefault="001C55F3" w:rsidP="00622218">
      <w:pPr>
        <w:pStyle w:val="Paragraphedeliste"/>
        <w:numPr>
          <w:ilvl w:val="0"/>
          <w:numId w:val="61"/>
        </w:numPr>
        <w:autoSpaceDE w:val="0"/>
        <w:autoSpaceDN w:val="0"/>
        <w:adjustRightInd w:val="0"/>
        <w:spacing w:after="0" w:line="240" w:lineRule="auto"/>
        <w:jc w:val="both"/>
        <w:rPr>
          <w:rFonts w:cstheme="minorHAnsi"/>
          <w:color w:val="000000"/>
        </w:rPr>
      </w:pPr>
      <w:r w:rsidRPr="00A0509F">
        <w:rPr>
          <w:rFonts w:cstheme="minorHAnsi"/>
          <w:color w:val="000000"/>
        </w:rPr>
        <w:t>Class3: Countries / regions outside the EU: Switzerland and the Balkan (and specifically Croatia) .</w:t>
      </w:r>
    </w:p>
    <w:p w:rsidR="001C55F3" w:rsidRPr="00A0509F" w:rsidRDefault="001C55F3" w:rsidP="00373CEF">
      <w:pPr>
        <w:autoSpaceDE w:val="0"/>
        <w:autoSpaceDN w:val="0"/>
        <w:adjustRightInd w:val="0"/>
        <w:spacing w:after="0" w:line="240" w:lineRule="auto"/>
        <w:jc w:val="both"/>
        <w:rPr>
          <w:rFonts w:cstheme="minorHAnsi"/>
          <w:color w:val="000000"/>
        </w:rPr>
      </w:pPr>
      <w:r w:rsidRPr="00A0509F">
        <w:rPr>
          <w:rFonts w:cstheme="minorHAnsi"/>
          <w:color w:val="000000"/>
        </w:rPr>
        <w:t>Class 4: In addition, - it was not part of the Call for Tender-, one Marine ecosystem case will be analysed (class 4).</w:t>
      </w:r>
    </w:p>
    <w:p w:rsidR="001C55F3" w:rsidRPr="00A0509F" w:rsidRDefault="001C55F3" w:rsidP="000D77AD">
      <w:pPr>
        <w:pStyle w:val="Titre6"/>
        <w:spacing w:before="0" w:after="0"/>
        <w:rPr>
          <w:rFonts w:asciiTheme="minorHAnsi" w:hAnsiTheme="minorHAnsi"/>
          <w:sz w:val="22"/>
        </w:rPr>
      </w:pPr>
    </w:p>
    <w:p w:rsidR="001C55F3" w:rsidRPr="00A0509F" w:rsidRDefault="001C55F3" w:rsidP="000D77AD">
      <w:pPr>
        <w:pStyle w:val="Titre6"/>
        <w:spacing w:before="0" w:after="0"/>
        <w:rPr>
          <w:rFonts w:asciiTheme="minorHAnsi" w:hAnsiTheme="minorHAnsi" w:cstheme="minorHAnsi"/>
          <w:color w:val="000000"/>
          <w:sz w:val="22"/>
        </w:rPr>
      </w:pPr>
      <w:r w:rsidRPr="00A0509F">
        <w:rPr>
          <w:rFonts w:asciiTheme="minorHAnsi" w:hAnsiTheme="minorHAnsi"/>
          <w:sz w:val="22"/>
        </w:rPr>
        <w:t>COUNTRY CASE 1.1: The UK-NEA: the Wales Regional Case Study</w:t>
      </w:r>
    </w:p>
    <w:p w:rsidR="001C55F3" w:rsidRPr="00280D5B" w:rsidRDefault="001C55F3" w:rsidP="00280D5B">
      <w:pPr>
        <w:spacing w:after="0" w:line="240" w:lineRule="auto"/>
        <w:jc w:val="both"/>
        <w:rPr>
          <w:rFonts w:cstheme="minorHAnsi"/>
          <w:color w:val="000000"/>
        </w:rPr>
      </w:pPr>
      <w:r w:rsidRPr="00A0509F">
        <w:rPr>
          <w:rFonts w:cstheme="minorHAnsi"/>
          <w:color w:val="000000"/>
        </w:rPr>
        <w:t>The United Kingdom National Ecosystem Assessment, which was carried out between mid-2009 and mid-2011 was the first national assessment of ecosystems and their services. It was designed to provide a comprehensive picture of past, present and possible future trends in ecosystem services, the benefits they provide to society, and response options (UK-NEA, 2011).</w:t>
      </w:r>
      <w:r w:rsidRPr="00A0509F">
        <w:t>The UK NEA is meant to help decision-makers make better decisions that impact on the UK’s ecosystems to ensure the long-term sustainable delivery of ecosystem services for the benefit of current and future populations in the UK, thereby addressing the needs set out in Defra’s Action Plan for Embedding an Ecosystems Approach (Defra, 2007).  The UK NEA will also support global and regional obligations such as the Convention on Biological Diversity’s call on countries to conduct such assessments and the European Union Water Framework Directive, which encourages the management of ecosystem services. Parallel to the UK NEA an economic analysis was developed (Bateman et al., 2011).</w:t>
      </w:r>
      <w:r w:rsidRPr="00A0509F">
        <w:rPr>
          <w:rFonts w:cstheme="minorHAnsi"/>
          <w:color w:val="000000"/>
        </w:rPr>
        <w:t xml:space="preserve"> Documents from the UK NEA are available online. </w:t>
      </w:r>
      <w:r w:rsidRPr="00280D5B">
        <w:t xml:space="preserve">The U.K. case examined involved the study of Wales which was carried out as part of a national assessment (UK –NEA). Maps have been created for a broad range of ES (one map illustrates one ES). As basis, the English ecosystem classification system ‘Broad Habitat (Phase 1)’ has been used. This classification is similar to CORINE to a certain extent. The ES selection relied on the MA classification. From there, datasets have been collected from various agencies and assembled in a GIS system. The outcomes of this process are distinct maps for the ES. On the other hand, experts’ qualitative judgments were gathered to qualitatively assess the trends of ecosystems delivery of ES. The main problem encountered by the U.K. in this task was a general financial limitation affecting the research itself and the cooperation with universities, research institutes and NGOs. </w:t>
      </w:r>
    </w:p>
    <w:p w:rsidR="001C55F3" w:rsidRPr="00A0509F" w:rsidRDefault="001C55F3" w:rsidP="000D77AD">
      <w:pPr>
        <w:spacing w:after="0" w:line="240" w:lineRule="auto"/>
        <w:jc w:val="both"/>
        <w:rPr>
          <w:rFonts w:cstheme="minorHAnsi"/>
          <w:color w:val="000000"/>
        </w:rPr>
      </w:pPr>
    </w:p>
    <w:p w:rsidR="001C55F3" w:rsidRPr="00A0509F" w:rsidRDefault="001C55F3" w:rsidP="000D77AD">
      <w:pPr>
        <w:spacing w:after="0"/>
        <w:rPr>
          <w:rFonts w:cstheme="minorHAnsi"/>
          <w:b/>
        </w:rPr>
      </w:pPr>
      <w:r w:rsidRPr="00A0509F">
        <w:rPr>
          <w:b/>
        </w:rPr>
        <w:t xml:space="preserve">COUNTRY CASE 1.2: The Spanish National Ecosystem Assessment, National and Regional: </w:t>
      </w:r>
    </w:p>
    <w:p w:rsidR="001C55F3" w:rsidRDefault="001C55F3" w:rsidP="00736B51">
      <w:pPr>
        <w:shd w:val="clear" w:color="auto" w:fill="FFFFFF"/>
        <w:spacing w:after="150" w:line="240" w:lineRule="auto"/>
        <w:textAlignment w:val="baseline"/>
        <w:rPr>
          <w:rFonts w:eastAsia="Times New Roman" w:cs="Arial"/>
          <w:color w:val="0F0F0F"/>
          <w:lang w:val="en-US" w:eastAsia="es-ES"/>
        </w:rPr>
      </w:pPr>
      <w:r w:rsidRPr="00A0509F">
        <w:rPr>
          <w:rFonts w:eastAsia="Times New Roman" w:cs="Arial"/>
          <w:color w:val="0F0F0F"/>
          <w:lang w:val="en-US" w:eastAsia="es-ES"/>
        </w:rPr>
        <w:t xml:space="preserve">The National Ecosystem Assessment of Spain (EME), sponsored by the Biodiversity Foundation of the Ministry of Agriculture, Food and Environment, began in 2009, completed its biophysical evaluation (first phase) in 2012 and starts a new phase up to 2014 with the purpose to develop an economic valuation. The biophysical evaluation has been developed following the International Millennium Ecosystem Assessment (MA).The research framework is intended to bring down barriers and build bridges between social and biophysical sciences, as well as between researchers and decision-makers, to build adaptive capacities in the face of current global change. In EME it is consider that the current economic model has ignored the close links between nature and society is one of the main reasons explaining the degradation of Spanish ecosystems and biodiversity. The assessment has been developed at different scales, i.e. national, sub-national (i.e. the regions of Andalusia and Biscay), fourteen ecosystems, and four case studies at local level. Parallel to the qualitative evaluation of ecosystems trends, EME also developed a geographic analysis of quantitative data on </w:t>
      </w:r>
      <w:r w:rsidRPr="00A0509F">
        <w:rPr>
          <w:rFonts w:eastAsia="Times New Roman" w:cs="Arial"/>
          <w:color w:val="0F0F0F"/>
          <w:lang w:val="en-US" w:eastAsia="es-ES"/>
        </w:rPr>
        <w:lastRenderedPageBreak/>
        <w:t xml:space="preserve">ecosystem services using existing data (JRC, 2011) and geographic explicit information on biodiversity, natural protected areas, land use change and socioeconomic variables. </w:t>
      </w:r>
    </w:p>
    <w:p w:rsidR="001C55F3" w:rsidRPr="00DE0F3D" w:rsidRDefault="001C55F3" w:rsidP="001C55F3">
      <w:pPr>
        <w:spacing w:after="0" w:line="240" w:lineRule="auto"/>
        <w:jc w:val="both"/>
      </w:pPr>
      <w:r w:rsidRPr="00280D5B">
        <w:t xml:space="preserve">The national assessment has already produced a spatial ES assessment and is currently being complemented by an economic valuation (on-going). Spatial data was gathered from several research institutes, universities, stakeholders, etc., in order to create maps. </w:t>
      </w:r>
      <w:r w:rsidRPr="00280D5B">
        <w:rPr>
          <w:rFonts w:eastAsia="Times New Roman" w:cs="Arial"/>
          <w:color w:val="0F0F0F"/>
          <w:lang w:eastAsia="es-ES"/>
        </w:rPr>
        <w:t xml:space="preserve">The research framework was intended to bring down barriers and build bridges between social and biophysical sciences, as well as between researchers and decision-makers, to build adaptive capacities in the face of current global change. </w:t>
      </w:r>
      <w:r w:rsidRPr="00280D5B">
        <w:t>A zoom-in from European-scale maps and data of the JRC has been carried out for an assessment on the national level. The ecosystem typology used was the one suggested by the EEA while the ES classification referred to the CICES classification. The EEA ecosystem typology was thought to be more adapted to northern countries and less applicable for Spain. Several local studies have also been established using the same approach as the national one. While the aim of the work was mainly to check the relevance of EU maps for a national level, the study highlighted that this was the case for certain ES only.</w:t>
      </w:r>
    </w:p>
    <w:p w:rsidR="001C55F3" w:rsidRPr="00A0509F" w:rsidRDefault="001C55F3" w:rsidP="0043288F">
      <w:pPr>
        <w:pStyle w:val="Titre6"/>
        <w:rPr>
          <w:rFonts w:asciiTheme="minorHAnsi" w:hAnsiTheme="minorHAnsi"/>
          <w:sz w:val="22"/>
        </w:rPr>
      </w:pPr>
      <w:r w:rsidRPr="00A0509F">
        <w:rPr>
          <w:rFonts w:asciiTheme="minorHAnsi" w:hAnsiTheme="minorHAnsi"/>
          <w:sz w:val="22"/>
        </w:rPr>
        <w:t xml:space="preserve">COUNTRY CASE 2.1: Belgium: a series of methodological and sub-national cases: </w:t>
      </w:r>
    </w:p>
    <w:p w:rsidR="001C55F3" w:rsidRPr="00280D5B" w:rsidRDefault="001C55F3" w:rsidP="00280D5B">
      <w:pPr>
        <w:pStyle w:val="Titre3"/>
        <w:spacing w:before="0" w:after="0"/>
        <w:rPr>
          <w:rFonts w:asciiTheme="minorHAnsi" w:hAnsiTheme="minorHAnsi"/>
          <w:sz w:val="22"/>
          <w:szCs w:val="22"/>
        </w:rPr>
      </w:pPr>
      <w:bookmarkStart w:id="11" w:name="_Toc357018604"/>
      <w:bookmarkStart w:id="12" w:name="_Toc358300087"/>
      <w:r w:rsidRPr="00280D5B">
        <w:rPr>
          <w:rFonts w:asciiTheme="minorHAnsi" w:hAnsiTheme="minorHAnsi"/>
          <w:sz w:val="22"/>
          <w:szCs w:val="22"/>
        </w:rPr>
        <w:t>Policy context</w:t>
      </w:r>
      <w:bookmarkEnd w:id="11"/>
      <w:bookmarkEnd w:id="12"/>
    </w:p>
    <w:p w:rsidR="001C55F3" w:rsidRPr="00280D5B" w:rsidRDefault="001C55F3" w:rsidP="00280D5B">
      <w:pPr>
        <w:spacing w:after="0" w:line="240" w:lineRule="auto"/>
        <w:jc w:val="both"/>
      </w:pPr>
      <w:r w:rsidRPr="00280D5B">
        <w:t xml:space="preserve">In Belgium, the environmental policy is separated between the regions Wallonia and Flanders. Consequently, most initiatives towards Action 5 Target 2 of the Biodiversity Strategy have been taken at the regional level. For this reason, separate Factsheets were established for the regions of Flanders and Wallonia. Recently, a national initiative ‘Belgium Ecosystem Services’ (BEES) has been carried out. This work provides a state-of-the-art of the existing environmental, methodological and economic issues in order to highlight research priorities for a future implementation of ES policies within the country. The outcome of the project is a book and will soon be published. </w:t>
      </w:r>
    </w:p>
    <w:p w:rsidR="001C55F3" w:rsidRPr="00280D5B" w:rsidRDefault="001C55F3" w:rsidP="00280D5B">
      <w:pPr>
        <w:spacing w:after="0" w:line="240" w:lineRule="auto"/>
        <w:jc w:val="both"/>
      </w:pPr>
      <w:r w:rsidRPr="00280D5B">
        <w:t xml:space="preserve">The other initiatives in terms of ES have been accomplished at the regional level. As regions communicate with each other about their work, some similarities exist between the studies although they are being implemented differently. For instance, both regions work on an ES assessment and mapping project based on Burkhard </w:t>
      </w:r>
      <w:r w:rsidRPr="00280D5B">
        <w:rPr>
          <w:i/>
        </w:rPr>
        <w:t>et al.</w:t>
      </w:r>
      <w:r w:rsidRPr="00280D5B">
        <w:t xml:space="preserve"> (2009), but both assessments present discrepancies in their approaches. From the information reported, it seems like more effort and capital is being invested in Flanders than in Wallonia towards the implementation of Action 5 Target 2. While Wallonia has reported only one ES assessment, Flanders has presented two assessments under two Factsheets, and has even mentioned a third study to be carried out in future work.</w:t>
      </w:r>
    </w:p>
    <w:p w:rsidR="001C55F3" w:rsidRPr="00280D5B" w:rsidRDefault="001C55F3" w:rsidP="00280D5B">
      <w:pPr>
        <w:pStyle w:val="Titre3"/>
        <w:spacing w:before="0" w:after="0"/>
        <w:rPr>
          <w:rFonts w:asciiTheme="minorHAnsi" w:hAnsiTheme="minorHAnsi"/>
          <w:sz w:val="22"/>
          <w:szCs w:val="22"/>
        </w:rPr>
      </w:pPr>
      <w:bookmarkStart w:id="13" w:name="_Toc357018605"/>
      <w:bookmarkStart w:id="14" w:name="_Toc358300088"/>
      <w:r w:rsidRPr="00280D5B">
        <w:rPr>
          <w:rFonts w:asciiTheme="minorHAnsi" w:hAnsiTheme="minorHAnsi"/>
          <w:sz w:val="22"/>
          <w:szCs w:val="22"/>
        </w:rPr>
        <w:t>ES assessment and mapping</w:t>
      </w:r>
      <w:bookmarkEnd w:id="13"/>
      <w:bookmarkEnd w:id="14"/>
    </w:p>
    <w:p w:rsidR="001C55F3" w:rsidRPr="00280D5B" w:rsidRDefault="001C55F3" w:rsidP="00280D5B">
      <w:pPr>
        <w:spacing w:after="0" w:line="240" w:lineRule="auto"/>
        <w:jc w:val="both"/>
        <w:rPr>
          <w:b/>
          <w:i/>
        </w:rPr>
      </w:pPr>
      <w:r w:rsidRPr="00280D5B">
        <w:rPr>
          <w:b/>
          <w:i/>
        </w:rPr>
        <w:t>Flanders</w:t>
      </w:r>
    </w:p>
    <w:p w:rsidR="001C55F3" w:rsidRPr="00280D5B" w:rsidRDefault="001C55F3" w:rsidP="00280D5B">
      <w:pPr>
        <w:spacing w:after="0" w:line="240" w:lineRule="auto"/>
        <w:jc w:val="both"/>
      </w:pPr>
      <w:r w:rsidRPr="00280D5B">
        <w:t>Flanders has reported two main studies assessing and mapping ES in the region. The first has recently been finalized while the second one is still in progress. The two studies are referred to as ‘Flanders I’ and ‘Flanders II’.</w:t>
      </w:r>
      <w:r w:rsidRPr="00280D5B">
        <w:rPr>
          <w:b/>
        </w:rPr>
        <w:t xml:space="preserve">The first study (Flanders I) </w:t>
      </w:r>
      <w:r w:rsidRPr="00280D5B">
        <w:t xml:space="preserve">consists of separated ES assessments and mapping with a focus on Natura 2000 sites. The list of ES considered is adapted from the TEEB study and Jacobs </w:t>
      </w:r>
      <w:r w:rsidRPr="00280D5B">
        <w:rPr>
          <w:i/>
        </w:rPr>
        <w:t>et al.</w:t>
      </w:r>
      <w:r w:rsidRPr="00280D5B">
        <w:t>. (2010) according to relevance with Natura 2000 sites of Flanders. For each ES, three tasks were applied:</w:t>
      </w:r>
    </w:p>
    <w:p w:rsidR="001C55F3" w:rsidRPr="00DE0F3D" w:rsidRDefault="001C55F3" w:rsidP="00622218">
      <w:pPr>
        <w:pStyle w:val="Paragraphedeliste"/>
        <w:numPr>
          <w:ilvl w:val="0"/>
          <w:numId w:val="70"/>
        </w:numPr>
        <w:autoSpaceDE w:val="0"/>
        <w:autoSpaceDN w:val="0"/>
        <w:adjustRightInd w:val="0"/>
        <w:spacing w:after="0" w:line="240" w:lineRule="auto"/>
        <w:ind w:left="567" w:hanging="567"/>
        <w:jc w:val="both"/>
        <w:rPr>
          <w:rFonts w:cs="Times New Roman"/>
          <w:b/>
          <w:lang w:val="en-US"/>
        </w:rPr>
      </w:pPr>
      <w:r w:rsidRPr="00280D5B">
        <w:rPr>
          <w:rFonts w:cs="Times New Roman"/>
          <w:b/>
          <w:lang w:val="en-US"/>
        </w:rPr>
        <w:t xml:space="preserve">Identification. </w:t>
      </w:r>
      <w:r w:rsidRPr="00280D5B">
        <w:rPr>
          <w:rFonts w:cs="Times New Roman"/>
          <w:lang w:val="en-US"/>
        </w:rPr>
        <w:t>In this step, the importance of the ES in a certain location is assessed qualitatively and then mapped. Because including the mapping task, this step is described in more details than the other steps. First, a list of suitability factors is established for each ES (Table 1). The data of each factor is gathered from various sources such as statistical databases, physical models, numerical models, empirical research, etc. Those factors include the three aspects of land cover, physical characteristics and social demand of the land. Qualitative scores (1-10) are attributed according to the suitability of the factor combination to deliver the ES considered. Those scores are then represented on a map.</w:t>
      </w:r>
    </w:p>
    <w:p w:rsidR="001C55F3" w:rsidRPr="00280D5B" w:rsidRDefault="001C55F3" w:rsidP="00622218">
      <w:pPr>
        <w:pStyle w:val="Paragraphedeliste"/>
        <w:numPr>
          <w:ilvl w:val="0"/>
          <w:numId w:val="70"/>
        </w:numPr>
        <w:autoSpaceDE w:val="0"/>
        <w:autoSpaceDN w:val="0"/>
        <w:adjustRightInd w:val="0"/>
        <w:spacing w:after="0" w:line="240" w:lineRule="auto"/>
        <w:ind w:left="567" w:hanging="567"/>
        <w:jc w:val="both"/>
        <w:rPr>
          <w:rFonts w:cs="Times New Roman"/>
          <w:b/>
          <w:lang w:val="en-US"/>
        </w:rPr>
      </w:pPr>
      <w:r w:rsidRPr="00280D5B">
        <w:rPr>
          <w:rFonts w:cs="Times New Roman"/>
          <w:b/>
          <w:lang w:val="en-US"/>
        </w:rPr>
        <w:t xml:space="preserve">Quantification. </w:t>
      </w:r>
      <w:r w:rsidRPr="00280D5B">
        <w:rPr>
          <w:rFonts w:cs="Times New Roman"/>
          <w:lang w:val="en-US"/>
        </w:rPr>
        <w:t xml:space="preserve">This stage evaluates the amplitude of the ES by collecting quantitative data and using quantitative functions. </w:t>
      </w:r>
    </w:p>
    <w:p w:rsidR="001C55F3" w:rsidRPr="00280D5B" w:rsidRDefault="001C55F3" w:rsidP="00622218">
      <w:pPr>
        <w:pStyle w:val="Paragraphedeliste"/>
        <w:numPr>
          <w:ilvl w:val="0"/>
          <w:numId w:val="70"/>
        </w:numPr>
        <w:autoSpaceDE w:val="0"/>
        <w:autoSpaceDN w:val="0"/>
        <w:adjustRightInd w:val="0"/>
        <w:spacing w:after="0" w:line="240" w:lineRule="auto"/>
        <w:ind w:left="567" w:hanging="567"/>
        <w:jc w:val="both"/>
        <w:rPr>
          <w:rFonts w:cs="Times New Roman"/>
          <w:b/>
          <w:lang w:val="en-US"/>
        </w:rPr>
      </w:pPr>
      <w:r w:rsidRPr="00280D5B">
        <w:rPr>
          <w:rFonts w:cs="Times New Roman"/>
          <w:b/>
          <w:lang w:val="en-US"/>
        </w:rPr>
        <w:lastRenderedPageBreak/>
        <w:t>Monetary valuation</w:t>
      </w:r>
      <w:r w:rsidRPr="00280D5B">
        <w:rPr>
          <w:rFonts w:cs="Times New Roman"/>
          <w:lang w:val="en-US"/>
        </w:rPr>
        <w:t>. Based on the quantitative data available for the ES, a monetary value is attributed with a high and a low estimate. Several approaches are utilized such as the market prices, the consumer preference, the marginal damage costs or the marginal reduction costs.</w:t>
      </w:r>
    </w:p>
    <w:p w:rsidR="001C55F3" w:rsidRPr="00280D5B" w:rsidRDefault="001C55F3" w:rsidP="00280D5B">
      <w:pPr>
        <w:autoSpaceDE w:val="0"/>
        <w:autoSpaceDN w:val="0"/>
        <w:adjustRightInd w:val="0"/>
        <w:spacing w:after="0" w:line="240" w:lineRule="auto"/>
        <w:jc w:val="both"/>
      </w:pPr>
      <w:r w:rsidRPr="00280D5B">
        <w:t>Because of a lack of data, not all steps are applied to each ES. The data availability decreases from the identification step to the monetary valuation. Therefore, more ES are assessed qualitatively than in monetary terms. The identification and quantification are applied to the whole territory of Flanders while the monetary evaluation is restricted to Natura 2000 sites. The monetary valuation will not be discussed in this report as it is considered as a later step in the ES valuation process.</w:t>
      </w:r>
    </w:p>
    <w:p w:rsidR="001C55F3" w:rsidRPr="00280D5B" w:rsidRDefault="001C55F3" w:rsidP="00280D5B">
      <w:pPr>
        <w:autoSpaceDE w:val="0"/>
        <w:autoSpaceDN w:val="0"/>
        <w:adjustRightInd w:val="0"/>
        <w:spacing w:after="0" w:line="240" w:lineRule="auto"/>
        <w:jc w:val="both"/>
      </w:pPr>
    </w:p>
    <w:p w:rsidR="001C55F3" w:rsidRPr="00280D5B" w:rsidRDefault="001C55F3" w:rsidP="00280D5B">
      <w:pPr>
        <w:autoSpaceDE w:val="0"/>
        <w:autoSpaceDN w:val="0"/>
        <w:adjustRightInd w:val="0"/>
        <w:spacing w:after="0" w:line="240" w:lineRule="auto"/>
        <w:jc w:val="both"/>
      </w:pPr>
      <w:r w:rsidRPr="00280D5B">
        <w:rPr>
          <w:b/>
        </w:rPr>
        <w:t>The second study (Flanders II)</w:t>
      </w:r>
      <w:r w:rsidRPr="00280D5B">
        <w:t xml:space="preserve"> reported in the Factsheets represents an overall qualitative assessment of ES in Flanders. The choice of ecosystems studied is based on the land use map for Flanders (Van Esch</w:t>
      </w:r>
      <w:r w:rsidRPr="00280D5B">
        <w:rPr>
          <w:i/>
        </w:rPr>
        <w:t>et al.</w:t>
      </w:r>
      <w:r w:rsidRPr="00280D5B">
        <w:t xml:space="preserve"> 2011) with some minor adjustments to fit the requirements of the survey. This approach is inspired from Burkhard </w:t>
      </w:r>
      <w:r w:rsidRPr="00280D5B">
        <w:rPr>
          <w:i/>
        </w:rPr>
        <w:t>et al.</w:t>
      </w:r>
      <w:r w:rsidRPr="00280D5B">
        <w:t xml:space="preserve"> (2009) and is very similar to the one of Wallonia. Because the report of the study is available for the Walloon case and not for the Flemish one, the method is described in further detailed in the following sub-section dealing with Wallonia. </w:t>
      </w:r>
    </w:p>
    <w:p w:rsidR="001C55F3" w:rsidRPr="00ED7937" w:rsidRDefault="001C55F3" w:rsidP="00ED7937">
      <w:pPr>
        <w:autoSpaceDE w:val="0"/>
        <w:autoSpaceDN w:val="0"/>
        <w:adjustRightInd w:val="0"/>
        <w:spacing w:after="0"/>
        <w:ind w:left="709"/>
        <w:jc w:val="both"/>
        <w:rPr>
          <w:highlight w:val="yellow"/>
        </w:rPr>
      </w:pPr>
    </w:p>
    <w:p w:rsidR="001C55F3" w:rsidRPr="00280D5B" w:rsidRDefault="001C55F3" w:rsidP="00280D5B">
      <w:pPr>
        <w:autoSpaceDE w:val="0"/>
        <w:autoSpaceDN w:val="0"/>
        <w:adjustRightInd w:val="0"/>
        <w:spacing w:after="0" w:line="240" w:lineRule="auto"/>
        <w:jc w:val="both"/>
        <w:rPr>
          <w:b/>
          <w:i/>
        </w:rPr>
      </w:pPr>
      <w:r w:rsidRPr="00280D5B">
        <w:rPr>
          <w:b/>
          <w:i/>
        </w:rPr>
        <w:t>Wallonia</w:t>
      </w:r>
    </w:p>
    <w:p w:rsidR="001C55F3" w:rsidRPr="00280D5B" w:rsidRDefault="001C55F3" w:rsidP="00280D5B">
      <w:pPr>
        <w:tabs>
          <w:tab w:val="left" w:pos="142"/>
        </w:tabs>
        <w:autoSpaceDE w:val="0"/>
        <w:autoSpaceDN w:val="0"/>
        <w:adjustRightInd w:val="0"/>
        <w:spacing w:after="0" w:line="240" w:lineRule="auto"/>
        <w:jc w:val="both"/>
      </w:pPr>
      <w:r w:rsidRPr="00280D5B">
        <w:t xml:space="preserve">One study was reported by Wallonia within which two distinct tasks are achieved. On the one hand, an assessment and mapping of ES in Wallonia is carried out based on the method of Burkhard </w:t>
      </w:r>
      <w:r w:rsidRPr="00280D5B">
        <w:rPr>
          <w:i/>
        </w:rPr>
        <w:t>et al.</w:t>
      </w:r>
      <w:r w:rsidRPr="00280D5B">
        <w:t xml:space="preserve"> (2009). On the other hand, a monetary valuation of forest ES in Wallonia was accomplished. </w:t>
      </w:r>
    </w:p>
    <w:p w:rsidR="001C55F3" w:rsidRPr="00280D5B" w:rsidRDefault="001C55F3" w:rsidP="00280D5B">
      <w:pPr>
        <w:tabs>
          <w:tab w:val="left" w:pos="142"/>
        </w:tabs>
        <w:autoSpaceDE w:val="0"/>
        <w:autoSpaceDN w:val="0"/>
        <w:adjustRightInd w:val="0"/>
        <w:spacing w:after="0" w:line="240" w:lineRule="auto"/>
        <w:jc w:val="both"/>
      </w:pPr>
    </w:p>
    <w:p w:rsidR="001C55F3" w:rsidRPr="00280D5B" w:rsidRDefault="001C55F3" w:rsidP="00280D5B">
      <w:pPr>
        <w:tabs>
          <w:tab w:val="left" w:pos="142"/>
        </w:tabs>
        <w:autoSpaceDE w:val="0"/>
        <w:autoSpaceDN w:val="0"/>
        <w:adjustRightInd w:val="0"/>
        <w:spacing w:after="0" w:line="240" w:lineRule="auto"/>
        <w:jc w:val="both"/>
      </w:pPr>
      <w:r w:rsidRPr="00280D5B">
        <w:t xml:space="preserve">The assessment and mapping task relies on the technique suggested by Burkhard </w:t>
      </w:r>
      <w:r w:rsidRPr="00280D5B">
        <w:rPr>
          <w:i/>
        </w:rPr>
        <w:t>et al.</w:t>
      </w:r>
      <w:r w:rsidRPr="00280D5B">
        <w:t xml:space="preserve"> (2009). The approach is thus the same as for Flanders II, with some minor discrepancies which are discussed in section 4.1. A matrix is built linking land cover types to ES (Figure 3). Each cell of the matrix is attributed a score (0-5) by a consortium of experts. The score illustrates the land cover type’s ability to deliver such ES with 0 showing the lowest capacity and 5 the highest. The average of the scores are then calculated for each land cover type and further applied to the land cover map of Wallonia (Figure 4). The averages were calculated per ES type (provisioning, regulating and cultural) resulting in one map for each category. As an extra component from the Flanders’ work, Wallonia also includes a summarizing map including the three types of ES. This was done by keeping the importance of each ES category.</w:t>
      </w:r>
    </w:p>
    <w:p w:rsidR="001C55F3" w:rsidRPr="00280D5B" w:rsidRDefault="001C55F3" w:rsidP="00280D5B">
      <w:pPr>
        <w:tabs>
          <w:tab w:val="left" w:pos="142"/>
        </w:tabs>
        <w:autoSpaceDE w:val="0"/>
        <w:autoSpaceDN w:val="0"/>
        <w:adjustRightInd w:val="0"/>
        <w:spacing w:after="0" w:line="240" w:lineRule="auto"/>
        <w:jc w:val="both"/>
      </w:pPr>
    </w:p>
    <w:p w:rsidR="001C55F3" w:rsidRDefault="001C55F3" w:rsidP="00280D5B">
      <w:pPr>
        <w:tabs>
          <w:tab w:val="left" w:pos="142"/>
        </w:tabs>
        <w:autoSpaceDE w:val="0"/>
        <w:autoSpaceDN w:val="0"/>
        <w:adjustRightInd w:val="0"/>
        <w:spacing w:after="0" w:line="240" w:lineRule="auto"/>
        <w:jc w:val="both"/>
      </w:pPr>
      <w:r w:rsidRPr="00280D5B">
        <w:t>Regarding the ES forest monetary valuation, the assessment is based on biophysical values. As a result, a value in monetary terms is provided for Walloon forests with a distinction between the stock and the flux. This approach being focused on the monetary valuation is considered as a later step of the assessment and is therefore not be discussed in the present report.</w:t>
      </w:r>
    </w:p>
    <w:p w:rsidR="001C55F3" w:rsidRDefault="001C55F3" w:rsidP="00280D5B">
      <w:pPr>
        <w:pStyle w:val="Titre3"/>
        <w:keepLines/>
        <w:tabs>
          <w:tab w:val="clear" w:pos="720"/>
        </w:tabs>
        <w:spacing w:before="0" w:after="0"/>
        <w:ind w:left="0" w:firstLine="0"/>
        <w:jc w:val="left"/>
        <w:rPr>
          <w:rFonts w:asciiTheme="minorHAnsi" w:hAnsiTheme="minorHAnsi"/>
          <w:sz w:val="22"/>
          <w:szCs w:val="22"/>
        </w:rPr>
      </w:pPr>
      <w:bookmarkStart w:id="15" w:name="_Toc357018606"/>
      <w:bookmarkStart w:id="16" w:name="_Toc358300089"/>
    </w:p>
    <w:p w:rsidR="001C55F3" w:rsidRPr="00280D5B" w:rsidRDefault="001C55F3" w:rsidP="00280D5B">
      <w:pPr>
        <w:pStyle w:val="Titre3"/>
        <w:keepLines/>
        <w:tabs>
          <w:tab w:val="clear" w:pos="720"/>
        </w:tabs>
        <w:spacing w:before="0" w:after="0"/>
        <w:ind w:left="0" w:firstLine="0"/>
        <w:jc w:val="left"/>
        <w:rPr>
          <w:rFonts w:asciiTheme="minorHAnsi" w:hAnsiTheme="minorHAnsi"/>
          <w:sz w:val="22"/>
          <w:szCs w:val="22"/>
        </w:rPr>
      </w:pPr>
      <w:r w:rsidRPr="00280D5B">
        <w:rPr>
          <w:rFonts w:asciiTheme="minorHAnsi" w:hAnsiTheme="minorHAnsi"/>
          <w:sz w:val="22"/>
          <w:szCs w:val="22"/>
        </w:rPr>
        <w:t>The mapping technologies</w:t>
      </w:r>
      <w:bookmarkEnd w:id="15"/>
      <w:bookmarkEnd w:id="16"/>
    </w:p>
    <w:p w:rsidR="001C55F3" w:rsidRPr="00280D5B" w:rsidRDefault="001C55F3" w:rsidP="00280D5B">
      <w:pPr>
        <w:spacing w:after="0" w:line="240" w:lineRule="auto"/>
        <w:jc w:val="both"/>
      </w:pPr>
      <w:r w:rsidRPr="00280D5B">
        <w:t>Flanders I relied on several base maps depending on the ES assessed. Some are mapped on a land cover map, others on forest maps or soil maps. Flanders II and Wallonia are both based on land cover maps which are however different. The Flemish map is a raster map illustrating 27 land use classes, while the Walloon one is vectorial and illustrated 26 land use classes. All three studies have relied on ArcGIS, although Flanders I relied on a older version.</w:t>
      </w:r>
    </w:p>
    <w:p w:rsidR="001C55F3" w:rsidRPr="00A0509F" w:rsidRDefault="001C55F3" w:rsidP="000D77AD">
      <w:pPr>
        <w:pStyle w:val="Titre6"/>
        <w:rPr>
          <w:rFonts w:asciiTheme="minorHAnsi" w:hAnsiTheme="minorHAnsi"/>
          <w:sz w:val="22"/>
        </w:rPr>
      </w:pPr>
      <w:r w:rsidRPr="00A0509F">
        <w:rPr>
          <w:rFonts w:asciiTheme="minorHAnsi" w:hAnsiTheme="minorHAnsi"/>
          <w:sz w:val="22"/>
        </w:rPr>
        <w:t xml:space="preserve">COUNTRY CASE 2.2: Austria : regional cases; </w:t>
      </w:r>
      <w:r w:rsidRPr="00A0509F">
        <w:rPr>
          <w:rFonts w:asciiTheme="minorHAnsi" w:hAnsiTheme="minorHAnsi" w:cstheme="minorHAnsi"/>
          <w:color w:val="000000"/>
          <w:sz w:val="22"/>
        </w:rPr>
        <w:t>(MUFLAN).</w:t>
      </w:r>
    </w:p>
    <w:p w:rsidR="001C55F3" w:rsidRDefault="001C55F3" w:rsidP="009E712E">
      <w:pPr>
        <w:autoSpaceDE w:val="0"/>
        <w:autoSpaceDN w:val="0"/>
        <w:adjustRightInd w:val="0"/>
        <w:spacing w:after="0" w:line="240" w:lineRule="auto"/>
        <w:jc w:val="both"/>
      </w:pPr>
      <w:r w:rsidRPr="00A0509F">
        <w:t>EAA i</w:t>
      </w:r>
      <w:r w:rsidRPr="00A0509F">
        <w:rPr>
          <w:rFonts w:cstheme="minorHAnsi"/>
          <w:color w:val="000000"/>
        </w:rPr>
        <w:t xml:space="preserve">n Austria developed ESS mapping experience in the context of the development of regional action programmes for multi-functional, ecologically optimised uses of landscapes and environmental resources </w:t>
      </w:r>
      <w:r w:rsidRPr="00A0509F">
        <w:rPr>
          <w:rFonts w:cstheme="minorHAnsi"/>
        </w:rPr>
        <w:t xml:space="preserve">Within the trigger project MuFLan a map of different ecosystem services is developed as a basic tool for future oriented regional planning, evaluation of scenarios related to landscape change and decision making. For selected regions in Austria these ecosystem functions were mapped by use of available data at regional level (e.g. land cover, terrain model, touristic </w:t>
      </w:r>
      <w:r w:rsidRPr="00A0509F">
        <w:rPr>
          <w:rFonts w:cstheme="minorHAnsi"/>
        </w:rPr>
        <w:lastRenderedPageBreak/>
        <w:t xml:space="preserve">infrastructure) and regionalised environmental statistics (e.g. soil erosion capacity, precipitation, flooding areas, etc.). An area-covering map for 15 services was produced with a spatial resolution of 1 ha. Results were translated into a relative scale showing the importance of the ecosystem service for each analysed cell based on the regional variation. </w:t>
      </w:r>
      <w:r w:rsidRPr="00A0509F">
        <w:t>In addition a national inventory of ecosystem services for the agricultural sector in Austria was developed. The inventory is based on the methodology developed by the Swiss Federal Office for Environment. Indicators were taken from the Swiss inventory and complemented by agriculture-related indicators. The availability of Austrian data for these indicators was checked accordingly.</w:t>
      </w:r>
      <w:r w:rsidRPr="009E712E">
        <w:rPr>
          <w:rFonts w:cstheme="minorHAnsi"/>
        </w:rPr>
        <w:t xml:space="preserve">The ES classification used was based on de Groot </w:t>
      </w:r>
      <w:r w:rsidRPr="009E712E">
        <w:rPr>
          <w:rFonts w:cstheme="minorHAnsi"/>
          <w:i/>
        </w:rPr>
        <w:t>et al.</w:t>
      </w:r>
      <w:r w:rsidRPr="009E712E">
        <w:rPr>
          <w:rFonts w:cstheme="minorHAnsi"/>
        </w:rPr>
        <w:t xml:space="preserve"> (2002, 2006). The assessment methodology was inspired by</w:t>
      </w:r>
      <w:r w:rsidRPr="009E712E">
        <w:t xml:space="preserve"> Burkhard </w:t>
      </w:r>
      <w:r w:rsidRPr="009E712E">
        <w:rPr>
          <w:i/>
        </w:rPr>
        <w:t>et al.</w:t>
      </w:r>
      <w:r w:rsidRPr="009E712E">
        <w:t xml:space="preserve">. (2009), Wagner </w:t>
      </w:r>
      <w:r w:rsidRPr="009E712E">
        <w:rPr>
          <w:i/>
        </w:rPr>
        <w:t>et al.</w:t>
      </w:r>
      <w:r w:rsidRPr="009E712E">
        <w:t>. (2009).In a first step, indicators were quantified by means of data, maps, statistics and decision matrices. Then, indicators are combined using rule based decision matrices or maximum functions. From these aggregated indicators, experts provide a 0-5 score for each ES. The outcome is a multifunctional map showing the average of the ES scores per 1 ha grid cell. The results thus illustrates ES capacity rather than actual ES stocks. A main barrier to the study has been the data accessibility from the policy side and the data (dis-) aggregation to reach a scale of 1 ha.</w:t>
      </w:r>
    </w:p>
    <w:p w:rsidR="001C55F3" w:rsidRPr="00A0509F" w:rsidRDefault="001C55F3" w:rsidP="007A2D05">
      <w:pPr>
        <w:pStyle w:val="Titre6"/>
        <w:rPr>
          <w:rFonts w:asciiTheme="minorHAnsi" w:hAnsiTheme="minorHAnsi"/>
          <w:sz w:val="22"/>
        </w:rPr>
      </w:pPr>
      <w:r w:rsidRPr="00A0509F">
        <w:rPr>
          <w:rFonts w:asciiTheme="minorHAnsi" w:hAnsiTheme="minorHAnsi"/>
          <w:sz w:val="22"/>
        </w:rPr>
        <w:t xml:space="preserve">COUNTRY CASE 3.1: Switzerland Global, regional, and local cases; </w:t>
      </w:r>
    </w:p>
    <w:p w:rsidR="001C55F3" w:rsidRPr="00DE0F3D" w:rsidRDefault="001C55F3" w:rsidP="002102BC">
      <w:pPr>
        <w:autoSpaceDE w:val="0"/>
        <w:autoSpaceDN w:val="0"/>
        <w:adjustRightInd w:val="0"/>
        <w:spacing w:after="0" w:line="240" w:lineRule="auto"/>
        <w:contextualSpacing/>
        <w:jc w:val="both"/>
      </w:pPr>
      <w:r w:rsidRPr="00A0509F">
        <w:rPr>
          <w:rFonts w:cstheme="minorHAnsi"/>
          <w:color w:val="000000"/>
        </w:rPr>
        <w:t>At the global scale the use of look-up tables linking ecosystem properties and the capacity to deliver ESS were investigated and applied to a global land characteristics raster dataset in 1-km resolution (Grêt-Regamey et al., 2012a). Both the choice of the land characteristics and the look-up tables were obtained from literature on ESS at the European scale and by expert knowledge. At the regional scale, multiple GIS-based process models were developed to quantify and value ESS in different projects, including planning desert cities (Grêt-Regamey et al., 2012c), land-use development in urbanized areas in Switzerland (Altwegg and Grêt-Regamey, 2011), and land-use management in Swiss alpine region under climate and socio-economic changes for securing terrestrial ESS (Grêt-Regamey et al., 1998), and hydrological ESS (Grêt-Regamey et al., 2011). While cultural ecosystem services are often omitted in mapping ESS (Daniel et al., 2012), the use of GIS-based 3D visualizations was investigated in MCDA using interactive procedural modelling (Grêt-Regamey et al., 2012c, Grêt-Regamey and Wissen Hayek, 2012).  At the local scale, a spatially explicit risk approach linked Bayesian networks to a GIS for forecasting the value of a bundle of ecosystem services and mapping the uncertainties related to the outcomes (Grêt-Regamey et al, 2012c). The results suggested that not only the total value of the bundle of ecosystem services is highly dependent on uncertainties, but the spatial pattern of the ecosystem services values changes substantially when considering uncertainties.</w:t>
      </w:r>
      <w:r w:rsidRPr="00A0509F">
        <w:rPr>
          <w:rFonts w:cstheme="minorHAnsi"/>
          <w:iCs/>
        </w:rPr>
        <w:t xml:space="preserve">While this thorough mapping ESS experience allowed a first insight into strengths and weaknesses of different approaches at different scales, we conducted a review on the various methods used to assess mountain ESS (Grêt-Regamey et al., 2012a). </w:t>
      </w:r>
      <w:r w:rsidRPr="00A0509F">
        <w:rPr>
          <w:rFonts w:cstheme="minorHAnsi"/>
          <w:color w:val="000000"/>
        </w:rPr>
        <w:t xml:space="preserve">In order to facilitate comparison, evaluation and synthesis of the various ESS assessments, we thus proposed a blueprint for reporting studies in a structured way (Seppet et al., 2011). </w:t>
      </w:r>
      <w:r w:rsidRPr="00A0509F">
        <w:t>In addition a national inventory of 23 indicators for assessing ecosystem services was developed for Switzerland (Staub und Ott, 2011). The indicators identify measureable “flow” units (i.e. unit per year) for assessing ecosystem services changes over time. It is currently being modified for the natural capital TEEB project for Germany (Naturkapital – TEEB DE, 2012) and applied for mapping ESS at the national scale.</w:t>
      </w:r>
    </w:p>
    <w:p w:rsidR="001C55F3" w:rsidRPr="00A0509F" w:rsidRDefault="001C55F3" w:rsidP="0043288F">
      <w:pPr>
        <w:pStyle w:val="Titre6"/>
        <w:tabs>
          <w:tab w:val="clear" w:pos="1152"/>
        </w:tabs>
        <w:ind w:left="0" w:firstLine="0"/>
        <w:rPr>
          <w:rFonts w:asciiTheme="minorHAnsi" w:hAnsiTheme="minorHAnsi"/>
          <w:sz w:val="22"/>
        </w:rPr>
      </w:pPr>
      <w:r w:rsidRPr="00A0509F">
        <w:rPr>
          <w:rFonts w:asciiTheme="minorHAnsi" w:hAnsiTheme="minorHAnsi"/>
          <w:sz w:val="22"/>
        </w:rPr>
        <w:t>COUNTRY CASE 3.2: Balkan countries in various stages of the process to apply for EU member state status: focus on Croatia</w:t>
      </w:r>
    </w:p>
    <w:p w:rsidR="001C55F3" w:rsidRPr="00A0509F" w:rsidRDefault="001C55F3" w:rsidP="002102BC">
      <w:pPr>
        <w:pStyle w:val="Default"/>
        <w:jc w:val="both"/>
        <w:rPr>
          <w:rFonts w:asciiTheme="minorHAnsi" w:hAnsiTheme="minorHAnsi" w:cstheme="minorHAnsi"/>
          <w:sz w:val="22"/>
          <w:szCs w:val="22"/>
        </w:rPr>
      </w:pPr>
      <w:r w:rsidRPr="00A0509F">
        <w:rPr>
          <w:rFonts w:asciiTheme="minorHAnsi" w:hAnsiTheme="minorHAnsi" w:cstheme="minorHAnsi"/>
          <w:sz w:val="22"/>
          <w:szCs w:val="22"/>
        </w:rPr>
        <w:t xml:space="preserve">In  </w:t>
      </w:r>
      <w:r w:rsidRPr="00A0509F">
        <w:rPr>
          <w:rFonts w:asciiTheme="minorHAnsi" w:hAnsiTheme="minorHAnsi" w:cstheme="minorHAnsi"/>
          <w:b/>
          <w:sz w:val="22"/>
          <w:szCs w:val="22"/>
        </w:rPr>
        <w:t xml:space="preserve">Croatia, </w:t>
      </w:r>
      <w:r w:rsidRPr="00A0509F">
        <w:rPr>
          <w:rFonts w:asciiTheme="minorHAnsi" w:hAnsiTheme="minorHAnsi" w:cstheme="minorHAnsi"/>
          <w:sz w:val="22"/>
          <w:szCs w:val="22"/>
        </w:rPr>
        <w:t>the main initiatives dealing with ecosystem service assessment are developed within broader projects and research programmes. Some examples are:The Programme of Tending and Maintenance Ecological and Social Functions of the Zagreb Park Forests; Ecological and biological parameters in integral forest evaluation; Ecological and economic evaluation of forests in the Republic of Croatia – Cost benefit analysis; Forest's Landscape and Touristic Values of the National Park Krka.</w:t>
      </w:r>
    </w:p>
    <w:p w:rsidR="001C55F3" w:rsidRPr="00A0509F" w:rsidRDefault="001C55F3" w:rsidP="002102BC">
      <w:pPr>
        <w:pStyle w:val="Default"/>
        <w:jc w:val="both"/>
        <w:rPr>
          <w:rFonts w:asciiTheme="minorHAnsi" w:hAnsiTheme="minorHAnsi" w:cstheme="minorHAnsi"/>
          <w:sz w:val="22"/>
          <w:szCs w:val="22"/>
        </w:rPr>
      </w:pPr>
      <w:r w:rsidRPr="00A0509F">
        <w:rPr>
          <w:rFonts w:asciiTheme="minorHAnsi" w:hAnsiTheme="minorHAnsi" w:cstheme="minorHAnsi"/>
          <w:sz w:val="22"/>
          <w:szCs w:val="22"/>
        </w:rPr>
        <w:lastRenderedPageBreak/>
        <w:t>In</w:t>
      </w:r>
      <w:r w:rsidRPr="00A0509F">
        <w:rPr>
          <w:rFonts w:asciiTheme="minorHAnsi" w:hAnsiTheme="minorHAnsi" w:cstheme="minorHAnsi"/>
          <w:b/>
          <w:sz w:val="22"/>
          <w:szCs w:val="22"/>
        </w:rPr>
        <w:t xml:space="preserve"> Albania </w:t>
      </w:r>
      <w:r w:rsidRPr="00A0509F">
        <w:rPr>
          <w:rFonts w:asciiTheme="minorHAnsi" w:hAnsiTheme="minorHAnsi" w:cstheme="minorHAnsi"/>
          <w:sz w:val="22"/>
          <w:szCs w:val="22"/>
        </w:rPr>
        <w:t>biodiversity issues are still not a priority for the government and local institutions, and this leads to a lack of knowledge of the benefits from ecosystems. Until 2011, the ecosystem services concept was hardly present in Albania. The main strategic documents are not taking into consideration the principles and concepts of the ecosystem services as part of their assessment. Only a few studies in the framework of broader projects deal with the assessment of ecosystem services.</w:t>
      </w:r>
    </w:p>
    <w:p w:rsidR="001C55F3" w:rsidRPr="00A0509F" w:rsidRDefault="001C55F3" w:rsidP="002102BC">
      <w:pPr>
        <w:pStyle w:val="Default"/>
        <w:jc w:val="both"/>
        <w:rPr>
          <w:rFonts w:asciiTheme="minorHAnsi" w:hAnsiTheme="minorHAnsi" w:cstheme="minorHAnsi"/>
          <w:sz w:val="22"/>
          <w:szCs w:val="22"/>
        </w:rPr>
      </w:pPr>
      <w:r w:rsidRPr="00A0509F">
        <w:rPr>
          <w:rFonts w:asciiTheme="minorHAnsi" w:hAnsiTheme="minorHAnsi" w:cstheme="minorHAnsi"/>
          <w:sz w:val="22"/>
          <w:szCs w:val="22"/>
        </w:rPr>
        <w:t xml:space="preserve">In </w:t>
      </w:r>
      <w:r w:rsidRPr="00A0509F">
        <w:rPr>
          <w:rFonts w:asciiTheme="minorHAnsi" w:hAnsiTheme="minorHAnsi" w:cstheme="minorHAnsi"/>
          <w:b/>
          <w:sz w:val="22"/>
          <w:szCs w:val="22"/>
        </w:rPr>
        <w:t>Bosnia and Herzegovina</w:t>
      </w:r>
      <w:r w:rsidRPr="00A0509F">
        <w:rPr>
          <w:rFonts w:asciiTheme="minorHAnsi" w:hAnsiTheme="minorHAnsi" w:cstheme="minorHAnsi"/>
          <w:sz w:val="22"/>
          <w:szCs w:val="22"/>
        </w:rPr>
        <w:t xml:space="preserve"> (BiH) information resources are available to provide some follow up to the Convention on Biodiversity, e.g. BiH 4th National Report to the CBD,  SoER for BiH prepared by Umweltbundesamt GmbH with support of UNEP (September 2012), Initial National Communication on Climate Change, 2009 and upcoming Second National Communication on Climate Change. In BiH the scientific capacity to map and assess the state and the provision of Ecosystem Services is limited. There is no state ministry of environment. Case studies for Ecosystem Valuation have been addressed within the WWF Living Neretva programme (LivanskoPolje Karst field, HutovoBlato wetlands and Bilećko Lake). Different ecosystem services and valuation methods were selected in the three case studies.</w:t>
      </w:r>
    </w:p>
    <w:p w:rsidR="001C55F3" w:rsidRPr="00A0509F" w:rsidRDefault="001C55F3" w:rsidP="002102BC">
      <w:pPr>
        <w:autoSpaceDE w:val="0"/>
        <w:autoSpaceDN w:val="0"/>
        <w:adjustRightInd w:val="0"/>
        <w:spacing w:after="0" w:line="240" w:lineRule="auto"/>
        <w:jc w:val="both"/>
        <w:rPr>
          <w:rFonts w:cstheme="minorHAnsi"/>
        </w:rPr>
      </w:pPr>
      <w:r w:rsidRPr="00A0509F">
        <w:rPr>
          <w:rFonts w:cstheme="minorHAnsi"/>
        </w:rPr>
        <w:t xml:space="preserve">In </w:t>
      </w:r>
      <w:r w:rsidRPr="00A0509F">
        <w:rPr>
          <w:rFonts w:cstheme="minorHAnsi"/>
          <w:b/>
        </w:rPr>
        <w:t xml:space="preserve">Serbia </w:t>
      </w:r>
      <w:r w:rsidRPr="00A0509F">
        <w:rPr>
          <w:rFonts w:cstheme="minorHAnsi"/>
        </w:rPr>
        <w:t>no significant mapping of ecosystem services has been done but the ecosystem services concept has been supported by the process of establishing the N2000 ecological network. Some projects related to the topic</w:t>
      </w:r>
      <w:r w:rsidRPr="00A0509F">
        <w:rPr>
          <w:rFonts w:cstheme="minorHAnsi"/>
          <w:bCs/>
        </w:rPr>
        <w:t xml:space="preserve"> include: </w:t>
      </w:r>
      <w:r w:rsidRPr="00A0509F">
        <w:rPr>
          <w:rFonts w:cstheme="minorHAnsi"/>
        </w:rPr>
        <w:t>‘Biodiversity and ecosystem services for local sustainable development in Southeast Europe’ (ECNC/REC); ‘The Danube Payment for Ecosystem Services project,’ WWF Danube-Carpathian Programme (UNEP/GEF); and some small projects about awareness raising on ecosystem services. There is a l</w:t>
      </w:r>
      <w:r w:rsidRPr="00A0509F">
        <w:rPr>
          <w:rFonts w:cstheme="minorHAnsi"/>
          <w:bCs/>
        </w:rPr>
        <w:t>ack of legislation</w:t>
      </w:r>
      <w:r w:rsidRPr="00A0509F">
        <w:rPr>
          <w:rFonts w:cstheme="minorHAnsi"/>
        </w:rPr>
        <w:t xml:space="preserve">related to ecosystem services and insufficient </w:t>
      </w:r>
      <w:r w:rsidRPr="00A0509F">
        <w:rPr>
          <w:rFonts w:cstheme="minorHAnsi"/>
          <w:bCs/>
        </w:rPr>
        <w:t>financial</w:t>
      </w:r>
      <w:r w:rsidRPr="00A0509F">
        <w:rPr>
          <w:rFonts w:cstheme="minorHAnsi"/>
        </w:rPr>
        <w:t xml:space="preserve">resources for scientific work and nature protection activities. </w:t>
      </w:r>
    </w:p>
    <w:p w:rsidR="001C55F3" w:rsidRPr="00A0509F" w:rsidRDefault="001C55F3" w:rsidP="002102BC">
      <w:pPr>
        <w:autoSpaceDE w:val="0"/>
        <w:autoSpaceDN w:val="0"/>
        <w:adjustRightInd w:val="0"/>
        <w:spacing w:after="0" w:line="240" w:lineRule="auto"/>
        <w:jc w:val="both"/>
        <w:rPr>
          <w:rFonts w:cstheme="minorHAnsi"/>
        </w:rPr>
      </w:pPr>
      <w:r w:rsidRPr="00A0509F">
        <w:rPr>
          <w:rFonts w:cstheme="minorHAnsi"/>
          <w:bCs/>
        </w:rPr>
        <w:t xml:space="preserve">The ecosystem services concept </w:t>
      </w:r>
      <w:r w:rsidRPr="00A0509F">
        <w:rPr>
          <w:rFonts w:cstheme="minorHAnsi"/>
        </w:rPr>
        <w:t xml:space="preserve">is new for </w:t>
      </w:r>
      <w:r w:rsidRPr="00A0509F">
        <w:rPr>
          <w:rFonts w:cstheme="minorHAnsi"/>
          <w:b/>
        </w:rPr>
        <w:t>Kosovo</w:t>
      </w:r>
      <w:r w:rsidRPr="00A0509F">
        <w:rPr>
          <w:rFonts w:cstheme="minorHAnsi"/>
        </w:rPr>
        <w:t xml:space="preserve">; however legal bases are in place to enable the development of ecosystem service initiatives.  No payment schemes have been developed yet </w:t>
      </w:r>
      <w:r w:rsidRPr="00A0509F">
        <w:rPr>
          <w:rFonts w:cs="Calibri"/>
        </w:rPr>
        <w:t>for ecosystem services. The main problems related to nature conservation in Kosovo are: poor implementation of legislation and national strategies; lack of national biodiversity indicators and complete inventories; insufficient budget; and low public awareness.</w:t>
      </w:r>
    </w:p>
    <w:p w:rsidR="001C55F3" w:rsidRPr="00A0509F" w:rsidRDefault="001C55F3" w:rsidP="002102BC">
      <w:pPr>
        <w:autoSpaceDE w:val="0"/>
        <w:autoSpaceDN w:val="0"/>
        <w:adjustRightInd w:val="0"/>
        <w:spacing w:after="0" w:line="240" w:lineRule="auto"/>
        <w:jc w:val="both"/>
        <w:rPr>
          <w:rFonts w:cstheme="minorHAnsi"/>
        </w:rPr>
      </w:pPr>
    </w:p>
    <w:p w:rsidR="001C55F3" w:rsidRPr="00A0509F" w:rsidRDefault="001C55F3" w:rsidP="00271802">
      <w:pPr>
        <w:spacing w:after="0"/>
        <w:rPr>
          <w:rFonts w:eastAsiaTheme="majorEastAsia" w:cstheme="majorBidi"/>
          <w:b/>
          <w:bCs/>
          <w:color w:val="4F81BD" w:themeColor="accent1"/>
        </w:rPr>
      </w:pPr>
      <w:r w:rsidRPr="00A0509F">
        <w:rPr>
          <w:b/>
        </w:rPr>
        <w:t xml:space="preserve">COUNTRY CASE 4: the Netherlands; </w:t>
      </w:r>
    </w:p>
    <w:p w:rsidR="001C55F3" w:rsidRDefault="001C55F3" w:rsidP="00280D5B">
      <w:pPr>
        <w:spacing w:after="0" w:line="240" w:lineRule="auto"/>
        <w:jc w:val="both"/>
      </w:pPr>
      <w:r w:rsidRPr="00A0509F">
        <w:t xml:space="preserve">One of the three TEEB Netherlands case studies regards the Wadden Sea. For this area, ecosystem services are being mapped, valuated and placed into perspective for sustainable use by stakeholders. The Dutch Wadden Sea is ecologically much appreciated, having a World Heritage status and being part of theNatura 2000 network. At the same time, economic development of the area is enhanced, specifically of the harbours fringing this sea. Given their location the Wadden Sea harbours use the World Heritage status and sustainability as unique selling points. They are therefore much inclined to seek to combine economic development with strengthen of nature values in an integrated rural </w:t>
      </w:r>
      <w:r w:rsidRPr="00280D5B">
        <w:t>development approach. For example by re-using sediment for development of tidal salt marches and meadows.</w:t>
      </w:r>
      <w:r w:rsidRPr="00280D5B">
        <w:rPr>
          <w:lang w:eastAsia="fr-BE"/>
        </w:rPr>
        <w:t xml:space="preserve">This case study is </w:t>
      </w:r>
      <w:r w:rsidRPr="00280D5B">
        <w:t>one of the three TEEB Netherlands case studies</w:t>
      </w:r>
      <w:r w:rsidRPr="00280D5B">
        <w:rPr>
          <w:lang w:eastAsia="fr-BE"/>
        </w:rPr>
        <w:t xml:space="preserve"> and focused on marine ecosystems of the Wadden sea. It aimed at getting insight on how to manage dredging sludge within Natura 2000 areas. </w:t>
      </w:r>
      <w:r w:rsidRPr="00280D5B">
        <w:t>Ecosystem services were mapped, valuated and placed into perspective for sustainable use by stakeholders. Indicators were quantified with data on inventories and expert judgment developed in earlier studies.</w:t>
      </w:r>
    </w:p>
    <w:p w:rsidR="001C55F3" w:rsidRDefault="001C55F3" w:rsidP="002102BC">
      <w:pPr>
        <w:spacing w:line="240" w:lineRule="auto"/>
        <w:jc w:val="both"/>
      </w:pPr>
    </w:p>
    <w:p w:rsidR="001C55F3" w:rsidRPr="00A0509F" w:rsidRDefault="001C55F3" w:rsidP="002102BC">
      <w:pPr>
        <w:spacing w:line="240" w:lineRule="auto"/>
        <w:jc w:val="both"/>
      </w:pPr>
    </w:p>
    <w:p w:rsidR="001C55F3" w:rsidRDefault="001C55F3">
      <w:pPr>
        <w:rPr>
          <w:rFonts w:asciiTheme="majorHAnsi" w:eastAsia="PMingLiU" w:hAnsiTheme="majorHAnsi" w:cstheme="majorBidi"/>
          <w:b/>
          <w:bCs/>
          <w:color w:val="4F81BD" w:themeColor="accent1"/>
          <w:sz w:val="26"/>
          <w:szCs w:val="26"/>
          <w:lang w:eastAsia="zh-TW"/>
        </w:rPr>
      </w:pPr>
      <w:r>
        <w:rPr>
          <w:rFonts w:eastAsia="PMingLiU"/>
          <w:lang w:eastAsia="zh-TW"/>
        </w:rPr>
        <w:br w:type="page"/>
      </w:r>
    </w:p>
    <w:p w:rsidR="001C55F3" w:rsidRDefault="001C55F3" w:rsidP="00622218">
      <w:pPr>
        <w:pStyle w:val="Titre2"/>
        <w:numPr>
          <w:ilvl w:val="1"/>
          <w:numId w:val="87"/>
        </w:numPr>
        <w:ind w:hanging="1080"/>
        <w:rPr>
          <w:rFonts w:eastAsia="PMingLiU"/>
          <w:lang w:eastAsia="zh-TW"/>
        </w:rPr>
      </w:pPr>
      <w:r>
        <w:rPr>
          <w:rFonts w:eastAsia="PMingLiU"/>
          <w:lang w:eastAsia="zh-TW"/>
        </w:rPr>
        <w:lastRenderedPageBreak/>
        <w:t>Summaries of the Country Case studies fact sheets</w:t>
      </w:r>
    </w:p>
    <w:p w:rsidR="001C55F3" w:rsidRDefault="001C55F3" w:rsidP="00DD35F7">
      <w:pPr>
        <w:rPr>
          <w:lang w:eastAsia="zh-TW"/>
        </w:rPr>
      </w:pPr>
    </w:p>
    <w:p w:rsidR="001C55F3" w:rsidRPr="00F73BFA" w:rsidRDefault="001C55F3" w:rsidP="00F73BFA">
      <w:pPr>
        <w:pStyle w:val="Titre6"/>
        <w:rPr>
          <w:rFonts w:asciiTheme="minorHAnsi" w:hAnsiTheme="minorHAnsi"/>
          <w:lang w:eastAsia="zh-TW"/>
        </w:rPr>
      </w:pPr>
      <w:r>
        <w:rPr>
          <w:rFonts w:asciiTheme="minorHAnsi" w:hAnsiTheme="minorHAnsi"/>
          <w:lang w:eastAsia="zh-TW"/>
        </w:rPr>
        <w:t>3</w:t>
      </w:r>
      <w:r w:rsidRPr="00F73BFA">
        <w:rPr>
          <w:rFonts w:asciiTheme="minorHAnsi" w:hAnsiTheme="minorHAnsi"/>
          <w:lang w:eastAsia="zh-TW"/>
        </w:rPr>
        <w:t>.2.1</w:t>
      </w:r>
      <w:r w:rsidRPr="00F73BFA">
        <w:rPr>
          <w:rFonts w:asciiTheme="minorHAnsi" w:hAnsiTheme="minorHAnsi"/>
          <w:lang w:eastAsia="zh-TW"/>
        </w:rPr>
        <w:tab/>
        <w:t>Introduction</w:t>
      </w:r>
    </w:p>
    <w:p w:rsidR="001C55F3" w:rsidRPr="004B587B" w:rsidRDefault="001C55F3" w:rsidP="001A241F">
      <w:pPr>
        <w:spacing w:line="240" w:lineRule="auto"/>
        <w:rPr>
          <w:lang w:eastAsia="zh-TW"/>
        </w:rPr>
      </w:pPr>
      <w:r w:rsidRPr="004B587B">
        <w:rPr>
          <w:lang w:eastAsia="zh-TW"/>
        </w:rPr>
        <w:t>In this section we present summary descriptions of the Fact Sheet data. The full Fact Sheets are available in ANNEX 1. The MAPS which were part of the Fact Sheets are separately bundles in ANNEX 2.</w:t>
      </w:r>
    </w:p>
    <w:p w:rsidR="001C55F3" w:rsidRPr="004B587B" w:rsidRDefault="001C55F3" w:rsidP="001A241F">
      <w:pPr>
        <w:spacing w:line="240" w:lineRule="auto"/>
        <w:rPr>
          <w:lang w:eastAsia="zh-TW"/>
        </w:rPr>
      </w:pPr>
      <w:r w:rsidRPr="004B587B">
        <w:rPr>
          <w:lang w:eastAsia="zh-TW"/>
        </w:rPr>
        <w:t>Section 4.2.2 presents the summary results from Group  1 questions in the Fact Sheet (Table 1), and an analysis of the situations in the Country Cases. Similarly, in the Sections 4.2.3 and 4.2.4 the results of the Group 2 and Group 3 questions are presented and discussed.</w:t>
      </w:r>
    </w:p>
    <w:p w:rsidR="001C55F3" w:rsidRPr="004B587B" w:rsidRDefault="001C55F3" w:rsidP="001A241F">
      <w:pPr>
        <w:spacing w:line="240" w:lineRule="auto"/>
        <w:rPr>
          <w:lang w:eastAsia="zh-TW"/>
        </w:rPr>
      </w:pPr>
      <w:r w:rsidRPr="004B587B">
        <w:rPr>
          <w:lang w:eastAsia="zh-TW"/>
        </w:rPr>
        <w:t xml:space="preserve">In Section 4.3 the coverage of (representativeness for) European Ecosystems by (of) the Country Cases is presented and discussed. </w:t>
      </w:r>
      <w:r w:rsidRPr="004B587B">
        <w:rPr>
          <w:b/>
          <w:lang w:eastAsia="zh-TW"/>
        </w:rPr>
        <w:t>This section is especially relevant for the EU (MAES) Thematic Pilots.</w:t>
      </w:r>
    </w:p>
    <w:p w:rsidR="001C55F3" w:rsidRDefault="001C55F3" w:rsidP="001A241F">
      <w:pPr>
        <w:spacing w:line="240" w:lineRule="auto"/>
        <w:rPr>
          <w:b/>
          <w:lang w:eastAsia="zh-TW"/>
        </w:rPr>
      </w:pPr>
      <w:r w:rsidRPr="004B587B">
        <w:rPr>
          <w:lang w:eastAsia="zh-TW"/>
        </w:rPr>
        <w:t xml:space="preserve">In Section 4.4 the coverage of (representativeness for) European Ecosystem Services by (of) the ecosystem services described in the Country Cases is presented and discussed. </w:t>
      </w:r>
      <w:r w:rsidRPr="004B587B">
        <w:rPr>
          <w:b/>
          <w:lang w:eastAsia="zh-TW"/>
        </w:rPr>
        <w:t>This section is also relevant for the EU (MAES) Thematic Pilots.</w:t>
      </w:r>
    </w:p>
    <w:p w:rsidR="001C55F3" w:rsidRPr="004B587B" w:rsidRDefault="001C55F3" w:rsidP="004B587B">
      <w:pPr>
        <w:rPr>
          <w:lang w:eastAsia="zh-TW"/>
        </w:rPr>
      </w:pPr>
    </w:p>
    <w:p w:rsidR="001C55F3" w:rsidRDefault="001C55F3">
      <w:pPr>
        <w:rPr>
          <w:rFonts w:ascii="Times New Roman" w:eastAsia="Times New Roman" w:hAnsi="Times New Roman" w:cs="Arial"/>
          <w:b/>
          <w:bCs/>
          <w:i/>
          <w:sz w:val="24"/>
          <w:szCs w:val="26"/>
          <w:lang w:eastAsia="zh-TW"/>
        </w:rPr>
      </w:pPr>
      <w:r>
        <w:rPr>
          <w:lang w:eastAsia="zh-TW"/>
        </w:rPr>
        <w:br w:type="page"/>
      </w:r>
    </w:p>
    <w:p w:rsidR="001C55F3" w:rsidRDefault="001C55F3" w:rsidP="00DD35F7">
      <w:pPr>
        <w:pStyle w:val="Titre3"/>
        <w:rPr>
          <w:lang w:eastAsia="zh-TW"/>
        </w:rPr>
        <w:sectPr w:rsidR="001C55F3" w:rsidSect="001C55F3">
          <w:headerReference w:type="default" r:id="rId34"/>
          <w:footerReference w:type="default" r:id="rId35"/>
          <w:type w:val="continuous"/>
          <w:pgSz w:w="11906" w:h="16838" w:code="9"/>
          <w:pgMar w:top="1418" w:right="1418" w:bottom="1418" w:left="1418" w:header="709" w:footer="709" w:gutter="0"/>
          <w:cols w:space="708"/>
          <w:titlePg/>
          <w:docGrid w:linePitch="360"/>
        </w:sectPr>
      </w:pPr>
    </w:p>
    <w:p w:rsidR="001C55F3" w:rsidRPr="004D5D3A" w:rsidRDefault="001C55F3" w:rsidP="004D5D3A">
      <w:pPr>
        <w:pStyle w:val="Titre6"/>
        <w:rPr>
          <w:rFonts w:asciiTheme="minorHAnsi" w:hAnsiTheme="minorHAnsi"/>
          <w:lang w:eastAsia="zh-TW"/>
        </w:rPr>
      </w:pPr>
      <w:r>
        <w:rPr>
          <w:rFonts w:asciiTheme="minorHAnsi" w:hAnsiTheme="minorHAnsi"/>
          <w:lang w:eastAsia="zh-TW"/>
        </w:rPr>
        <w:lastRenderedPageBreak/>
        <w:t>3</w:t>
      </w:r>
      <w:r w:rsidRPr="004D5D3A">
        <w:rPr>
          <w:rFonts w:asciiTheme="minorHAnsi" w:hAnsiTheme="minorHAnsi"/>
          <w:lang w:eastAsia="zh-TW"/>
        </w:rPr>
        <w:t>.2.2</w:t>
      </w:r>
      <w:r w:rsidRPr="004D5D3A">
        <w:rPr>
          <w:rFonts w:asciiTheme="minorHAnsi" w:hAnsiTheme="minorHAnsi"/>
          <w:lang w:eastAsia="zh-TW"/>
        </w:rPr>
        <w:tab/>
        <w:t>Group 1 Results</w:t>
      </w:r>
    </w:p>
    <w:p w:rsidR="001C55F3" w:rsidRDefault="001C55F3" w:rsidP="00494ADF">
      <w:pPr>
        <w:autoSpaceDE w:val="0"/>
        <w:autoSpaceDN w:val="0"/>
        <w:adjustRightInd w:val="0"/>
        <w:spacing w:after="0" w:line="240" w:lineRule="auto"/>
        <w:jc w:val="both"/>
        <w:rPr>
          <w:lang w:eastAsia="zh-TW"/>
        </w:rPr>
      </w:pPr>
    </w:p>
    <w:p w:rsidR="001C55F3" w:rsidRPr="004D5D3A" w:rsidRDefault="001C55F3" w:rsidP="00494ADF">
      <w:pPr>
        <w:autoSpaceDE w:val="0"/>
        <w:autoSpaceDN w:val="0"/>
        <w:adjustRightInd w:val="0"/>
        <w:spacing w:after="0" w:line="240" w:lineRule="auto"/>
        <w:jc w:val="both"/>
        <w:rPr>
          <w:rFonts w:cstheme="minorHAnsi"/>
        </w:rPr>
      </w:pPr>
      <w:r w:rsidRPr="004D5D3A">
        <w:rPr>
          <w:rFonts w:cstheme="minorHAnsi"/>
          <w:b/>
        </w:rPr>
        <w:t>Group 1</w:t>
      </w:r>
      <w:r w:rsidRPr="004D5D3A">
        <w:rPr>
          <w:rFonts w:cstheme="minorHAnsi"/>
        </w:rPr>
        <w:t xml:space="preserve"> regards the organisation of the Biodiversity Strategy Target 2, Action 5 process and associated activities at National and sub-national level. </w:t>
      </w:r>
    </w:p>
    <w:p w:rsidR="001C55F3" w:rsidRPr="004D5D3A" w:rsidRDefault="001C55F3" w:rsidP="00494ADF">
      <w:pPr>
        <w:autoSpaceDE w:val="0"/>
        <w:autoSpaceDN w:val="0"/>
        <w:adjustRightInd w:val="0"/>
        <w:spacing w:after="0" w:line="240" w:lineRule="auto"/>
        <w:jc w:val="both"/>
        <w:rPr>
          <w:b/>
          <w:u w:val="single"/>
        </w:rPr>
      </w:pPr>
    </w:p>
    <w:p w:rsidR="001C55F3" w:rsidRPr="004D5D3A" w:rsidRDefault="001C55F3" w:rsidP="00494ADF">
      <w:pPr>
        <w:autoSpaceDE w:val="0"/>
        <w:autoSpaceDN w:val="0"/>
        <w:adjustRightInd w:val="0"/>
        <w:spacing w:after="0" w:line="240" w:lineRule="auto"/>
        <w:jc w:val="both"/>
        <w:rPr>
          <w:u w:val="single"/>
        </w:rPr>
      </w:pPr>
      <w:r w:rsidRPr="004D5D3A">
        <w:rPr>
          <w:b/>
          <w:u w:val="single"/>
        </w:rPr>
        <w:t>Group 1: Policy aspects</w:t>
      </w:r>
      <w:r w:rsidRPr="004D5D3A">
        <w:rPr>
          <w:u w:val="single"/>
        </w:rPr>
        <w:t>:</w:t>
      </w:r>
    </w:p>
    <w:p w:rsidR="001C55F3" w:rsidRPr="004D5D3A" w:rsidRDefault="001C55F3" w:rsidP="00622218">
      <w:pPr>
        <w:pStyle w:val="Paragraphedeliste"/>
        <w:numPr>
          <w:ilvl w:val="0"/>
          <w:numId w:val="62"/>
        </w:numPr>
        <w:autoSpaceDE w:val="0"/>
        <w:autoSpaceDN w:val="0"/>
        <w:adjustRightInd w:val="0"/>
        <w:spacing w:after="0" w:line="240" w:lineRule="auto"/>
        <w:jc w:val="both"/>
        <w:rPr>
          <w:b/>
          <w:i/>
        </w:rPr>
      </w:pPr>
      <w:r w:rsidRPr="004D5D3A">
        <w:rPr>
          <w:b/>
          <w:i/>
        </w:rPr>
        <w:t xml:space="preserve">The current implementation plans and execution of the Biodiversity Strategy, and in particular concerned with Target 2, Action 5. </w:t>
      </w:r>
    </w:p>
    <w:p w:rsidR="001C55F3" w:rsidRPr="004D5D3A" w:rsidRDefault="001C55F3" w:rsidP="00A85BCD">
      <w:pPr>
        <w:pStyle w:val="Paragraphedeliste"/>
        <w:autoSpaceDE w:val="0"/>
        <w:autoSpaceDN w:val="0"/>
        <w:adjustRightInd w:val="0"/>
        <w:spacing w:after="0" w:line="240" w:lineRule="auto"/>
        <w:ind w:left="0"/>
        <w:jc w:val="both"/>
      </w:pPr>
      <w:r w:rsidRPr="004D5D3A">
        <w:t xml:space="preserve">The UK and Spanish studies were the result of a government initiative, but were started before the EU BS was launched. They now are the framework for </w:t>
      </w:r>
      <w:r w:rsidRPr="00990F1A">
        <w:rPr>
          <w:i/>
        </w:rPr>
        <w:t xml:space="preserve">the T2A5 efforts. The Flandrian regional government is contracting the NARA studies, the BEES project was (co)funded by the National Government. </w:t>
      </w:r>
      <w:r w:rsidRPr="004D5D3A">
        <w:t>The Austrian government is now developing a National Strategy. Switzerland has a national Biodiversity Strategy. The situation in the Balkan is diverse, with some national biodiversity initiatives, and often EU or WWF funded projects. The Marine case in the Netherlands is part of the TEEB Netherlands cluster of projects, funded by the National Government, and now considered as precursor of National Ecosystem Assessment.</w:t>
      </w:r>
    </w:p>
    <w:p w:rsidR="001C55F3" w:rsidRPr="004D5D3A" w:rsidRDefault="001C55F3" w:rsidP="00622218">
      <w:pPr>
        <w:pStyle w:val="Paragraphedeliste"/>
        <w:numPr>
          <w:ilvl w:val="0"/>
          <w:numId w:val="62"/>
        </w:numPr>
        <w:autoSpaceDE w:val="0"/>
        <w:autoSpaceDN w:val="0"/>
        <w:adjustRightInd w:val="0"/>
        <w:spacing w:after="0" w:line="240" w:lineRule="auto"/>
        <w:jc w:val="both"/>
        <w:rPr>
          <w:b/>
          <w:i/>
        </w:rPr>
      </w:pPr>
      <w:r w:rsidRPr="004D5D3A">
        <w:rPr>
          <w:b/>
          <w:i/>
        </w:rPr>
        <w:t>The position of the case study in those plans (or no position)</w:t>
      </w:r>
    </w:p>
    <w:p w:rsidR="001C55F3" w:rsidRPr="004D5D3A" w:rsidRDefault="001C55F3" w:rsidP="00C3730E">
      <w:pPr>
        <w:autoSpaceDE w:val="0"/>
        <w:autoSpaceDN w:val="0"/>
        <w:adjustRightInd w:val="0"/>
        <w:spacing w:after="0" w:line="240" w:lineRule="auto"/>
        <w:jc w:val="both"/>
      </w:pPr>
      <w:r w:rsidRPr="004D5D3A">
        <w:t xml:space="preserve">None of the cases was officially conducted as part of the Biodiversity Strategy Target 2, Action 5 program. </w:t>
      </w:r>
      <w:r>
        <w:t xml:space="preserve">This is not surprising given that the EU Biodiversity Strategy was announced in May 2011. </w:t>
      </w:r>
      <w:r w:rsidRPr="004D5D3A">
        <w:t>Some were already available</w:t>
      </w:r>
      <w:r>
        <w:t xml:space="preserve"> following from national initiatives following the publication of the MA</w:t>
      </w:r>
      <w:r w:rsidRPr="004D5D3A">
        <w:t xml:space="preserve">, and some were originating from academic or regional initiatives, or as pilots within national projects. </w:t>
      </w:r>
      <w:r>
        <w:t>Several countries have started TEEB national studies, since October 2010, which may be useful in realising the 2014 and 2010 deadlines.</w:t>
      </w:r>
    </w:p>
    <w:p w:rsidR="001C55F3" w:rsidRPr="004D5D3A" w:rsidRDefault="001C55F3" w:rsidP="00622218">
      <w:pPr>
        <w:pStyle w:val="Paragraphedeliste"/>
        <w:numPr>
          <w:ilvl w:val="0"/>
          <w:numId w:val="62"/>
        </w:numPr>
        <w:autoSpaceDE w:val="0"/>
        <w:autoSpaceDN w:val="0"/>
        <w:adjustRightInd w:val="0"/>
        <w:spacing w:after="0" w:line="240" w:lineRule="auto"/>
        <w:jc w:val="both"/>
        <w:rPr>
          <w:b/>
          <w:i/>
        </w:rPr>
      </w:pPr>
      <w:r w:rsidRPr="004D5D3A">
        <w:rPr>
          <w:b/>
          <w:i/>
        </w:rPr>
        <w:t>The possible future use of the case study results in T2-A5</w:t>
      </w:r>
    </w:p>
    <w:p w:rsidR="001C55F3" w:rsidRPr="004D5D3A" w:rsidRDefault="001C55F3" w:rsidP="002F62F1">
      <w:pPr>
        <w:autoSpaceDE w:val="0"/>
        <w:autoSpaceDN w:val="0"/>
        <w:adjustRightInd w:val="0"/>
        <w:spacing w:after="0" w:line="240" w:lineRule="auto"/>
        <w:jc w:val="both"/>
      </w:pPr>
      <w:r w:rsidRPr="004D5D3A">
        <w:t>Most cases in the EU countries are now being used as framework or “example” for the T2A5 work.</w:t>
      </w:r>
      <w:r>
        <w:t xml:space="preserve"> No explicit information came from the fact sheets about follow up or incorporation of the cases.</w:t>
      </w:r>
    </w:p>
    <w:p w:rsidR="001C55F3" w:rsidRPr="004D5D3A" w:rsidRDefault="001C55F3" w:rsidP="00622218">
      <w:pPr>
        <w:pStyle w:val="Paragraphedeliste"/>
        <w:numPr>
          <w:ilvl w:val="0"/>
          <w:numId w:val="62"/>
        </w:numPr>
        <w:autoSpaceDE w:val="0"/>
        <w:autoSpaceDN w:val="0"/>
        <w:adjustRightInd w:val="0"/>
        <w:spacing w:after="0" w:line="240" w:lineRule="auto"/>
        <w:jc w:val="both"/>
        <w:rPr>
          <w:b/>
          <w:i/>
        </w:rPr>
      </w:pPr>
      <w:r w:rsidRPr="004D5D3A">
        <w:rPr>
          <w:b/>
          <w:i/>
        </w:rPr>
        <w:t>Stakeholder involvement ?</w:t>
      </w:r>
    </w:p>
    <w:p w:rsidR="001C55F3" w:rsidRPr="004D5D3A" w:rsidRDefault="001C55F3" w:rsidP="002F62F1">
      <w:pPr>
        <w:autoSpaceDE w:val="0"/>
        <w:autoSpaceDN w:val="0"/>
        <w:adjustRightInd w:val="0"/>
        <w:spacing w:after="0" w:line="240" w:lineRule="auto"/>
        <w:jc w:val="both"/>
      </w:pPr>
      <w:r>
        <w:t>Stakeholder involvement is a recurring element of the case studies. T</w:t>
      </w:r>
      <w:r w:rsidRPr="004D5D3A">
        <w:t xml:space="preserve">he studies </w:t>
      </w:r>
      <w:r>
        <w:t xml:space="preserve">often </w:t>
      </w:r>
      <w:r w:rsidRPr="004D5D3A">
        <w:t xml:space="preserve">had </w:t>
      </w:r>
      <w:r>
        <w:t xml:space="preserve">a </w:t>
      </w:r>
      <w:r w:rsidRPr="004D5D3A">
        <w:t>wide range of government, business and non-government, and citizen groups participating. The actual influence</w:t>
      </w:r>
      <w:r>
        <w:t xml:space="preserve"> of stakeholders</w:t>
      </w:r>
      <w:r w:rsidRPr="004D5D3A">
        <w:t xml:space="preserve"> in the  process is rarely clear.</w:t>
      </w:r>
      <w:r>
        <w:t xml:space="preserve"> From the TEEB NL study (Hendriks et al., 2012) it is clear that they are mostly relevant in mapping demand and actual use of ecosystem services. Switzerland showed that especially for valuing cultural ecosystem services, stakeholder involvement is key.</w:t>
      </w:r>
    </w:p>
    <w:p w:rsidR="001C55F3" w:rsidRPr="004D5D3A" w:rsidRDefault="001C55F3" w:rsidP="00622218">
      <w:pPr>
        <w:pStyle w:val="Paragraphedeliste"/>
        <w:numPr>
          <w:ilvl w:val="0"/>
          <w:numId w:val="62"/>
        </w:numPr>
        <w:autoSpaceDE w:val="0"/>
        <w:autoSpaceDN w:val="0"/>
        <w:adjustRightInd w:val="0"/>
        <w:spacing w:after="0" w:line="240" w:lineRule="auto"/>
        <w:jc w:val="both"/>
        <w:rPr>
          <w:b/>
          <w:i/>
        </w:rPr>
      </w:pPr>
      <w:r w:rsidRPr="004D5D3A">
        <w:rPr>
          <w:b/>
          <w:i/>
        </w:rPr>
        <w:t>Executive institutes involved by the National Government</w:t>
      </w:r>
    </w:p>
    <w:p w:rsidR="001C55F3" w:rsidRPr="004D5D3A" w:rsidRDefault="001C55F3" w:rsidP="002F62F1">
      <w:pPr>
        <w:autoSpaceDE w:val="0"/>
        <w:autoSpaceDN w:val="0"/>
        <w:adjustRightInd w:val="0"/>
        <w:spacing w:after="0" w:line="240" w:lineRule="auto"/>
        <w:jc w:val="both"/>
      </w:pPr>
      <w:r w:rsidRPr="004D5D3A">
        <w:t xml:space="preserve">Where relevant both National Ministries and affiliated agencies and institutes were involved </w:t>
      </w:r>
      <w:r>
        <w:t>and in some cases</w:t>
      </w:r>
      <w:r w:rsidRPr="004D5D3A">
        <w:t xml:space="preserve"> regional policy institutions.</w:t>
      </w:r>
      <w:r>
        <w:t xml:space="preserve"> However, it was mostly the Environment or Nature ministry, which may indicate that the economic importance of ecosystem services has not been communicated widely enough (at least not in the Member States).</w:t>
      </w:r>
    </w:p>
    <w:p w:rsidR="001C55F3" w:rsidRPr="004D5D3A" w:rsidRDefault="001C55F3" w:rsidP="00622218">
      <w:pPr>
        <w:pStyle w:val="Paragraphedeliste"/>
        <w:numPr>
          <w:ilvl w:val="0"/>
          <w:numId w:val="62"/>
        </w:numPr>
        <w:autoSpaceDE w:val="0"/>
        <w:autoSpaceDN w:val="0"/>
        <w:adjustRightInd w:val="0"/>
        <w:spacing w:after="0" w:line="240" w:lineRule="auto"/>
        <w:jc w:val="both"/>
        <w:rPr>
          <w:b/>
          <w:i/>
        </w:rPr>
      </w:pPr>
      <w:r w:rsidRPr="004D5D3A">
        <w:rPr>
          <w:b/>
          <w:i/>
        </w:rPr>
        <w:t>Problems encountered in organising the assessment</w:t>
      </w:r>
    </w:p>
    <w:p w:rsidR="001C55F3" w:rsidRPr="004D5D3A" w:rsidRDefault="001C55F3" w:rsidP="002F62F1">
      <w:pPr>
        <w:autoSpaceDE w:val="0"/>
        <w:autoSpaceDN w:val="0"/>
        <w:adjustRightInd w:val="0"/>
        <w:spacing w:after="0" w:line="240" w:lineRule="auto"/>
        <w:jc w:val="both"/>
      </w:pPr>
      <w:r w:rsidRPr="004D5D3A">
        <w:t>Dominant problem is lack of data, but also lack of understanding when stakeholders were involved.</w:t>
      </w:r>
    </w:p>
    <w:p w:rsidR="001C55F3" w:rsidRDefault="001C55F3" w:rsidP="009E3071">
      <w:pPr>
        <w:spacing w:after="0"/>
        <w:rPr>
          <w:b/>
          <w:u w:val="single"/>
          <w:lang w:eastAsia="zh-TW"/>
        </w:rPr>
      </w:pPr>
    </w:p>
    <w:p w:rsidR="001C55F3" w:rsidRDefault="001C55F3">
      <w:pPr>
        <w:rPr>
          <w:b/>
          <w:u w:val="single"/>
          <w:lang w:eastAsia="zh-TW"/>
        </w:rPr>
      </w:pPr>
      <w:r>
        <w:rPr>
          <w:b/>
          <w:u w:val="single"/>
          <w:lang w:eastAsia="zh-TW"/>
        </w:rPr>
        <w:br w:type="page"/>
      </w:r>
    </w:p>
    <w:p w:rsidR="001C55F3" w:rsidRPr="004D5D3A" w:rsidRDefault="001C55F3" w:rsidP="009E3071">
      <w:pPr>
        <w:spacing w:after="0"/>
        <w:rPr>
          <w:b/>
          <w:u w:val="single"/>
          <w:lang w:eastAsia="zh-TW"/>
        </w:rPr>
      </w:pPr>
      <w:r w:rsidRPr="004D5D3A">
        <w:rPr>
          <w:b/>
          <w:u w:val="single"/>
          <w:lang w:eastAsia="zh-TW"/>
        </w:rPr>
        <w:lastRenderedPageBreak/>
        <w:t>General Strong and Weak points of the case studies and approaches in Group 1</w:t>
      </w:r>
    </w:p>
    <w:p w:rsidR="001C55F3" w:rsidRDefault="001C55F3" w:rsidP="00622218">
      <w:pPr>
        <w:pStyle w:val="Paragraphedeliste"/>
        <w:numPr>
          <w:ilvl w:val="0"/>
          <w:numId w:val="68"/>
        </w:numPr>
        <w:spacing w:line="240" w:lineRule="auto"/>
      </w:pPr>
      <w:r>
        <w:t xml:space="preserve">The Table illustrates well that the cases were very heterogeneous, which in the MESEU study is no problem in itself, as they produce very different images of how Mapping and Assessment of Ecosystem and their Services many be executed, developed or possible in the (near) future.The </w:t>
      </w:r>
      <w:r w:rsidRPr="00762D1C">
        <w:rPr>
          <w:i/>
        </w:rPr>
        <w:t>a priori</w:t>
      </w:r>
      <w:r>
        <w:t xml:space="preserve"> classification used in the study is clearly confirmed in the results. The UK and Spanish studies provide much information on the process, as well as on content (see next 2 tables), the Belgian and Austrian cases show great potential, as the cases are recognised as potentially useful in achieving the EU obligations of the respective Member States. The Swiss studies have a highly developed approach at various scales and contribute to Swiss mapping efforts (parallel to MAES). Additionally, the developed GIS-based process models linking land cover and ecosystem services could be useful for a high quality EU-mapping.</w:t>
      </w:r>
    </w:p>
    <w:p w:rsidR="001C55F3" w:rsidRDefault="001C55F3" w:rsidP="00622218">
      <w:pPr>
        <w:pStyle w:val="Paragraphedeliste"/>
        <w:numPr>
          <w:ilvl w:val="0"/>
          <w:numId w:val="68"/>
        </w:numPr>
        <w:spacing w:line="240" w:lineRule="auto"/>
      </w:pPr>
      <w:r>
        <w:t>The Balkan overview (see ANNEX xxx Fact Sheets for details) illustrates, and confirms the information from the Ispra workshop in April 2012,  that there is much good ecological science, some relevant NGO supported cases, but very little systematic ecosystem services work. The Marine case is exploratory, but illustrate already that using data and analyses originally developed for Natura2000 purposes can be usefully applied in Ecosystem assessment.</w:t>
      </w:r>
    </w:p>
    <w:p w:rsidR="001C55F3" w:rsidRPr="004D5D3A" w:rsidRDefault="001C55F3" w:rsidP="00622218">
      <w:pPr>
        <w:pStyle w:val="Paragraphedeliste"/>
        <w:numPr>
          <w:ilvl w:val="0"/>
          <w:numId w:val="68"/>
        </w:numPr>
        <w:spacing w:line="240" w:lineRule="auto"/>
      </w:pPr>
      <w:r>
        <w:t>In some cases (e.g. Croatia) the mapping and assessment step was bypassed and PES arrangements were made directly (based on not completely clear potential benefits)</w:t>
      </w:r>
    </w:p>
    <w:p w:rsidR="001C55F3" w:rsidRPr="00683D9E" w:rsidRDefault="001C55F3" w:rsidP="00F355B3">
      <w:pPr>
        <w:rPr>
          <w:b/>
          <w:lang w:eastAsia="zh-TW"/>
        </w:rPr>
      </w:pPr>
      <w:r w:rsidRPr="00683D9E">
        <w:rPr>
          <w:b/>
          <w:lang w:eastAsia="zh-TW"/>
        </w:rPr>
        <w:t xml:space="preserve">Table </w:t>
      </w:r>
      <w:r>
        <w:rPr>
          <w:b/>
          <w:lang w:eastAsia="zh-TW"/>
        </w:rPr>
        <w:t xml:space="preserve">3.1 </w:t>
      </w:r>
      <w:r>
        <w:rPr>
          <w:b/>
          <w:lang w:eastAsia="zh-TW"/>
        </w:rPr>
        <w:tab/>
      </w:r>
      <w:r w:rsidRPr="00683D9E">
        <w:rPr>
          <w:b/>
          <w:lang w:eastAsia="zh-TW"/>
        </w:rPr>
        <w:t>Group 1 Summary Fact Sheet Results</w:t>
      </w:r>
    </w:p>
    <w:tbl>
      <w:tblPr>
        <w:tblW w:w="14131" w:type="dxa"/>
        <w:tblInd w:w="78" w:type="dxa"/>
        <w:tblLayout w:type="fixed"/>
        <w:tblLook w:val="0000"/>
      </w:tblPr>
      <w:tblGrid>
        <w:gridCol w:w="1306"/>
        <w:gridCol w:w="1075"/>
        <w:gridCol w:w="1958"/>
        <w:gridCol w:w="1959"/>
        <w:gridCol w:w="1958"/>
        <w:gridCol w:w="1959"/>
        <w:gridCol w:w="1958"/>
        <w:gridCol w:w="1958"/>
      </w:tblGrid>
      <w:tr w:rsidR="001C55F3" w:rsidTr="00173A38">
        <w:trPr>
          <w:trHeight w:val="437"/>
        </w:trPr>
        <w:tc>
          <w:tcPr>
            <w:tcW w:w="1306" w:type="dxa"/>
            <w:tcBorders>
              <w:top w:val="single" w:sz="6" w:space="0" w:color="auto"/>
              <w:left w:val="single" w:sz="6" w:space="0" w:color="auto"/>
              <w:bottom w:val="single" w:sz="4" w:space="0" w:color="auto"/>
              <w:right w:val="single" w:sz="6" w:space="0" w:color="auto"/>
            </w:tcBorders>
          </w:tcPr>
          <w:p w:rsidR="001C55F3" w:rsidRDefault="001C55F3">
            <w:pPr>
              <w:autoSpaceDE w:val="0"/>
              <w:autoSpaceDN w:val="0"/>
              <w:adjustRightInd w:val="0"/>
              <w:spacing w:after="0" w:line="240" w:lineRule="auto"/>
              <w:jc w:val="center"/>
              <w:rPr>
                <w:rFonts w:ascii="Calibri" w:hAnsi="Calibri" w:cs="Calibri"/>
                <w:b/>
                <w:bCs/>
                <w:color w:val="000000"/>
                <w:sz w:val="20"/>
                <w:szCs w:val="20"/>
              </w:rPr>
            </w:pPr>
            <w:r>
              <w:rPr>
                <w:rFonts w:ascii="Calibri" w:hAnsi="Calibri" w:cs="Calibri"/>
                <w:b/>
                <w:bCs/>
                <w:color w:val="000000"/>
                <w:sz w:val="20"/>
                <w:szCs w:val="20"/>
              </w:rPr>
              <w:t>Country cases</w:t>
            </w:r>
          </w:p>
        </w:tc>
        <w:tc>
          <w:tcPr>
            <w:tcW w:w="1075" w:type="dxa"/>
            <w:tcBorders>
              <w:top w:val="single" w:sz="6" w:space="0" w:color="auto"/>
              <w:left w:val="single" w:sz="6" w:space="0" w:color="auto"/>
              <w:bottom w:val="single" w:sz="4" w:space="0" w:color="auto"/>
              <w:right w:val="single" w:sz="6" w:space="0" w:color="auto"/>
            </w:tcBorders>
          </w:tcPr>
          <w:p w:rsidR="001C55F3" w:rsidRDefault="001C55F3">
            <w:pPr>
              <w:autoSpaceDE w:val="0"/>
              <w:autoSpaceDN w:val="0"/>
              <w:adjustRightInd w:val="0"/>
              <w:spacing w:after="0" w:line="240" w:lineRule="auto"/>
              <w:jc w:val="center"/>
              <w:rPr>
                <w:rFonts w:ascii="Calibri" w:hAnsi="Calibri" w:cs="Calibri"/>
                <w:b/>
                <w:bCs/>
                <w:color w:val="000000"/>
                <w:sz w:val="20"/>
                <w:szCs w:val="20"/>
              </w:rPr>
            </w:pPr>
          </w:p>
        </w:tc>
        <w:tc>
          <w:tcPr>
            <w:tcW w:w="1958" w:type="dxa"/>
            <w:tcBorders>
              <w:top w:val="single" w:sz="6" w:space="0" w:color="auto"/>
              <w:left w:val="single" w:sz="6" w:space="0" w:color="auto"/>
              <w:bottom w:val="single" w:sz="4"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1: Implementation of T2, A5</w:t>
            </w:r>
          </w:p>
        </w:tc>
        <w:tc>
          <w:tcPr>
            <w:tcW w:w="1959" w:type="dxa"/>
            <w:tcBorders>
              <w:top w:val="single" w:sz="6" w:space="0" w:color="auto"/>
              <w:left w:val="single" w:sz="6" w:space="0" w:color="auto"/>
              <w:bottom w:val="single" w:sz="4"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2: Position in T2, A5</w:t>
            </w:r>
          </w:p>
        </w:tc>
        <w:tc>
          <w:tcPr>
            <w:tcW w:w="1958" w:type="dxa"/>
            <w:tcBorders>
              <w:top w:val="single" w:sz="6" w:space="0" w:color="auto"/>
              <w:left w:val="single" w:sz="6" w:space="0" w:color="auto"/>
              <w:bottom w:val="single" w:sz="4"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3: Future use within T2, A5</w:t>
            </w:r>
          </w:p>
        </w:tc>
        <w:tc>
          <w:tcPr>
            <w:tcW w:w="1959" w:type="dxa"/>
            <w:tcBorders>
              <w:top w:val="single" w:sz="6" w:space="0" w:color="auto"/>
              <w:left w:val="single" w:sz="6" w:space="0" w:color="auto"/>
              <w:bottom w:val="single" w:sz="4"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4: Stakeholders</w:t>
            </w:r>
          </w:p>
        </w:tc>
        <w:tc>
          <w:tcPr>
            <w:tcW w:w="1958" w:type="dxa"/>
            <w:tcBorders>
              <w:top w:val="single" w:sz="6" w:space="0" w:color="auto"/>
              <w:left w:val="single" w:sz="6" w:space="0" w:color="auto"/>
              <w:bottom w:val="single" w:sz="4"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5: Executive institutes</w:t>
            </w:r>
          </w:p>
        </w:tc>
        <w:tc>
          <w:tcPr>
            <w:tcW w:w="1958" w:type="dxa"/>
            <w:tcBorders>
              <w:top w:val="single" w:sz="6" w:space="0" w:color="auto"/>
              <w:left w:val="single" w:sz="6" w:space="0" w:color="auto"/>
              <w:bottom w:val="single" w:sz="4" w:space="0" w:color="auto"/>
              <w:right w:val="single" w:sz="6" w:space="0" w:color="auto"/>
            </w:tcBorders>
          </w:tcPr>
          <w:p w:rsidR="001C55F3" w:rsidRDefault="001C55F3" w:rsidP="00F97B70">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 xml:space="preserve">Q 6: Problems </w:t>
            </w:r>
          </w:p>
        </w:tc>
      </w:tr>
      <w:tr w:rsidR="001C55F3" w:rsidTr="00173A38">
        <w:trPr>
          <w:trHeight w:val="437"/>
        </w:trPr>
        <w:tc>
          <w:tcPr>
            <w:tcW w:w="1306" w:type="dxa"/>
            <w:tcBorders>
              <w:top w:val="single" w:sz="4" w:space="0" w:color="auto"/>
              <w:left w:val="single" w:sz="4" w:space="0" w:color="auto"/>
              <w:bottom w:val="single" w:sz="4" w:space="0" w:color="auto"/>
              <w:right w:val="single" w:sz="4"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1.1. U.K.</w:t>
            </w:r>
          </w:p>
        </w:tc>
        <w:tc>
          <w:tcPr>
            <w:tcW w:w="1075" w:type="dxa"/>
            <w:tcBorders>
              <w:top w:val="single" w:sz="4" w:space="0" w:color="auto"/>
              <w:left w:val="single" w:sz="4" w:space="0" w:color="auto"/>
              <w:bottom w:val="single" w:sz="4" w:space="0" w:color="auto"/>
              <w:right w:val="single" w:sz="4"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x</w:t>
            </w:r>
          </w:p>
        </w:tc>
        <w:tc>
          <w:tcPr>
            <w:tcW w:w="1958" w:type="dxa"/>
            <w:tcBorders>
              <w:top w:val="single" w:sz="4" w:space="0" w:color="auto"/>
              <w:left w:val="single" w:sz="4" w:space="0" w:color="auto"/>
              <w:bottom w:val="single" w:sz="4" w:space="0" w:color="auto"/>
              <w:right w:val="single" w:sz="4"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Wales Case study as part of UK-NEA</w:t>
            </w:r>
          </w:p>
        </w:tc>
        <w:tc>
          <w:tcPr>
            <w:tcW w:w="1959" w:type="dxa"/>
            <w:tcBorders>
              <w:top w:val="single" w:sz="4" w:space="0" w:color="auto"/>
              <w:left w:val="single" w:sz="4" w:space="0" w:color="auto"/>
              <w:bottom w:val="single" w:sz="4" w:space="0" w:color="auto"/>
              <w:right w:val="single" w:sz="4"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UK-NEA is framework for EU Biodiversity actions</w:t>
            </w:r>
          </w:p>
        </w:tc>
        <w:tc>
          <w:tcPr>
            <w:tcW w:w="1958" w:type="dxa"/>
            <w:tcBorders>
              <w:top w:val="single" w:sz="4" w:space="0" w:color="auto"/>
              <w:left w:val="single" w:sz="4" w:space="0" w:color="auto"/>
              <w:bottom w:val="single" w:sz="4" w:space="0" w:color="auto"/>
              <w:right w:val="single" w:sz="4"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Yes</w:t>
            </w:r>
          </w:p>
        </w:tc>
        <w:tc>
          <w:tcPr>
            <w:tcW w:w="1959" w:type="dxa"/>
            <w:tcBorders>
              <w:top w:val="single" w:sz="4" w:space="0" w:color="auto"/>
              <w:left w:val="single" w:sz="4" w:space="0" w:color="auto"/>
              <w:bottom w:val="single" w:sz="4" w:space="0" w:color="auto"/>
              <w:right w:val="single" w:sz="4"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Yes</w:t>
            </w:r>
          </w:p>
        </w:tc>
        <w:tc>
          <w:tcPr>
            <w:tcW w:w="1958" w:type="dxa"/>
            <w:tcBorders>
              <w:top w:val="single" w:sz="4" w:space="0" w:color="auto"/>
              <w:left w:val="single" w:sz="4" w:space="0" w:color="auto"/>
              <w:bottom w:val="single" w:sz="4" w:space="0" w:color="auto"/>
              <w:right w:val="single" w:sz="4"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Welsh Government</w:t>
            </w:r>
          </w:p>
        </w:tc>
        <w:tc>
          <w:tcPr>
            <w:tcW w:w="1958" w:type="dxa"/>
            <w:tcBorders>
              <w:top w:val="single" w:sz="4" w:space="0" w:color="auto"/>
              <w:left w:val="single" w:sz="4" w:space="0" w:color="auto"/>
              <w:bottom w:val="single" w:sz="4" w:space="0" w:color="auto"/>
              <w:right w:val="single" w:sz="4"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r>
      <w:tr w:rsidR="001C55F3" w:rsidTr="00173A38">
        <w:trPr>
          <w:trHeight w:val="1927"/>
        </w:trPr>
        <w:tc>
          <w:tcPr>
            <w:tcW w:w="1306" w:type="dxa"/>
            <w:tcBorders>
              <w:top w:val="single" w:sz="4"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1.2. Spain</w:t>
            </w:r>
          </w:p>
        </w:tc>
        <w:tc>
          <w:tcPr>
            <w:tcW w:w="1075" w:type="dxa"/>
            <w:tcBorders>
              <w:top w:val="single" w:sz="4"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x</w:t>
            </w:r>
          </w:p>
        </w:tc>
        <w:tc>
          <w:tcPr>
            <w:tcW w:w="1958" w:type="dxa"/>
            <w:tcBorders>
              <w:top w:val="single" w:sz="4"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Spanish Strategic Plan</w:t>
            </w:r>
          </w:p>
        </w:tc>
        <w:tc>
          <w:tcPr>
            <w:tcW w:w="1959" w:type="dxa"/>
            <w:tcBorders>
              <w:top w:val="single" w:sz="4"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National Ecosystem Assessment of Spain: biophysical evaluation and an economic valuation</w:t>
            </w:r>
          </w:p>
        </w:tc>
        <w:tc>
          <w:tcPr>
            <w:tcW w:w="1958" w:type="dxa"/>
            <w:tcBorders>
              <w:top w:val="single" w:sz="4"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Future scenario exercise, spatial explicit analysis of biodiversity and ES, LU change and socioeconomic vairables, social meta-analysis, in depth economic and social value of ES.</w:t>
            </w:r>
          </w:p>
        </w:tc>
        <w:tc>
          <w:tcPr>
            <w:tcW w:w="1959" w:type="dxa"/>
            <w:tcBorders>
              <w:top w:val="single" w:sz="4"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60 scientists (social and biophysical sciences), government, academic, expert stadd, NGOs, private sector. Organization: core group + Advisory Committee</w:t>
            </w:r>
          </w:p>
        </w:tc>
        <w:tc>
          <w:tcPr>
            <w:tcW w:w="1958" w:type="dxa"/>
            <w:tcBorders>
              <w:top w:val="single" w:sz="4"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Biodiversity Foundation of the Ministry of Agriculture, Food and Environment;</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Sub-directorate General for Environment of the Spanish Ministry of Agriculture, Food and Environment</w:t>
            </w:r>
          </w:p>
        </w:tc>
        <w:tc>
          <w:tcPr>
            <w:tcW w:w="1958" w:type="dxa"/>
            <w:tcBorders>
              <w:top w:val="single" w:sz="4"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mobilization and common understanding of stakeholders</w:t>
            </w:r>
          </w:p>
        </w:tc>
      </w:tr>
      <w:tr w:rsidR="001C55F3" w:rsidTr="00173A38">
        <w:trPr>
          <w:trHeight w:val="1284"/>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lastRenderedPageBreak/>
              <w:t>2.1. Belgium</w:t>
            </w: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2.1.a. Flanders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National: BEES</w:t>
            </w:r>
          </w:p>
          <w:p w:rsidR="001C55F3" w:rsidRDefault="001C55F3" w:rsidP="00173A38">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Flanders: annual update of nature status indicators, regular nature report (NARA) including ES state (2012) and ES assessment (2014), scenario report (2009) </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Not explicitly; overview of current knowledge on ES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Ecoplan + basis for quantitative ES assessment of the Nature report (2014)</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Flemish Environment, Nature and Energy Department (LNE) - Agency for Nature and Forest (ANB)</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r>
      <w:tr w:rsidR="001C55F3" w:rsidTr="00173A38">
        <w:trPr>
          <w:trHeight w:val="857"/>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jc w:val="right"/>
              <w:rPr>
                <w:rFonts w:ascii="Calibri" w:hAnsi="Calibri" w:cs="Calibri"/>
                <w:b/>
                <w:bCs/>
                <w:color w:val="000000"/>
                <w:sz w:val="20"/>
                <w:szCs w:val="20"/>
              </w:rPr>
            </w:pP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2.1.b. Flanders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Qualitative ES assessment (Nature Report 2014)</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easily implementable and up-scalable; results to be joined to Wallonia's project</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public and private institution for the survey, professional experts for the ES quantification</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regional policy institutions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survey organization</w:t>
            </w:r>
          </w:p>
        </w:tc>
      </w:tr>
      <w:tr w:rsidR="001C55F3" w:rsidTr="00173A38">
        <w:trPr>
          <w:trHeight w:val="1284"/>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jc w:val="right"/>
              <w:rPr>
                <w:rFonts w:ascii="Calibri" w:hAnsi="Calibri" w:cs="Calibri"/>
                <w:b/>
                <w:bCs/>
                <w:color w:val="000000"/>
                <w:sz w:val="20"/>
                <w:szCs w:val="20"/>
              </w:rPr>
            </w:pP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2.1.c. Wallonia</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National: BEES</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Wallonia: ecological network of Wallonia, ES qualitative assessment</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ES qualitative assessment  including WG-MAES recommendations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fast and simple methodology easily implementable on EU scale. Use for awareness raising, towards national monetary valuation</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DEMNA, experts (qualitative quantification)</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regional policy institutions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see Group 2, Q 8</w:t>
            </w:r>
          </w:p>
        </w:tc>
      </w:tr>
      <w:tr w:rsidR="001C55F3" w:rsidTr="00173A38">
        <w:trPr>
          <w:trHeight w:val="1284"/>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2.2. Austria</w:t>
            </w: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National Austrian Strategy (under development) towards ES mapping and assessment for 2014</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Not explicitely</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Can be used as show cases; discussion to serve the national assessment</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Ministry of Forestry, Agriculture, Environ-ment and Water, local administrations, local private stakeholders, local action groups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Ministry of Forestry, Agriculture, Environment and Water (steering committee and funding)</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Lack of data access due to lack of backing from policy level</w:t>
            </w:r>
          </w:p>
        </w:tc>
      </w:tr>
      <w:tr w:rsidR="001C55F3" w:rsidTr="00173A38">
        <w:trPr>
          <w:trHeight w:val="1397"/>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 Switzerland</w:t>
            </w: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3.1.a. Global</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Swiss Biodiversity Strategy being detailed until 2014, includes a ES assessment</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rsidP="000D29E0">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Straightforward approach could be useful for global studies</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Lack of data for ecosystem services demand</w:t>
            </w:r>
          </w:p>
        </w:tc>
      </w:tr>
      <w:tr w:rsidR="001C55F3" w:rsidTr="00173A38">
        <w:trPr>
          <w:trHeight w:val="643"/>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jc w:val="right"/>
              <w:rPr>
                <w:rFonts w:ascii="Calibri" w:hAnsi="Calibri" w:cs="Calibri"/>
                <w:b/>
                <w:bCs/>
                <w:color w:val="000000"/>
                <w:sz w:val="20"/>
                <w:szCs w:val="20"/>
              </w:rPr>
            </w:pP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3.1.b. Regional</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Nationwide Swiss mapping and high-quality approach for EU-wide mapping</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Not specified</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r>
      <w:tr w:rsidR="001C55F3" w:rsidTr="00173A38">
        <w:trPr>
          <w:trHeight w:val="1129"/>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jc w:val="right"/>
              <w:rPr>
                <w:rFonts w:ascii="Calibri" w:hAnsi="Calibri" w:cs="Calibri"/>
                <w:b/>
                <w:bCs/>
                <w:color w:val="000000"/>
                <w:sz w:val="20"/>
                <w:szCs w:val="20"/>
              </w:rPr>
            </w:pP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3.1.c. Local</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Consider uncertainties, include spatially explicit transdisciplinary knowledge</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Experts (Bayesian Network), local knowledge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rsidP="000D29E0">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Data intense method</w:t>
            </w:r>
          </w:p>
        </w:tc>
      </w:tr>
      <w:tr w:rsidR="001C55F3" w:rsidTr="00173A38">
        <w:trPr>
          <w:trHeight w:val="278"/>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3.2. Balkan</w:t>
            </w: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3.2.a. Croatia</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Strategy and Action Plan for the Protection of Biological and Landscape diversity, Nature Protection Act, Forest Act</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lack of data, data availability or data compatibility</w:t>
            </w:r>
          </w:p>
        </w:tc>
      </w:tr>
      <w:tr w:rsidR="001C55F3" w:rsidTr="00173A38">
        <w:trPr>
          <w:trHeight w:val="643"/>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jc w:val="right"/>
              <w:rPr>
                <w:rFonts w:ascii="Calibri" w:hAnsi="Calibri" w:cs="Calibri"/>
                <w:b/>
                <w:bCs/>
                <w:color w:val="000000"/>
                <w:sz w:val="20"/>
                <w:szCs w:val="20"/>
              </w:rPr>
            </w:pP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3.2.b. Others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Few frameworks and when existent often poorly implemented</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r>
      <w:tr w:rsidR="001C55F3" w:rsidTr="00173A38">
        <w:trPr>
          <w:trHeight w:val="1554"/>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4. The Netherlands</w:t>
            </w:r>
          </w:p>
        </w:tc>
        <w:tc>
          <w:tcPr>
            <w:tcW w:w="107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rsidP="002F62F1">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National Ecosystem Assessment being prepared; TEEB NL studies completed.</w:t>
            </w:r>
          </w:p>
          <w:p w:rsidR="001C55F3" w:rsidRDefault="001C55F3" w:rsidP="002F62F1">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All National government funded.</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Not yet</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Use for kick-off of T2,A5</w:t>
            </w:r>
          </w:p>
        </w:tc>
        <w:tc>
          <w:tcPr>
            <w:tcW w:w="1959" w:type="dxa"/>
            <w:tcBorders>
              <w:top w:val="single" w:sz="6" w:space="0" w:color="auto"/>
              <w:left w:val="single" w:sz="6" w:space="0" w:color="auto"/>
              <w:bottom w:val="single" w:sz="6" w:space="0" w:color="auto"/>
              <w:right w:val="single" w:sz="6" w:space="0" w:color="auto"/>
            </w:tcBorders>
          </w:tcPr>
          <w:p w:rsidR="001C55F3" w:rsidRDefault="001C55F3" w:rsidP="00A747D2">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International stakeholders, national &amp; regional policy makers, harbours, fisheries, industry, energy recreation and nature, and representatives of local nature groups, farmers and entrepreneurs.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IMARES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r>
    </w:tbl>
    <w:p w:rsidR="001C55F3" w:rsidRPr="00DD35F7" w:rsidRDefault="001C55F3" w:rsidP="00F355B3">
      <w:pPr>
        <w:rPr>
          <w:lang w:val="nl-NL" w:eastAsia="zh-TW"/>
        </w:rPr>
      </w:pPr>
    </w:p>
    <w:p w:rsidR="001C55F3" w:rsidRDefault="001C55F3">
      <w:pPr>
        <w:rPr>
          <w:rFonts w:ascii="Times New Roman" w:eastAsia="Times New Roman" w:hAnsi="Times New Roman" w:cs="Arial"/>
          <w:b/>
          <w:bCs/>
          <w:i/>
          <w:sz w:val="24"/>
          <w:szCs w:val="26"/>
          <w:lang w:eastAsia="zh-TW"/>
        </w:rPr>
      </w:pPr>
      <w:r>
        <w:rPr>
          <w:lang w:eastAsia="zh-TW"/>
        </w:rPr>
        <w:br w:type="page"/>
      </w:r>
    </w:p>
    <w:p w:rsidR="001C55F3" w:rsidRPr="004D5D3A" w:rsidRDefault="001C55F3" w:rsidP="004D5D3A">
      <w:pPr>
        <w:pStyle w:val="Titre6"/>
        <w:rPr>
          <w:rFonts w:asciiTheme="minorHAnsi" w:hAnsiTheme="minorHAnsi"/>
          <w:lang w:eastAsia="zh-TW"/>
        </w:rPr>
      </w:pPr>
      <w:r>
        <w:rPr>
          <w:rFonts w:asciiTheme="minorHAnsi" w:hAnsiTheme="minorHAnsi"/>
          <w:lang w:eastAsia="zh-TW"/>
        </w:rPr>
        <w:lastRenderedPageBreak/>
        <w:t>3</w:t>
      </w:r>
      <w:r w:rsidRPr="004D5D3A">
        <w:rPr>
          <w:rFonts w:asciiTheme="minorHAnsi" w:hAnsiTheme="minorHAnsi"/>
          <w:lang w:eastAsia="zh-TW"/>
        </w:rPr>
        <w:t>.2.3</w:t>
      </w:r>
      <w:r w:rsidRPr="004D5D3A">
        <w:rPr>
          <w:rFonts w:asciiTheme="minorHAnsi" w:hAnsiTheme="minorHAnsi"/>
          <w:lang w:eastAsia="zh-TW"/>
        </w:rPr>
        <w:tab/>
        <w:t>Group 2 Results</w:t>
      </w:r>
    </w:p>
    <w:p w:rsidR="001C55F3" w:rsidRPr="009E5FDD" w:rsidRDefault="001C55F3" w:rsidP="00494ADF">
      <w:pPr>
        <w:autoSpaceDE w:val="0"/>
        <w:autoSpaceDN w:val="0"/>
        <w:adjustRightInd w:val="0"/>
        <w:spacing w:after="0" w:line="240" w:lineRule="auto"/>
        <w:jc w:val="both"/>
        <w:rPr>
          <w:lang w:eastAsia="zh-TW"/>
        </w:rPr>
      </w:pPr>
    </w:p>
    <w:p w:rsidR="001C55F3" w:rsidRPr="004D5D3A" w:rsidRDefault="001C55F3" w:rsidP="00494ADF">
      <w:pPr>
        <w:autoSpaceDE w:val="0"/>
        <w:autoSpaceDN w:val="0"/>
        <w:adjustRightInd w:val="0"/>
        <w:spacing w:after="0" w:line="240" w:lineRule="auto"/>
        <w:jc w:val="both"/>
        <w:rPr>
          <w:rFonts w:cstheme="minorHAnsi"/>
        </w:rPr>
      </w:pPr>
      <w:r w:rsidRPr="004D5D3A">
        <w:rPr>
          <w:rFonts w:cstheme="minorHAnsi"/>
          <w:b/>
        </w:rPr>
        <w:t>Group 2</w:t>
      </w:r>
      <w:r w:rsidRPr="004D5D3A">
        <w:rPr>
          <w:rFonts w:cstheme="minorHAnsi"/>
        </w:rPr>
        <w:t xml:space="preserve"> is about the type of mapping and assessment work that has be</w:t>
      </w:r>
      <w:r>
        <w:rPr>
          <w:rFonts w:cstheme="minorHAnsi"/>
        </w:rPr>
        <w:t>en carried out in the case studies</w:t>
      </w:r>
      <w:r w:rsidRPr="004D5D3A">
        <w:rPr>
          <w:rFonts w:cstheme="minorHAnsi"/>
        </w:rPr>
        <w:t>, the classifications and indicators used, the biophysical quantification methods and models, scales and aggregation challenges and the reports published (and language info), and especially features regarding the problems encountered, solutions found and tested, conclusions and advise for further research and implementation of methods.</w:t>
      </w:r>
    </w:p>
    <w:p w:rsidR="001C55F3" w:rsidRDefault="001C55F3" w:rsidP="00494ADF">
      <w:pPr>
        <w:autoSpaceDE w:val="0"/>
        <w:autoSpaceDN w:val="0"/>
        <w:adjustRightInd w:val="0"/>
        <w:spacing w:after="0" w:line="240" w:lineRule="auto"/>
        <w:jc w:val="both"/>
        <w:rPr>
          <w:b/>
        </w:rPr>
      </w:pPr>
    </w:p>
    <w:p w:rsidR="001C55F3" w:rsidRPr="004D5D3A" w:rsidRDefault="001C55F3" w:rsidP="00494ADF">
      <w:pPr>
        <w:autoSpaceDE w:val="0"/>
        <w:autoSpaceDN w:val="0"/>
        <w:adjustRightInd w:val="0"/>
        <w:spacing w:after="0" w:line="240" w:lineRule="auto"/>
        <w:jc w:val="both"/>
      </w:pPr>
      <w:r w:rsidRPr="004D5D3A">
        <w:rPr>
          <w:b/>
        </w:rPr>
        <w:t>Group 2: Science (mapping and assessment) aspects</w:t>
      </w:r>
    </w:p>
    <w:p w:rsidR="001C55F3" w:rsidRPr="00BD5A12" w:rsidRDefault="001C55F3" w:rsidP="00622218">
      <w:pPr>
        <w:pStyle w:val="Paragraphedeliste"/>
        <w:numPr>
          <w:ilvl w:val="0"/>
          <w:numId w:val="63"/>
        </w:numPr>
        <w:autoSpaceDE w:val="0"/>
        <w:autoSpaceDN w:val="0"/>
        <w:adjustRightInd w:val="0"/>
        <w:spacing w:after="0" w:line="240" w:lineRule="auto"/>
        <w:jc w:val="both"/>
      </w:pPr>
      <w:r w:rsidRPr="00BD5A12">
        <w:rPr>
          <w:b/>
          <w:i/>
        </w:rPr>
        <w:t>The Ecosystems that are covered in the case study, also checking which Classification is used</w:t>
      </w:r>
    </w:p>
    <w:p w:rsidR="001C55F3" w:rsidRDefault="001C55F3" w:rsidP="002111A9">
      <w:pPr>
        <w:autoSpaceDE w:val="0"/>
        <w:autoSpaceDN w:val="0"/>
        <w:adjustRightInd w:val="0"/>
        <w:spacing w:after="0" w:line="240" w:lineRule="auto"/>
        <w:ind w:left="709" w:firstLine="11"/>
        <w:jc w:val="both"/>
      </w:pPr>
      <w:r>
        <w:t xml:space="preserve">The summary in Table 1.1 is not sufficient to evaluate the use and usefulness of different Ecosystem classifications. We have therefore developed a more detailed overview Table 3.4. </w:t>
      </w:r>
    </w:p>
    <w:p w:rsidR="001C55F3" w:rsidRPr="004D5D3A" w:rsidRDefault="001C55F3" w:rsidP="002111A9">
      <w:pPr>
        <w:autoSpaceDE w:val="0"/>
        <w:autoSpaceDN w:val="0"/>
        <w:adjustRightInd w:val="0"/>
        <w:spacing w:after="0" w:line="240" w:lineRule="auto"/>
        <w:ind w:left="709" w:firstLine="11"/>
        <w:jc w:val="both"/>
      </w:pPr>
      <w:r>
        <w:t xml:space="preserve">Obviously none of the Cases has used the classification presented in the MAES Analytical Framework. In some cases they are very similar to the MAES categories and easily translatable, but standardisation is necessary to be able to make use of EU datasets and cross-compare approaches. In some of the cases (Flanders and Wallonia) land use categories were used. The </w:t>
      </w:r>
      <w:r w:rsidRPr="004D5D3A">
        <w:t>Marine</w:t>
      </w:r>
      <w:r>
        <w:t xml:space="preserve"> case uses official Natura2000 </w:t>
      </w:r>
      <w:r w:rsidRPr="004D5D3A">
        <w:t>habitats</w:t>
      </w:r>
      <w:r>
        <w:t>. The different classifications, in combination with different resolutions and indicators, makes a real cross comparison irrelevant.</w:t>
      </w:r>
    </w:p>
    <w:p w:rsidR="001C55F3" w:rsidRPr="004D5D3A" w:rsidRDefault="001C55F3" w:rsidP="00622218">
      <w:pPr>
        <w:pStyle w:val="Paragraphedeliste"/>
        <w:numPr>
          <w:ilvl w:val="0"/>
          <w:numId w:val="63"/>
        </w:numPr>
        <w:autoSpaceDE w:val="0"/>
        <w:autoSpaceDN w:val="0"/>
        <w:adjustRightInd w:val="0"/>
        <w:spacing w:after="0" w:line="240" w:lineRule="auto"/>
        <w:jc w:val="both"/>
        <w:rPr>
          <w:b/>
          <w:i/>
        </w:rPr>
      </w:pPr>
      <w:r w:rsidRPr="004D5D3A">
        <w:rPr>
          <w:b/>
          <w:i/>
        </w:rPr>
        <w:t>The Ecosystem Services covered in the case study (similar: Classification used; a European example, RUBICODE, CICES etc…)</w:t>
      </w:r>
    </w:p>
    <w:p w:rsidR="001C55F3" w:rsidRDefault="001C55F3" w:rsidP="002111A9">
      <w:pPr>
        <w:pStyle w:val="Paragraphedeliste"/>
        <w:spacing w:line="240" w:lineRule="auto"/>
      </w:pPr>
      <w:r>
        <w:t>For Ecosystem Services assessment many different frameworks are in use. To illustrate the differences we developed a table which describes the ecosystem services per case compared to the TEEB and CICES classifications (copied from the MAES Framework). This is described in Section 4.4.</w:t>
      </w:r>
    </w:p>
    <w:p w:rsidR="001C55F3" w:rsidRDefault="001C55F3" w:rsidP="002111A9">
      <w:pPr>
        <w:pStyle w:val="Paragraphedeliste"/>
        <w:spacing w:line="240" w:lineRule="auto"/>
        <w:rPr>
          <w:rFonts w:ascii="Calibri" w:eastAsia="Times New Roman" w:hAnsi="Calibri" w:cs="Calibri"/>
          <w:color w:val="000000"/>
          <w:lang w:eastAsia="de-AT"/>
        </w:rPr>
      </w:pPr>
      <w:r>
        <w:t>A quick scan in Table 4.2 (below) shows that in Spain the</w:t>
      </w:r>
      <w:r w:rsidRPr="004D5D3A">
        <w:t xml:space="preserve"> DPSIR </w:t>
      </w:r>
      <w:r w:rsidRPr="004D5D3A">
        <w:rPr>
          <w:b/>
        </w:rPr>
        <w:t>framework</w:t>
      </w:r>
      <w:r>
        <w:t xml:space="preserve"> was instrumental in combination with the Millennium Ecosystem Assessment Classification. The UK study (as part of the UK NEA) follows the MA but has its own selection of ecosystems and services. The</w:t>
      </w:r>
      <w:r w:rsidRPr="004D5D3A">
        <w:t xml:space="preserve"> TEEB classification</w:t>
      </w:r>
      <w:r>
        <w:t xml:space="preserve"> has been the basis in Belgium and the Netherlands, with regional selections. The Swiss studies are using a classification by DeGroot in 2002, who later was influential in developing the TEEB classification, e.g. the introduction of the socalled Habitat Services.  In Flanders in the future (2014) CICES will be leading. </w:t>
      </w:r>
    </w:p>
    <w:p w:rsidR="001C55F3" w:rsidRPr="004D5D3A" w:rsidRDefault="001C55F3" w:rsidP="002111A9">
      <w:pPr>
        <w:pStyle w:val="Paragraphedeliste"/>
        <w:spacing w:line="240" w:lineRule="auto"/>
      </w:pPr>
      <w:r>
        <w:rPr>
          <w:rFonts w:ascii="Calibri" w:eastAsia="Times New Roman" w:hAnsi="Calibri" w:cs="Calibri"/>
          <w:color w:val="000000"/>
          <w:lang w:eastAsia="de-AT"/>
        </w:rPr>
        <w:t>The regional cases, and many of the Balkan studies are regional, but also Belgium, Austria, some of the Swiss and the Dutch study report very restricted selections. It is not always clear to what extent a systematic analysis (e.g. checking potential or actual services in the region against the full list) was conducted. In developing a Guidance Document for use across the Member States, such a systematic approach must prevail, otherwise potentially economic relevant services can be missed and future trade-offs in land use planning will be skewed.</w:t>
      </w:r>
    </w:p>
    <w:p w:rsidR="001C55F3" w:rsidRPr="004D5D3A" w:rsidRDefault="001C55F3" w:rsidP="00622218">
      <w:pPr>
        <w:pStyle w:val="Paragraphedeliste"/>
        <w:numPr>
          <w:ilvl w:val="0"/>
          <w:numId w:val="63"/>
        </w:numPr>
        <w:autoSpaceDE w:val="0"/>
        <w:autoSpaceDN w:val="0"/>
        <w:adjustRightInd w:val="0"/>
        <w:spacing w:after="0" w:line="240" w:lineRule="auto"/>
        <w:jc w:val="both"/>
        <w:rPr>
          <w:b/>
          <w:i/>
        </w:rPr>
      </w:pPr>
      <w:r w:rsidRPr="004D5D3A">
        <w:rPr>
          <w:b/>
          <w:i/>
        </w:rPr>
        <w:t>The indicators per Ecosystem / ecosystem service (cells in the matrix).</w:t>
      </w:r>
    </w:p>
    <w:p w:rsidR="001C55F3" w:rsidRDefault="001C55F3" w:rsidP="002111A9">
      <w:pPr>
        <w:pStyle w:val="Paragraphedeliste"/>
        <w:spacing w:line="240" w:lineRule="auto"/>
      </w:pPr>
      <w:r>
        <w:t>Some of the Fact Sheets list full tables of indicators used, and a quick scan of these tables show that there is not yet a systematic approach to selecting them. As was clear in the PRESS studies (Maes et al., 2011 and 2012) this was already observed. Some cases choose many indicators, without clarifying whether it is a stock or a flow indicator and how these reflect the particular service. Only the Swiss studies are systematic in their stock / flow distinction. N.B. By definition a service is a flow derived from a stock, e.g. harvested timber from a forest, or sun energy from the sun.</w:t>
      </w:r>
    </w:p>
    <w:p w:rsidR="001C55F3" w:rsidRDefault="001C55F3" w:rsidP="002111A9">
      <w:pPr>
        <w:pStyle w:val="Paragraphedeliste"/>
        <w:spacing w:line="240" w:lineRule="auto"/>
      </w:pPr>
      <w:r>
        <w:t>The data availability is often leading in the choices, but not always explicitly. The use of biodiversity features as indicators for ecosystem services is very limited.</w:t>
      </w:r>
    </w:p>
    <w:p w:rsidR="001C55F3" w:rsidRPr="004D5D3A" w:rsidRDefault="001C55F3" w:rsidP="002111A9">
      <w:pPr>
        <w:pStyle w:val="Paragraphedeliste"/>
        <w:spacing w:line="240" w:lineRule="auto"/>
      </w:pPr>
      <w:r>
        <w:lastRenderedPageBreak/>
        <w:t>The scope of the present study does not warrant a detailed analysis of the indicators issue. The JRC report (by ….) helps but it is only based on the published peer review literature. Many smartly chosen indicators (i.e. limited data needs, well reflecting the actual service flow) can be derived from EU and Country statistics, which (if accessible to MAES) can be a good source of harmonised description and quantification.</w:t>
      </w:r>
    </w:p>
    <w:p w:rsidR="001C55F3" w:rsidRPr="004D5D3A" w:rsidRDefault="001C55F3" w:rsidP="00622218">
      <w:pPr>
        <w:pStyle w:val="Paragraphedeliste"/>
        <w:numPr>
          <w:ilvl w:val="0"/>
          <w:numId w:val="63"/>
        </w:numPr>
        <w:autoSpaceDE w:val="0"/>
        <w:autoSpaceDN w:val="0"/>
        <w:adjustRightInd w:val="0"/>
        <w:spacing w:after="0" w:line="240" w:lineRule="auto"/>
        <w:jc w:val="both"/>
        <w:rPr>
          <w:b/>
          <w:i/>
        </w:rPr>
      </w:pPr>
      <w:r w:rsidRPr="004D5D3A">
        <w:rPr>
          <w:b/>
          <w:i/>
        </w:rPr>
        <w:t>The quantification methods of the indicators (case specific field work, statistics, interpolation modelling, other; please indicate data sources whenever possible, especially relevant if it is a National or EU source, which can be accessed by other researchers)</w:t>
      </w:r>
    </w:p>
    <w:p w:rsidR="001C55F3" w:rsidRPr="002111A9" w:rsidRDefault="001C55F3" w:rsidP="002111A9">
      <w:pPr>
        <w:pStyle w:val="Paragraphedeliste"/>
        <w:spacing w:line="240" w:lineRule="auto"/>
        <w:rPr>
          <w:rFonts w:ascii="Calibri" w:eastAsia="Times New Roman" w:hAnsi="Calibri" w:cs="Calibri"/>
          <w:color w:val="000000"/>
          <w:lang w:eastAsia="de-AT"/>
        </w:rPr>
      </w:pPr>
      <w:r>
        <w:rPr>
          <w:rFonts w:ascii="Calibri" w:eastAsia="Times New Roman" w:hAnsi="Calibri" w:cs="Calibri"/>
          <w:color w:val="000000"/>
          <w:lang w:eastAsia="de-AT"/>
        </w:rPr>
        <w:t>This question in the Fact Sheets generated a very diverse series of answers. The quantification was done by all the suggested methods, and others, in the different cases. From monitoring data via simulation modelling, look-up tables  to expert judgement with base information, to Delphi methods, and questionnaires. Most of the studies using quantitative data (e.g. UK NEA) or models (Swiss cases)are generic and applicable to other case studies. The expert judgement approach, using Burkhard’s table (Burkhard et al., 2010)  as structure and some basic information to guide the experts in assigning scores (e.g. 0-5 for low to high service delivery) was used in the quick analyses where monitoring data or field based statistics are rare or absent. These “quick scans” may offer a very good start, if the expert judgements are documented. The next step would then be to use data and models to check and complete the picture.</w:t>
      </w:r>
    </w:p>
    <w:p w:rsidR="001C55F3" w:rsidRPr="004D5D3A" w:rsidRDefault="001C55F3" w:rsidP="00622218">
      <w:pPr>
        <w:pStyle w:val="Paragraphedeliste"/>
        <w:numPr>
          <w:ilvl w:val="0"/>
          <w:numId w:val="63"/>
        </w:numPr>
        <w:autoSpaceDE w:val="0"/>
        <w:autoSpaceDN w:val="0"/>
        <w:adjustRightInd w:val="0"/>
        <w:spacing w:after="0" w:line="240" w:lineRule="auto"/>
        <w:jc w:val="both"/>
        <w:rPr>
          <w:b/>
          <w:i/>
        </w:rPr>
      </w:pPr>
      <w:r w:rsidRPr="004D5D3A">
        <w:rPr>
          <w:b/>
          <w:i/>
        </w:rPr>
        <w:t>EU Directive reporting indicators &amp; data used (</w:t>
      </w:r>
      <w:r w:rsidRPr="004D5D3A">
        <w:rPr>
          <w:b/>
          <w:i/>
          <w:u w:val="single"/>
        </w:rPr>
        <w:t>with reference to Task 2</w:t>
      </w:r>
      <w:r w:rsidRPr="004D5D3A">
        <w:rPr>
          <w:b/>
          <w:i/>
        </w:rPr>
        <w:t>, please indicate if the case study has made use of existing national reporting structures for the Habitat, WFD or Marine Strategy reporting obligations, and if so please refer to those, add examples/ copies, identify which indicators are used for both EU reporting and your ecosystem service assessment)</w:t>
      </w:r>
    </w:p>
    <w:p w:rsidR="001C55F3" w:rsidRPr="004D5D3A" w:rsidRDefault="001C55F3" w:rsidP="002111A9">
      <w:pPr>
        <w:pStyle w:val="Paragraphedeliste"/>
        <w:autoSpaceDE w:val="0"/>
        <w:autoSpaceDN w:val="0"/>
        <w:adjustRightInd w:val="0"/>
        <w:spacing w:after="0" w:line="240" w:lineRule="auto"/>
        <w:jc w:val="both"/>
      </w:pPr>
      <w:r>
        <w:t>This question was not answered very well. Flanders, Austria and Spain were separately also working on the TASK 2 information collection. This will therefore be left to the TASK 2 report.</w:t>
      </w:r>
    </w:p>
    <w:p w:rsidR="001C55F3" w:rsidRPr="004D5D3A" w:rsidRDefault="001C55F3" w:rsidP="00622218">
      <w:pPr>
        <w:pStyle w:val="Paragraphedeliste"/>
        <w:numPr>
          <w:ilvl w:val="0"/>
          <w:numId w:val="63"/>
        </w:numPr>
        <w:autoSpaceDE w:val="0"/>
        <w:autoSpaceDN w:val="0"/>
        <w:adjustRightInd w:val="0"/>
        <w:spacing w:after="0" w:line="240" w:lineRule="auto"/>
        <w:jc w:val="both"/>
        <w:rPr>
          <w:b/>
          <w:i/>
        </w:rPr>
      </w:pPr>
      <w:r w:rsidRPr="004D5D3A">
        <w:rPr>
          <w:b/>
          <w:i/>
        </w:rPr>
        <w:t>Scientific analysis, e.g. representativeness of indicators for services and systems, uncertainty  (has any further analysis been done in the context of the case study, or separately, on the scientific quality, examining the above mentioned items??)</w:t>
      </w:r>
    </w:p>
    <w:p w:rsidR="001C55F3" w:rsidRDefault="001C55F3" w:rsidP="002111A9">
      <w:pPr>
        <w:spacing w:after="0" w:line="240" w:lineRule="auto"/>
        <w:ind w:left="720"/>
        <w:rPr>
          <w:lang w:eastAsia="zh-TW"/>
        </w:rPr>
      </w:pPr>
      <w:r w:rsidRPr="00BE7F63">
        <w:rPr>
          <w:lang w:eastAsia="zh-TW"/>
        </w:rPr>
        <w:t>Across the set of cases, this was not a strong point. Only the Swiss report serious scientific and technical analysis of their assessments, but these were modelling studies</w:t>
      </w:r>
      <w:r>
        <w:rPr>
          <w:lang w:eastAsia="zh-TW"/>
        </w:rPr>
        <w:t>.</w:t>
      </w:r>
      <w:r>
        <w:t>Rigorous mapping is key at the EU level if the ES should be used for strategic purposes and can be done in a high-quality manner as discussed at the last ESP conference in Kiel.</w:t>
      </w:r>
      <w:r w:rsidRPr="00BE7F63">
        <w:rPr>
          <w:lang w:eastAsia="zh-TW"/>
        </w:rPr>
        <w:t xml:space="preserve"> The applied science activities in the other cases were essentially not validated or screened.</w:t>
      </w:r>
    </w:p>
    <w:p w:rsidR="001C55F3" w:rsidRPr="000C449B" w:rsidRDefault="001C55F3" w:rsidP="00622218">
      <w:pPr>
        <w:pStyle w:val="Paragraphedeliste"/>
        <w:numPr>
          <w:ilvl w:val="0"/>
          <w:numId w:val="63"/>
        </w:numPr>
        <w:spacing w:line="240" w:lineRule="auto"/>
        <w:rPr>
          <w:b/>
          <w:i/>
          <w:lang w:eastAsia="zh-TW"/>
        </w:rPr>
      </w:pPr>
      <w:r w:rsidRPr="000C449B">
        <w:rPr>
          <w:b/>
          <w:i/>
          <w:lang w:eastAsia="zh-TW"/>
        </w:rPr>
        <w:t>Maps</w:t>
      </w:r>
    </w:p>
    <w:p w:rsidR="001C55F3" w:rsidRPr="000C449B" w:rsidRDefault="001C55F3" w:rsidP="002111A9">
      <w:pPr>
        <w:pStyle w:val="Paragraphedeliste"/>
        <w:spacing w:line="240" w:lineRule="auto"/>
        <w:rPr>
          <w:sz w:val="24"/>
          <w:szCs w:val="24"/>
        </w:rPr>
      </w:pPr>
      <w:r w:rsidRPr="000C449B">
        <w:rPr>
          <w:sz w:val="24"/>
          <w:szCs w:val="24"/>
        </w:rPr>
        <w:t xml:space="preserve">In Group 2 </w:t>
      </w:r>
      <w:r>
        <w:rPr>
          <w:sz w:val="24"/>
          <w:szCs w:val="24"/>
        </w:rPr>
        <w:t xml:space="preserve">questions of the Fact Sheet </w:t>
      </w:r>
      <w:r w:rsidRPr="000C449B">
        <w:rPr>
          <w:sz w:val="24"/>
          <w:szCs w:val="24"/>
        </w:rPr>
        <w:t>we asked the case study reporters to provide the project with Maps as examples of the case study results. The maps are collected in ANNEX</w:t>
      </w:r>
      <w:r>
        <w:rPr>
          <w:sz w:val="24"/>
          <w:szCs w:val="24"/>
        </w:rPr>
        <w:t xml:space="preserve"> to the MESEU studies</w:t>
      </w:r>
      <w:r w:rsidRPr="000C449B">
        <w:rPr>
          <w:sz w:val="24"/>
          <w:szCs w:val="24"/>
        </w:rPr>
        <w:t>. Very little can be analysed, other than that the maps reflect choices between scientific representation of indicators and policy relevance at the level of recognisable ecosystem services.</w:t>
      </w:r>
    </w:p>
    <w:p w:rsidR="001C55F3" w:rsidRPr="00BE7F63" w:rsidRDefault="001C55F3" w:rsidP="000C449B">
      <w:pPr>
        <w:pStyle w:val="Paragraphedeliste"/>
        <w:spacing w:line="240" w:lineRule="auto"/>
        <w:rPr>
          <w:lang w:eastAsia="zh-TW"/>
        </w:rPr>
      </w:pPr>
    </w:p>
    <w:p w:rsidR="001C55F3" w:rsidRDefault="001C55F3" w:rsidP="002111A9">
      <w:pPr>
        <w:spacing w:after="0"/>
        <w:rPr>
          <w:b/>
          <w:u w:val="single"/>
          <w:lang w:eastAsia="zh-TW"/>
        </w:rPr>
      </w:pPr>
      <w:r w:rsidRPr="004D5D3A">
        <w:rPr>
          <w:b/>
          <w:u w:val="single"/>
          <w:lang w:eastAsia="zh-TW"/>
        </w:rPr>
        <w:t>General Strong and Weak points of the case studies and approaches in Group 2</w:t>
      </w:r>
    </w:p>
    <w:p w:rsidR="001C55F3" w:rsidRDefault="001C55F3" w:rsidP="003D7894">
      <w:pPr>
        <w:pStyle w:val="Commentaire"/>
      </w:pPr>
      <w:r w:rsidRPr="00CC283C">
        <w:rPr>
          <w:sz w:val="22"/>
          <w:szCs w:val="22"/>
        </w:rPr>
        <w:t>Discussions at the ESP conference in Kiel concluded that, while a look-up table approach might be a good way in a data poor environment, it is very subjective and does not recognize all the knowledge available already in the countries linked to quantitative data, which they monitor regularly and thus can be used for long-term assessments. Here generic quantitative methods as suggested by the UK, Switzerland or Austria could be bundled to provide importance guidance on how to proceed. A Tier approach could be prepared</w:t>
      </w:r>
      <w:r w:rsidRPr="00CC283C">
        <w:t>.</w:t>
      </w:r>
    </w:p>
    <w:p w:rsidR="001C55F3" w:rsidRPr="00926B8F" w:rsidRDefault="001C55F3" w:rsidP="00926B8F">
      <w:pPr>
        <w:spacing w:line="240" w:lineRule="auto"/>
        <w:rPr>
          <w:lang w:eastAsia="zh-TW"/>
        </w:rPr>
      </w:pPr>
      <w:r w:rsidRPr="00926B8F">
        <w:rPr>
          <w:lang w:eastAsia="zh-TW"/>
        </w:rPr>
        <w:lastRenderedPageBreak/>
        <w:t>The Strong points of the Burkhard based expert judgements are of course that they are relatively cheap and quick, with the weakness that they are not transparent, unless the experts clarify their judgements</w:t>
      </w:r>
      <w:r>
        <w:rPr>
          <w:lang w:eastAsia="zh-TW"/>
        </w:rPr>
        <w:t>, and fail to recognize the large amount of data collected and monitored in the different countries which can be used for ecosystem services mapping</w:t>
      </w:r>
      <w:r w:rsidRPr="00926B8F">
        <w:rPr>
          <w:lang w:eastAsia="zh-TW"/>
        </w:rPr>
        <w:t>.</w:t>
      </w:r>
      <w:r w:rsidRPr="00926B8F">
        <w:t>Weak across the Group 2 is that the studies reflect a very diverse landscape of approaches, with lack of standards which makes scientific testing and comparability and matching with EU datasets very difficult.</w:t>
      </w:r>
    </w:p>
    <w:p w:rsidR="001C55F3" w:rsidRPr="00D7002C" w:rsidRDefault="001C55F3" w:rsidP="00D7002C">
      <w:pPr>
        <w:pStyle w:val="Paragraphedeliste"/>
        <w:autoSpaceDE w:val="0"/>
        <w:autoSpaceDN w:val="0"/>
        <w:adjustRightInd w:val="0"/>
        <w:spacing w:after="0" w:line="240" w:lineRule="auto"/>
        <w:jc w:val="both"/>
        <w:rPr>
          <w:sz w:val="24"/>
          <w:szCs w:val="24"/>
        </w:rPr>
      </w:pPr>
    </w:p>
    <w:p w:rsidR="001C55F3" w:rsidRPr="00683D9E" w:rsidRDefault="001C55F3" w:rsidP="00914532">
      <w:pPr>
        <w:rPr>
          <w:b/>
          <w:lang w:eastAsia="zh-TW"/>
        </w:rPr>
      </w:pPr>
      <w:r w:rsidRPr="00683D9E">
        <w:rPr>
          <w:b/>
          <w:lang w:eastAsia="zh-TW"/>
        </w:rPr>
        <w:t xml:space="preserve">Table </w:t>
      </w:r>
      <w:r>
        <w:rPr>
          <w:b/>
          <w:lang w:eastAsia="zh-TW"/>
        </w:rPr>
        <w:t>3.2</w:t>
      </w:r>
      <w:r>
        <w:rPr>
          <w:b/>
          <w:lang w:eastAsia="zh-TW"/>
        </w:rPr>
        <w:tab/>
      </w:r>
      <w:r w:rsidRPr="00683D9E">
        <w:rPr>
          <w:b/>
          <w:lang w:eastAsia="zh-TW"/>
        </w:rPr>
        <w:t xml:space="preserve">Group </w:t>
      </w:r>
      <w:r>
        <w:rPr>
          <w:b/>
          <w:lang w:eastAsia="zh-TW"/>
        </w:rPr>
        <w:t>2</w:t>
      </w:r>
      <w:r w:rsidRPr="00683D9E">
        <w:rPr>
          <w:b/>
          <w:lang w:eastAsia="zh-TW"/>
        </w:rPr>
        <w:t xml:space="preserve"> Summary Fact Sheet Results</w:t>
      </w:r>
    </w:p>
    <w:tbl>
      <w:tblPr>
        <w:tblW w:w="13999" w:type="dxa"/>
        <w:tblLayout w:type="fixed"/>
        <w:tblCellMar>
          <w:left w:w="30" w:type="dxa"/>
          <w:right w:w="30" w:type="dxa"/>
        </w:tblCellMar>
        <w:tblLook w:val="0000"/>
      </w:tblPr>
      <w:tblGrid>
        <w:gridCol w:w="1507"/>
        <w:gridCol w:w="1075"/>
        <w:gridCol w:w="1958"/>
        <w:gridCol w:w="1959"/>
        <w:gridCol w:w="1958"/>
        <w:gridCol w:w="1779"/>
        <w:gridCol w:w="1805"/>
        <w:gridCol w:w="1958"/>
      </w:tblGrid>
      <w:tr w:rsidR="001C55F3" w:rsidTr="003010EE">
        <w:trPr>
          <w:trHeight w:val="780"/>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jc w:val="center"/>
              <w:rPr>
                <w:rFonts w:ascii="Calibri" w:hAnsi="Calibri" w:cs="Calibri"/>
                <w:b/>
                <w:color w:val="000000"/>
                <w:sz w:val="20"/>
                <w:szCs w:val="20"/>
              </w:rPr>
            </w:pPr>
            <w:r w:rsidRPr="000A3DA1">
              <w:rPr>
                <w:rFonts w:ascii="Calibri" w:hAnsi="Calibri" w:cs="Calibri"/>
                <w:b/>
                <w:color w:val="000000"/>
                <w:sz w:val="20"/>
                <w:szCs w:val="20"/>
              </w:rPr>
              <w:t>GROUP 2 QUESTIONS</w:t>
            </w: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jc w:val="center"/>
              <w:rPr>
                <w:rFonts w:ascii="Calibri" w:hAnsi="Calibri" w:cs="Calibri"/>
                <w:b/>
                <w:color w:val="000000"/>
                <w:sz w:val="20"/>
                <w:szCs w:val="20"/>
              </w:rPr>
            </w:pPr>
            <w:r w:rsidRPr="00E404C5">
              <w:rPr>
                <w:rFonts w:ascii="Calibri" w:hAnsi="Calibri" w:cs="Calibri"/>
                <w:b/>
                <w:color w:val="000000"/>
                <w:sz w:val="20"/>
                <w:szCs w:val="20"/>
              </w:rPr>
              <w:t>Science &amp; assessment</w:t>
            </w:r>
          </w:p>
        </w:tc>
        <w:tc>
          <w:tcPr>
            <w:tcW w:w="1958"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Q 1: Ecoystems</w:t>
            </w:r>
          </w:p>
        </w:tc>
        <w:tc>
          <w:tcPr>
            <w:tcW w:w="1959"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Q 2: Ecosystem services</w:t>
            </w:r>
          </w:p>
        </w:tc>
        <w:tc>
          <w:tcPr>
            <w:tcW w:w="1958"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Q 3: indicators</w:t>
            </w:r>
          </w:p>
        </w:tc>
        <w:tc>
          <w:tcPr>
            <w:tcW w:w="1779"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Q 4: quantification</w:t>
            </w:r>
          </w:p>
        </w:tc>
        <w:tc>
          <w:tcPr>
            <w:tcW w:w="1805"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Q 5: EU data</w:t>
            </w:r>
          </w:p>
        </w:tc>
        <w:tc>
          <w:tcPr>
            <w:tcW w:w="1958"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Q 6: Scientific analysis or critical view on own work</w:t>
            </w:r>
          </w:p>
        </w:tc>
      </w:tr>
      <w:tr w:rsidR="001C55F3" w:rsidTr="003010EE">
        <w:trPr>
          <w:trHeight w:val="754"/>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1.1. U.K.</w:t>
            </w: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UK Ecosystems, Phase 1 habitat categories</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MA-Classification=&gt; selection</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Many ;Overview in UK NEA (2010)</w:t>
            </w:r>
          </w:p>
        </w:tc>
        <w:tc>
          <w:tcPr>
            <w:tcW w:w="177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Remote Sensing, Country Side Survey, Ecosystem maps</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RS database JRC</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nr</w:t>
            </w:r>
          </w:p>
        </w:tc>
      </w:tr>
      <w:tr w:rsidR="001C55F3" w:rsidTr="003010EE">
        <w:trPr>
          <w:trHeight w:val="826"/>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1.2. Spain</w:t>
            </w: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Spanish selection / EU Baseline (EEA2010)</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 based Spanish specific services (linked to TEEB &amp; CICES)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Many; Overview in Spanish MA reports</w:t>
            </w:r>
          </w:p>
        </w:tc>
        <w:tc>
          <w:tcPr>
            <w:tcW w:w="177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Land use maps, biodiv Monitoring, National statistics</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Europarc, JRC water use</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DPSIR framework was "successfully" applied</w:t>
            </w:r>
          </w:p>
        </w:tc>
      </w:tr>
      <w:tr w:rsidR="001C55F3" w:rsidRPr="002B17C1" w:rsidTr="003010EE">
        <w:trPr>
          <w:trHeight w:val="1096"/>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2.1. Belgium</w:t>
            </w: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2.1.a. Flanders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Flanders/Brussels Land use map classes.</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Belgian Adaptation of CICES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Many; potential ES supply indicators;</w:t>
            </w:r>
          </w:p>
        </w:tc>
        <w:tc>
          <w:tcPr>
            <w:tcW w:w="177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Burkhard et al matrix =&gt; Flanders Land Use types + expert judgement =&gt; classes</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not used</w:t>
            </w:r>
          </w:p>
        </w:tc>
        <w:tc>
          <w:tcPr>
            <w:tcW w:w="1958" w:type="dxa"/>
            <w:tcBorders>
              <w:top w:val="single" w:sz="6" w:space="0" w:color="auto"/>
              <w:left w:val="single" w:sz="6" w:space="0" w:color="auto"/>
              <w:bottom w:val="single" w:sz="6" w:space="0" w:color="auto"/>
              <w:right w:val="single" w:sz="6" w:space="0" w:color="auto"/>
            </w:tcBorders>
          </w:tcPr>
          <w:p w:rsidR="001C55F3" w:rsidRPr="00A80D6D" w:rsidRDefault="001C55F3">
            <w:pPr>
              <w:autoSpaceDE w:val="0"/>
              <w:autoSpaceDN w:val="0"/>
              <w:adjustRightInd w:val="0"/>
              <w:spacing w:after="0" w:line="240" w:lineRule="auto"/>
              <w:rPr>
                <w:rFonts w:ascii="Calibri" w:hAnsi="Calibri" w:cs="Calibri"/>
                <w:color w:val="000000"/>
                <w:sz w:val="20"/>
                <w:szCs w:val="20"/>
                <w:lang w:val="fr-CH"/>
              </w:rPr>
            </w:pPr>
            <w:r w:rsidRPr="00A80D6D">
              <w:rPr>
                <w:rFonts w:ascii="Calibri" w:hAnsi="Calibri" w:cs="Calibri"/>
                <w:color w:val="000000"/>
                <w:sz w:val="20"/>
                <w:szCs w:val="20"/>
                <w:lang w:val="fr-CH"/>
              </w:rPr>
              <w:t>qualitative estimation, in expert judgement etc.</w:t>
            </w:r>
          </w:p>
        </w:tc>
      </w:tr>
      <w:tr w:rsidR="001C55F3" w:rsidTr="003010EE">
        <w:trPr>
          <w:trHeight w:val="605"/>
        </w:trPr>
        <w:tc>
          <w:tcPr>
            <w:tcW w:w="1507" w:type="dxa"/>
            <w:tcBorders>
              <w:top w:val="single" w:sz="6" w:space="0" w:color="auto"/>
              <w:left w:val="single" w:sz="6" w:space="0" w:color="auto"/>
              <w:bottom w:val="single" w:sz="6" w:space="0" w:color="auto"/>
              <w:right w:val="single" w:sz="6" w:space="0" w:color="auto"/>
            </w:tcBorders>
          </w:tcPr>
          <w:p w:rsidR="001C55F3" w:rsidRPr="00A80D6D" w:rsidRDefault="001C55F3">
            <w:pPr>
              <w:autoSpaceDE w:val="0"/>
              <w:autoSpaceDN w:val="0"/>
              <w:adjustRightInd w:val="0"/>
              <w:spacing w:after="0" w:line="240" w:lineRule="auto"/>
              <w:jc w:val="right"/>
              <w:rPr>
                <w:rFonts w:ascii="Calibri" w:hAnsi="Calibri" w:cs="Calibri"/>
                <w:b/>
                <w:color w:val="000000"/>
                <w:sz w:val="20"/>
                <w:szCs w:val="20"/>
                <w:lang w:val="fr-CH"/>
              </w:rPr>
            </w:pP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2.1.b. Flanders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Flanders Natura 2000 sites.</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TEEB &amp; Jacobs et al, 2010</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Many; Supply vs Demand</w:t>
            </w:r>
          </w:p>
        </w:tc>
        <w:tc>
          <w:tcPr>
            <w:tcW w:w="177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Monitoring data; statistics, maps</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r>
      <w:tr w:rsidR="001C55F3" w:rsidTr="003010EE">
        <w:trPr>
          <w:trHeight w:val="958"/>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jc w:val="right"/>
              <w:rPr>
                <w:rFonts w:ascii="Calibri" w:hAnsi="Calibri" w:cs="Calibri"/>
                <w:b/>
                <w:color w:val="000000"/>
                <w:sz w:val="20"/>
                <w:szCs w:val="20"/>
              </w:rPr>
            </w:pP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2.1.c. Wallonia</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Wallonia Land use map classes.</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Belgian Adaptation of CICES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Many; potential ES supply indicators;</w:t>
            </w:r>
          </w:p>
        </w:tc>
        <w:tc>
          <w:tcPr>
            <w:tcW w:w="177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Burkhard et al matrix =&gt; Walloon Land Use types + expert judgement =&gt; classes</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r>
      <w:tr w:rsidR="001C55F3" w:rsidTr="003010EE">
        <w:trPr>
          <w:trHeight w:val="1100"/>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2.2. Austria</w:t>
            </w: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jc w:val="right"/>
              <w:rPr>
                <w:rFonts w:ascii="Calibri" w:hAnsi="Calibri" w:cs="Calibri"/>
                <w:b/>
                <w:color w:val="000000"/>
                <w:sz w:val="20"/>
                <w:szCs w:val="20"/>
              </w:rPr>
            </w:pP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Land Use/ Land cover, national based on Databases &amp;Cadstral map</w:t>
            </w:r>
          </w:p>
        </w:tc>
        <w:tc>
          <w:tcPr>
            <w:tcW w:w="1959"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color w:val="000000"/>
                <w:sz w:val="20"/>
                <w:szCs w:val="20"/>
                <w:lang w:val="nl-NL"/>
              </w:rPr>
            </w:pPr>
            <w:r w:rsidRPr="000A3DA1">
              <w:rPr>
                <w:rFonts w:ascii="Calibri" w:hAnsi="Calibri" w:cs="Calibri"/>
                <w:color w:val="000000"/>
                <w:sz w:val="20"/>
                <w:szCs w:val="20"/>
                <w:lang w:val="nl-NL"/>
              </w:rPr>
              <w:t>De Groot  et al. (2002), De Groot (2006), data availability &amp;Stakeholders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Various per service</w:t>
            </w:r>
          </w:p>
        </w:tc>
        <w:tc>
          <w:tcPr>
            <w:tcW w:w="177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56 classes, based on ecosystem maps, statistics, models</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HD&amp;BD basic information </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extensive evaluation of strength &amp; weaknesses</w:t>
            </w:r>
          </w:p>
        </w:tc>
      </w:tr>
      <w:tr w:rsidR="001C55F3" w:rsidTr="003010EE">
        <w:trPr>
          <w:trHeight w:val="974"/>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lastRenderedPageBreak/>
              <w:t>3.1. Switzerland</w:t>
            </w: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3.1.b. Regional</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Swiss land use map classes</w:t>
            </w:r>
          </w:p>
        </w:tc>
        <w:tc>
          <w:tcPr>
            <w:tcW w:w="1959" w:type="dxa"/>
            <w:tcBorders>
              <w:top w:val="single" w:sz="6" w:space="0" w:color="auto"/>
              <w:left w:val="single" w:sz="6" w:space="0" w:color="auto"/>
              <w:bottom w:val="single" w:sz="6" w:space="0" w:color="auto"/>
              <w:right w:val="single" w:sz="6" w:space="0" w:color="auto"/>
            </w:tcBorders>
          </w:tcPr>
          <w:p w:rsidR="001C55F3" w:rsidRPr="003D7894" w:rsidRDefault="001C55F3">
            <w:pPr>
              <w:autoSpaceDE w:val="0"/>
              <w:autoSpaceDN w:val="0"/>
              <w:adjustRightInd w:val="0"/>
              <w:spacing w:after="0" w:line="240" w:lineRule="auto"/>
              <w:rPr>
                <w:rFonts w:ascii="Calibri" w:hAnsi="Calibri" w:cs="Calibri"/>
                <w:color w:val="000000"/>
                <w:sz w:val="20"/>
                <w:szCs w:val="20"/>
                <w:lang w:val="de-CH"/>
              </w:rPr>
            </w:pPr>
            <w:r w:rsidRPr="003D7894">
              <w:rPr>
                <w:rFonts w:ascii="Calibri" w:hAnsi="Calibri" w:cs="Calibri"/>
                <w:color w:val="000000"/>
                <w:sz w:val="20"/>
                <w:szCs w:val="20"/>
                <w:lang w:val="de-CH"/>
              </w:rPr>
              <w:t>Swiss indicatorreport(Kanzig&amp; Hauser, 2009)</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1 or 2 (stock &amp; flow) per selected service (9) </w:t>
            </w:r>
          </w:p>
        </w:tc>
        <w:tc>
          <w:tcPr>
            <w:tcW w:w="1779" w:type="dxa"/>
            <w:tcBorders>
              <w:top w:val="single" w:sz="6" w:space="0" w:color="auto"/>
              <w:left w:val="single" w:sz="6" w:space="0" w:color="auto"/>
              <w:bottom w:val="single" w:sz="6" w:space="0" w:color="auto"/>
              <w:right w:val="single" w:sz="6" w:space="0" w:color="auto"/>
            </w:tcBorders>
          </w:tcPr>
          <w:p w:rsidR="001C55F3" w:rsidRDefault="001C55F3" w:rsidP="00B2292F">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national data used inventories, land use maps, process-based models</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nr</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scenario based uncertainty analysis</w:t>
            </w:r>
          </w:p>
        </w:tc>
      </w:tr>
      <w:tr w:rsidR="001C55F3" w:rsidTr="003010EE">
        <w:trPr>
          <w:trHeight w:val="1013"/>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jc w:val="right"/>
              <w:rPr>
                <w:rFonts w:ascii="Calibri" w:hAnsi="Calibri" w:cs="Calibri"/>
                <w:b/>
                <w:color w:val="000000"/>
                <w:sz w:val="20"/>
                <w:szCs w:val="20"/>
              </w:rPr>
            </w:pP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3.1.c. Local</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forest</w:t>
            </w:r>
          </w:p>
        </w:tc>
        <w:tc>
          <w:tcPr>
            <w:tcW w:w="1959" w:type="dxa"/>
            <w:tcBorders>
              <w:top w:val="single" w:sz="6" w:space="0" w:color="auto"/>
              <w:left w:val="single" w:sz="6" w:space="0" w:color="auto"/>
              <w:bottom w:val="single" w:sz="6" w:space="0" w:color="auto"/>
              <w:right w:val="single" w:sz="6" w:space="0" w:color="auto"/>
            </w:tcBorders>
          </w:tcPr>
          <w:p w:rsidR="001C55F3" w:rsidRDefault="001C55F3" w:rsidP="000A3DA1">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5 selected for economic relevance, list of DeGroot et al 2002</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5-5 (stock + flow)</w:t>
            </w:r>
          </w:p>
        </w:tc>
        <w:tc>
          <w:tcPr>
            <w:tcW w:w="177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bayesian network modelling</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r>
      <w:tr w:rsidR="001C55F3" w:rsidTr="003010EE">
        <w:trPr>
          <w:trHeight w:val="1087"/>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3.2. Balkan</w:t>
            </w: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 xml:space="preserve"> Croatia</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1- forest, coast, marine, freshwater</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1- ;recreation, pollination, NTFP, livestock, soil protection, carbon seq</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 2- many</w:t>
            </w:r>
          </w:p>
        </w:tc>
        <w:tc>
          <w:tcPr>
            <w:tcW w:w="177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1 Sector  Scenario analysis (?) </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nr</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nr</w:t>
            </w:r>
          </w:p>
        </w:tc>
      </w:tr>
      <w:tr w:rsidR="001C55F3" w:rsidTr="003010EE">
        <w:trPr>
          <w:trHeight w:val="350"/>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jc w:val="right"/>
              <w:rPr>
                <w:rFonts w:ascii="Calibri" w:hAnsi="Calibri" w:cs="Calibri"/>
                <w:b/>
                <w:color w:val="000000"/>
                <w:sz w:val="20"/>
                <w:szCs w:val="20"/>
              </w:rPr>
            </w:pP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 xml:space="preserve"> Others</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77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r>
      <w:tr w:rsidR="001C55F3" w:rsidTr="003010EE">
        <w:trPr>
          <w:trHeight w:val="792"/>
        </w:trPr>
        <w:tc>
          <w:tcPr>
            <w:tcW w:w="1507" w:type="dxa"/>
            <w:tcBorders>
              <w:top w:val="single" w:sz="6" w:space="0" w:color="auto"/>
              <w:left w:val="single" w:sz="6" w:space="0" w:color="auto"/>
              <w:bottom w:val="single" w:sz="6" w:space="0" w:color="auto"/>
              <w:right w:val="single" w:sz="6" w:space="0" w:color="auto"/>
            </w:tcBorders>
          </w:tcPr>
          <w:p w:rsidR="001C55F3" w:rsidRPr="000A3DA1" w:rsidRDefault="001C55F3">
            <w:pPr>
              <w:autoSpaceDE w:val="0"/>
              <w:autoSpaceDN w:val="0"/>
              <w:adjustRightInd w:val="0"/>
              <w:spacing w:after="0" w:line="240" w:lineRule="auto"/>
              <w:rPr>
                <w:rFonts w:ascii="Calibri" w:hAnsi="Calibri" w:cs="Calibri"/>
                <w:b/>
                <w:color w:val="000000"/>
                <w:sz w:val="20"/>
                <w:szCs w:val="20"/>
              </w:rPr>
            </w:pPr>
            <w:r w:rsidRPr="000A3DA1">
              <w:rPr>
                <w:rFonts w:ascii="Calibri" w:hAnsi="Calibri" w:cs="Calibri"/>
                <w:b/>
                <w:color w:val="000000"/>
                <w:sz w:val="20"/>
                <w:szCs w:val="20"/>
              </w:rPr>
              <w:t>4. The Netherlands</w:t>
            </w:r>
          </w:p>
        </w:tc>
        <w:tc>
          <w:tcPr>
            <w:tcW w:w="1075" w:type="dxa"/>
            <w:tcBorders>
              <w:top w:val="single" w:sz="6" w:space="0" w:color="auto"/>
              <w:left w:val="single" w:sz="6" w:space="0" w:color="auto"/>
              <w:bottom w:val="single" w:sz="6" w:space="0" w:color="auto"/>
              <w:right w:val="single" w:sz="6" w:space="0" w:color="auto"/>
            </w:tcBorders>
          </w:tcPr>
          <w:p w:rsidR="001C55F3" w:rsidRPr="00E404C5" w:rsidRDefault="001C55F3">
            <w:pPr>
              <w:autoSpaceDE w:val="0"/>
              <w:autoSpaceDN w:val="0"/>
              <w:adjustRightInd w:val="0"/>
              <w:spacing w:after="0" w:line="240" w:lineRule="auto"/>
              <w:rPr>
                <w:rFonts w:ascii="Calibri" w:hAnsi="Calibri" w:cs="Calibri"/>
                <w:b/>
                <w:color w:val="000000"/>
                <w:sz w:val="20"/>
                <w:szCs w:val="20"/>
              </w:rPr>
            </w:pPr>
            <w:r w:rsidRPr="00E404C5">
              <w:rPr>
                <w:rFonts w:ascii="Calibri" w:hAnsi="Calibri" w:cs="Calibri"/>
                <w:b/>
                <w:color w:val="000000"/>
                <w:sz w:val="20"/>
                <w:szCs w:val="20"/>
              </w:rPr>
              <w:t>x</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Coastal Zone Habitat classes </w:t>
            </w:r>
          </w:p>
        </w:tc>
        <w:tc>
          <w:tcPr>
            <w:tcW w:w="195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TEEB : shellfish, fish, habitat, recreation</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flow indicators + habitat stock indicators</w:t>
            </w:r>
          </w:p>
        </w:tc>
        <w:tc>
          <w:tcPr>
            <w:tcW w:w="1779" w:type="dxa"/>
            <w:tcBorders>
              <w:top w:val="single" w:sz="6" w:space="0" w:color="auto"/>
              <w:left w:val="single" w:sz="6" w:space="0" w:color="auto"/>
              <w:bottom w:val="single" w:sz="6" w:space="0" w:color="auto"/>
              <w:right w:val="single" w:sz="6" w:space="0" w:color="auto"/>
            </w:tcBorders>
          </w:tcPr>
          <w:p w:rsidR="001C55F3" w:rsidRDefault="001C55F3" w:rsidP="000A3DA1">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inventories + expert judgement</w:t>
            </w:r>
          </w:p>
        </w:tc>
        <w:tc>
          <w:tcPr>
            <w:tcW w:w="1805"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HD classes info</w:t>
            </w:r>
          </w:p>
        </w:tc>
        <w:tc>
          <w:tcPr>
            <w:tcW w:w="195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to be developed</w:t>
            </w:r>
          </w:p>
        </w:tc>
      </w:tr>
    </w:tbl>
    <w:p w:rsidR="001C55F3" w:rsidRDefault="001C55F3" w:rsidP="002111A9">
      <w:pPr>
        <w:spacing w:after="0"/>
        <w:rPr>
          <w:lang w:val="nl-NL" w:eastAsia="zh-TW"/>
        </w:rPr>
      </w:pPr>
    </w:p>
    <w:p w:rsidR="001C55F3" w:rsidRPr="004D5D3A" w:rsidRDefault="001C55F3" w:rsidP="004D5D3A">
      <w:pPr>
        <w:pStyle w:val="Titre6"/>
        <w:rPr>
          <w:rFonts w:asciiTheme="minorHAnsi" w:eastAsia="PMingLiU" w:hAnsiTheme="minorHAnsi"/>
          <w:lang w:eastAsia="zh-TW"/>
        </w:rPr>
      </w:pPr>
      <w:r>
        <w:rPr>
          <w:rFonts w:asciiTheme="minorHAnsi" w:hAnsiTheme="minorHAnsi"/>
          <w:lang w:eastAsia="zh-TW"/>
        </w:rPr>
        <w:t>3</w:t>
      </w:r>
      <w:r w:rsidRPr="004D5D3A">
        <w:rPr>
          <w:rFonts w:asciiTheme="minorHAnsi" w:hAnsiTheme="minorHAnsi"/>
          <w:lang w:eastAsia="zh-TW"/>
        </w:rPr>
        <w:t>.2.4</w:t>
      </w:r>
      <w:r w:rsidRPr="004D5D3A">
        <w:rPr>
          <w:rFonts w:asciiTheme="minorHAnsi" w:hAnsiTheme="minorHAnsi"/>
          <w:lang w:eastAsia="zh-TW"/>
        </w:rPr>
        <w:tab/>
        <w:t>Group 3 Results</w:t>
      </w:r>
    </w:p>
    <w:p w:rsidR="001C55F3" w:rsidRPr="002912E7" w:rsidRDefault="001C55F3" w:rsidP="00494ADF">
      <w:pPr>
        <w:autoSpaceDE w:val="0"/>
        <w:autoSpaceDN w:val="0"/>
        <w:adjustRightInd w:val="0"/>
        <w:spacing w:after="0" w:line="240" w:lineRule="auto"/>
        <w:jc w:val="both"/>
        <w:rPr>
          <w:lang w:eastAsia="zh-TW"/>
        </w:rPr>
      </w:pPr>
    </w:p>
    <w:p w:rsidR="001C55F3" w:rsidRPr="004D5D3A" w:rsidRDefault="001C55F3" w:rsidP="00A800CB">
      <w:pPr>
        <w:autoSpaceDE w:val="0"/>
        <w:autoSpaceDN w:val="0"/>
        <w:adjustRightInd w:val="0"/>
        <w:spacing w:after="0" w:line="240" w:lineRule="auto"/>
        <w:jc w:val="both"/>
        <w:rPr>
          <w:rFonts w:cstheme="minorHAnsi"/>
          <w:b/>
          <w:highlight w:val="yellow"/>
        </w:rPr>
      </w:pPr>
      <w:r w:rsidRPr="004D5D3A">
        <w:rPr>
          <w:rFonts w:cstheme="minorHAnsi"/>
          <w:b/>
        </w:rPr>
        <w:t xml:space="preserve">Group 3 </w:t>
      </w:r>
      <w:r w:rsidRPr="004D5D3A">
        <w:rPr>
          <w:rFonts w:cstheme="minorHAnsi"/>
        </w:rPr>
        <w:t>is about the ecosystem and ecosystem services maps that are available, or under construction, and the techniques and technology of mapping used, including the data, existing classifications, scales etc</w:t>
      </w:r>
      <w:r w:rsidRPr="004D5D3A">
        <w:rPr>
          <w:rFonts w:cstheme="minorHAnsi"/>
          <w:b/>
        </w:rPr>
        <w:t>.</w:t>
      </w:r>
    </w:p>
    <w:p w:rsidR="001C55F3" w:rsidRPr="004D5D3A" w:rsidRDefault="001C55F3" w:rsidP="00A800CB">
      <w:pPr>
        <w:autoSpaceDE w:val="0"/>
        <w:autoSpaceDN w:val="0"/>
        <w:adjustRightInd w:val="0"/>
        <w:spacing w:after="0" w:line="240" w:lineRule="auto"/>
        <w:jc w:val="both"/>
        <w:rPr>
          <w:b/>
        </w:rPr>
      </w:pPr>
    </w:p>
    <w:p w:rsidR="001C55F3" w:rsidRPr="004D5D3A" w:rsidRDefault="001C55F3" w:rsidP="00A800CB">
      <w:pPr>
        <w:autoSpaceDE w:val="0"/>
        <w:autoSpaceDN w:val="0"/>
        <w:adjustRightInd w:val="0"/>
        <w:spacing w:after="0" w:line="240" w:lineRule="auto"/>
        <w:jc w:val="both"/>
      </w:pPr>
      <w:r w:rsidRPr="004D5D3A">
        <w:rPr>
          <w:b/>
        </w:rPr>
        <w:t>Group 3: Mapping (technical) aspects</w:t>
      </w:r>
    </w:p>
    <w:p w:rsidR="001C55F3" w:rsidRPr="004D5D3A" w:rsidRDefault="001C55F3" w:rsidP="00622218">
      <w:pPr>
        <w:pStyle w:val="Paragraphedeliste"/>
        <w:numPr>
          <w:ilvl w:val="0"/>
          <w:numId w:val="64"/>
        </w:numPr>
        <w:autoSpaceDE w:val="0"/>
        <w:autoSpaceDN w:val="0"/>
        <w:adjustRightInd w:val="0"/>
        <w:spacing w:after="0" w:line="240" w:lineRule="auto"/>
        <w:jc w:val="both"/>
        <w:rPr>
          <w:b/>
          <w:i/>
        </w:rPr>
      </w:pPr>
      <w:r w:rsidRPr="004D5D3A">
        <w:rPr>
          <w:b/>
          <w:i/>
        </w:rPr>
        <w:t xml:space="preserve">Base maps used (e.g. Corine, national, land use / land cover systems) </w:t>
      </w:r>
    </w:p>
    <w:p w:rsidR="001C55F3" w:rsidRPr="009C171A" w:rsidRDefault="001C55F3" w:rsidP="00A800CB">
      <w:pPr>
        <w:spacing w:after="0" w:line="240" w:lineRule="auto"/>
        <w:ind w:left="720"/>
        <w:rPr>
          <w:lang w:eastAsia="zh-TW"/>
        </w:rPr>
      </w:pPr>
      <w:r w:rsidRPr="009C171A">
        <w:rPr>
          <w:lang w:eastAsia="zh-TW"/>
        </w:rPr>
        <w:t xml:space="preserve">All the countries (except the Balkan) use land cover/land use (LC/LU) maps as basis for the mapping of ecosystems, combined with various and very different other spatially explicit data sources;some countries use CORINE (e.g. Spain) and others use their national datasets (Flanders, Wallonia, Austria, Switzerland); </w:t>
      </w:r>
    </w:p>
    <w:p w:rsidR="001C55F3" w:rsidRPr="004D5D3A" w:rsidRDefault="001C55F3" w:rsidP="00622218">
      <w:pPr>
        <w:pStyle w:val="Paragraphedeliste"/>
        <w:numPr>
          <w:ilvl w:val="0"/>
          <w:numId w:val="64"/>
        </w:numPr>
        <w:autoSpaceDE w:val="0"/>
        <w:autoSpaceDN w:val="0"/>
        <w:adjustRightInd w:val="0"/>
        <w:spacing w:after="0" w:line="240" w:lineRule="auto"/>
        <w:jc w:val="both"/>
        <w:rPr>
          <w:b/>
          <w:i/>
        </w:rPr>
      </w:pPr>
      <w:r w:rsidRPr="004D5D3A">
        <w:rPr>
          <w:b/>
          <w:i/>
        </w:rPr>
        <w:t>Additional natural science  maps used (e.g. soils, hydrology, vegetations)</w:t>
      </w:r>
    </w:p>
    <w:p w:rsidR="001C55F3" w:rsidRDefault="001C55F3" w:rsidP="00A800CB">
      <w:pPr>
        <w:autoSpaceDE w:val="0"/>
        <w:autoSpaceDN w:val="0"/>
        <w:adjustRightInd w:val="0"/>
        <w:spacing w:after="0" w:line="240" w:lineRule="auto"/>
        <w:ind w:left="720"/>
        <w:jc w:val="both"/>
      </w:pPr>
      <w:r>
        <w:t xml:space="preserve">Some of the larger and quantitative data based studies employ soil and hydrology maps, geomorphology (for erosion info) vegetation and climatic data, and some environmental condition (noise) . </w:t>
      </w:r>
    </w:p>
    <w:p w:rsidR="001C55F3" w:rsidRPr="004D5D3A" w:rsidRDefault="001C55F3" w:rsidP="00622218">
      <w:pPr>
        <w:pStyle w:val="Paragraphedeliste"/>
        <w:numPr>
          <w:ilvl w:val="0"/>
          <w:numId w:val="64"/>
        </w:numPr>
        <w:autoSpaceDE w:val="0"/>
        <w:autoSpaceDN w:val="0"/>
        <w:adjustRightInd w:val="0"/>
        <w:spacing w:after="0" w:line="240" w:lineRule="auto"/>
        <w:jc w:val="both"/>
        <w:rPr>
          <w:b/>
          <w:i/>
        </w:rPr>
      </w:pPr>
      <w:r w:rsidRPr="004D5D3A">
        <w:rPr>
          <w:b/>
          <w:i/>
        </w:rPr>
        <w:t>Other maps, RS data, Aerial Photo’s used</w:t>
      </w:r>
    </w:p>
    <w:p w:rsidR="001C55F3" w:rsidRDefault="001C55F3" w:rsidP="00A800CB">
      <w:pPr>
        <w:autoSpaceDE w:val="0"/>
        <w:autoSpaceDN w:val="0"/>
        <w:adjustRightInd w:val="0"/>
        <w:spacing w:after="0" w:line="240" w:lineRule="auto"/>
        <w:ind w:left="720"/>
        <w:jc w:val="both"/>
      </w:pPr>
      <w:r>
        <w:lastRenderedPageBreak/>
        <w:t>Very little response was generated by this question. Some aerial photography and in one of the Swiss modelling cases demographic data were mentioned.</w:t>
      </w:r>
    </w:p>
    <w:p w:rsidR="001C55F3" w:rsidRPr="004D5D3A" w:rsidRDefault="001C55F3" w:rsidP="00622218">
      <w:pPr>
        <w:pStyle w:val="Paragraphedeliste"/>
        <w:numPr>
          <w:ilvl w:val="0"/>
          <w:numId w:val="64"/>
        </w:numPr>
        <w:autoSpaceDE w:val="0"/>
        <w:autoSpaceDN w:val="0"/>
        <w:adjustRightInd w:val="0"/>
        <w:spacing w:after="0" w:line="240" w:lineRule="auto"/>
        <w:jc w:val="both"/>
        <w:rPr>
          <w:b/>
          <w:i/>
        </w:rPr>
      </w:pPr>
      <w:r w:rsidRPr="004D5D3A">
        <w:rPr>
          <w:b/>
          <w:i/>
        </w:rPr>
        <w:t xml:space="preserve">Resolution, aggregation steps, </w:t>
      </w:r>
    </w:p>
    <w:p w:rsidR="001C55F3" w:rsidRDefault="001C55F3" w:rsidP="00A800CB">
      <w:pPr>
        <w:pStyle w:val="Paragraphedeliste"/>
        <w:spacing w:line="240" w:lineRule="auto"/>
        <w:rPr>
          <w:lang w:eastAsia="zh-TW"/>
        </w:rPr>
      </w:pPr>
      <w:r w:rsidRPr="009C171A">
        <w:rPr>
          <w:lang w:eastAsia="zh-TW"/>
        </w:rPr>
        <w:t>There is large heterogeneity in the resolution and aggregation techniques used, as well as in the quality and type of datasets</w:t>
      </w:r>
    </w:p>
    <w:p w:rsidR="001C55F3" w:rsidRPr="004D5D3A" w:rsidRDefault="001C55F3" w:rsidP="00622218">
      <w:pPr>
        <w:pStyle w:val="Paragraphedeliste"/>
        <w:numPr>
          <w:ilvl w:val="0"/>
          <w:numId w:val="64"/>
        </w:numPr>
        <w:autoSpaceDE w:val="0"/>
        <w:autoSpaceDN w:val="0"/>
        <w:adjustRightInd w:val="0"/>
        <w:spacing w:after="0" w:line="240" w:lineRule="auto"/>
        <w:jc w:val="both"/>
        <w:rPr>
          <w:b/>
          <w:i/>
        </w:rPr>
      </w:pPr>
      <w:r w:rsidRPr="004D5D3A">
        <w:rPr>
          <w:b/>
          <w:i/>
        </w:rPr>
        <w:t xml:space="preserve">GIS technology used, </w:t>
      </w:r>
    </w:p>
    <w:p w:rsidR="001C55F3" w:rsidRPr="004D5D3A" w:rsidRDefault="001C55F3" w:rsidP="002111A9">
      <w:pPr>
        <w:spacing w:after="0" w:line="240" w:lineRule="auto"/>
        <w:ind w:left="720"/>
        <w:rPr>
          <w:lang w:eastAsia="zh-TW"/>
        </w:rPr>
      </w:pPr>
      <w:r w:rsidRPr="009C171A">
        <w:rPr>
          <w:lang w:eastAsia="zh-TW"/>
        </w:rPr>
        <w:t>ESRI ArcGIS (different versions) is used by all countries as standard GIS technology;</w:t>
      </w:r>
    </w:p>
    <w:p w:rsidR="001C55F3" w:rsidRPr="004D5D3A" w:rsidRDefault="001C55F3" w:rsidP="00622218">
      <w:pPr>
        <w:pStyle w:val="Paragraphedeliste"/>
        <w:numPr>
          <w:ilvl w:val="0"/>
          <w:numId w:val="64"/>
        </w:numPr>
        <w:autoSpaceDE w:val="0"/>
        <w:autoSpaceDN w:val="0"/>
        <w:adjustRightInd w:val="0"/>
        <w:spacing w:after="0" w:line="240" w:lineRule="auto"/>
        <w:jc w:val="both"/>
        <w:rPr>
          <w:b/>
          <w:i/>
        </w:rPr>
      </w:pPr>
      <w:r w:rsidRPr="004D5D3A">
        <w:rPr>
          <w:b/>
          <w:i/>
        </w:rPr>
        <w:t>Analysis of data ? Geo-Statistics etc.</w:t>
      </w:r>
    </w:p>
    <w:p w:rsidR="001C55F3" w:rsidRDefault="001C55F3" w:rsidP="00A800CB">
      <w:pPr>
        <w:spacing w:line="240" w:lineRule="auto"/>
        <w:ind w:left="720"/>
        <w:rPr>
          <w:lang w:eastAsia="zh-TW"/>
        </w:rPr>
      </w:pPr>
      <w:r w:rsidRPr="009C171A">
        <w:rPr>
          <w:lang w:eastAsia="zh-TW"/>
        </w:rPr>
        <w:t xml:space="preserve">There is very little information in </w:t>
      </w:r>
      <w:r>
        <w:rPr>
          <w:lang w:eastAsia="zh-TW"/>
        </w:rPr>
        <w:t>the fact-sheets about data analysis.</w:t>
      </w:r>
    </w:p>
    <w:p w:rsidR="001C55F3" w:rsidRPr="009C171A" w:rsidRDefault="001C55F3" w:rsidP="002111A9">
      <w:pPr>
        <w:spacing w:after="0" w:line="240" w:lineRule="auto"/>
        <w:rPr>
          <w:lang w:eastAsia="zh-TW"/>
        </w:rPr>
      </w:pPr>
      <w:r w:rsidRPr="002111A9">
        <w:rPr>
          <w:b/>
          <w:lang w:eastAsia="zh-TW"/>
        </w:rPr>
        <w:t>Mapping ES:</w:t>
      </w:r>
      <w:r w:rsidRPr="009C171A">
        <w:rPr>
          <w:lang w:eastAsia="zh-TW"/>
        </w:rPr>
        <w:t xml:space="preserve"> the real methods and techniques per indicator are mostly not mentioned</w:t>
      </w:r>
      <w:r>
        <w:rPr>
          <w:lang w:eastAsia="zh-TW"/>
        </w:rPr>
        <w:t>, but in some cases available in the the background reports or publications</w:t>
      </w:r>
      <w:r w:rsidRPr="009C171A">
        <w:rPr>
          <w:lang w:eastAsia="zh-TW"/>
        </w:rPr>
        <w:t xml:space="preserve">.On basis of the experts fact-sheets and </w:t>
      </w:r>
      <w:r>
        <w:rPr>
          <w:lang w:eastAsia="zh-TW"/>
        </w:rPr>
        <w:t>Alterra</w:t>
      </w:r>
      <w:r w:rsidRPr="009C171A">
        <w:rPr>
          <w:lang w:eastAsia="zh-TW"/>
        </w:rPr>
        <w:t xml:space="preserve"> knowledge, the current status of Land Cover/Land Use (LC/LU) mapping at national level is:</w:t>
      </w:r>
    </w:p>
    <w:p w:rsidR="001C55F3" w:rsidRPr="009C171A" w:rsidRDefault="001C55F3" w:rsidP="00622218">
      <w:pPr>
        <w:numPr>
          <w:ilvl w:val="1"/>
          <w:numId w:val="26"/>
        </w:numPr>
        <w:spacing w:after="0" w:line="240" w:lineRule="auto"/>
        <w:ind w:left="851" w:hanging="567"/>
        <w:rPr>
          <w:lang w:eastAsia="zh-TW"/>
        </w:rPr>
      </w:pPr>
      <w:r w:rsidRPr="009C171A">
        <w:rPr>
          <w:lang w:eastAsia="zh-TW"/>
        </w:rPr>
        <w:t>Austria, Belgium (Brussels, Flanders and Wallonia), Finland, Germany, Norway, Portugal, Spain and Switzerland have more detailed LC/LU mapping than Corine Land Cover (CLC);</w:t>
      </w:r>
    </w:p>
    <w:p w:rsidR="001C55F3" w:rsidRPr="009C171A" w:rsidRDefault="001C55F3" w:rsidP="00622218">
      <w:pPr>
        <w:numPr>
          <w:ilvl w:val="1"/>
          <w:numId w:val="26"/>
        </w:numPr>
        <w:spacing w:after="0" w:line="240" w:lineRule="auto"/>
        <w:ind w:left="851" w:hanging="567"/>
        <w:rPr>
          <w:lang w:eastAsia="zh-TW"/>
        </w:rPr>
      </w:pPr>
      <w:r w:rsidRPr="009C171A">
        <w:rPr>
          <w:lang w:eastAsia="zh-TW"/>
        </w:rPr>
        <w:t>Other countries (like Hungary) have sometimes more detailed CLC mapping (level 4) than required for the European dataset (i.e. up to level 3).</w:t>
      </w:r>
    </w:p>
    <w:p w:rsidR="001C55F3" w:rsidRPr="002111A9" w:rsidRDefault="001C55F3" w:rsidP="002111A9">
      <w:pPr>
        <w:spacing w:after="0" w:line="240" w:lineRule="auto"/>
        <w:rPr>
          <w:lang w:eastAsia="zh-TW"/>
        </w:rPr>
      </w:pPr>
      <w:r w:rsidRPr="009C171A">
        <w:rPr>
          <w:lang w:eastAsia="zh-TW"/>
        </w:rPr>
        <w:t>It is important to clarify</w:t>
      </w:r>
      <w:r>
        <w:rPr>
          <w:lang w:eastAsia="zh-TW"/>
        </w:rPr>
        <w:t xml:space="preserve"> for the TASK 4 Guidance Document </w:t>
      </w:r>
      <w:r w:rsidRPr="009C171A">
        <w:rPr>
          <w:lang w:eastAsia="zh-TW"/>
        </w:rPr>
        <w:t>if the national LC/LU maps are compatible with CORINE LC classification, when thinking about a pan European mapping of ecosystem status using harmonised datasets (e.g. CORINE LC).</w:t>
      </w:r>
    </w:p>
    <w:p w:rsidR="001C55F3" w:rsidRDefault="001C55F3" w:rsidP="009C171A">
      <w:pPr>
        <w:rPr>
          <w:b/>
          <w:lang w:eastAsia="zh-TW"/>
        </w:rPr>
      </w:pPr>
    </w:p>
    <w:p w:rsidR="001C55F3" w:rsidRPr="009C171A" w:rsidRDefault="001C55F3" w:rsidP="009C171A">
      <w:pPr>
        <w:rPr>
          <w:b/>
          <w:lang w:eastAsia="zh-TW"/>
        </w:rPr>
      </w:pPr>
      <w:r w:rsidRPr="009C171A">
        <w:rPr>
          <w:b/>
          <w:lang w:eastAsia="zh-TW"/>
        </w:rPr>
        <w:t xml:space="preserve">Table </w:t>
      </w:r>
      <w:r>
        <w:rPr>
          <w:b/>
          <w:lang w:eastAsia="zh-TW"/>
        </w:rPr>
        <w:t>3.3</w:t>
      </w:r>
      <w:r>
        <w:rPr>
          <w:b/>
          <w:lang w:eastAsia="zh-TW"/>
        </w:rPr>
        <w:tab/>
      </w:r>
      <w:r w:rsidRPr="009C171A">
        <w:rPr>
          <w:b/>
          <w:lang w:eastAsia="zh-TW"/>
        </w:rPr>
        <w:t>Group 3 Summary Fact Sheet Results</w:t>
      </w:r>
    </w:p>
    <w:tbl>
      <w:tblPr>
        <w:tblW w:w="14206" w:type="dxa"/>
        <w:tblInd w:w="78" w:type="dxa"/>
        <w:tblLayout w:type="fixed"/>
        <w:tblLook w:val="0000"/>
      </w:tblPr>
      <w:tblGrid>
        <w:gridCol w:w="1306"/>
        <w:gridCol w:w="989"/>
        <w:gridCol w:w="2091"/>
        <w:gridCol w:w="1810"/>
        <w:gridCol w:w="1347"/>
        <w:gridCol w:w="2268"/>
        <w:gridCol w:w="1843"/>
        <w:gridCol w:w="2552"/>
      </w:tblGrid>
      <w:tr w:rsidR="001C55F3" w:rsidTr="009E1EDC">
        <w:trPr>
          <w:trHeight w:val="182"/>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Country cases</w:t>
            </w: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p>
        </w:tc>
        <w:tc>
          <w:tcPr>
            <w:tcW w:w="2091"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1: Maps used</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2: Additional natural science maps</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3: Others</w:t>
            </w:r>
          </w:p>
        </w:tc>
        <w:tc>
          <w:tcPr>
            <w:tcW w:w="226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4: Resolution &amp; aggregation</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5: GIS technology</w:t>
            </w:r>
          </w:p>
        </w:tc>
        <w:tc>
          <w:tcPr>
            <w:tcW w:w="2552"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Q 6: Data analysis</w:t>
            </w:r>
          </w:p>
        </w:tc>
      </w:tr>
      <w:tr w:rsidR="001C55F3" w:rsidTr="009E1EDC">
        <w:trPr>
          <w:trHeight w:val="1152"/>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 xml:space="preserve">1.1. </w:t>
            </w:r>
          </w:p>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U.K.</w:t>
            </w: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x</w:t>
            </w:r>
          </w:p>
        </w:tc>
        <w:tc>
          <w:tcPr>
            <w:tcW w:w="2091" w:type="dxa"/>
            <w:tcBorders>
              <w:top w:val="single" w:sz="6" w:space="0" w:color="auto"/>
              <w:left w:val="single" w:sz="6" w:space="0" w:color="auto"/>
              <w:bottom w:val="single" w:sz="6" w:space="0" w:color="auto"/>
              <w:right w:val="single" w:sz="6" w:space="0" w:color="auto"/>
            </w:tcBorders>
          </w:tcPr>
          <w:p w:rsidR="001C55F3" w:rsidRDefault="001C55F3" w:rsidP="009208BF">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Various assembles of national, subnational and European datasets. </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268" w:type="dxa"/>
            <w:tcBorders>
              <w:top w:val="single" w:sz="6" w:space="0" w:color="auto"/>
              <w:left w:val="single" w:sz="6" w:space="0" w:color="auto"/>
              <w:bottom w:val="single" w:sz="6" w:space="0" w:color="auto"/>
              <w:right w:val="single" w:sz="6" w:space="0" w:color="auto"/>
            </w:tcBorders>
          </w:tcPr>
          <w:p w:rsidR="001C55F3" w:rsidRDefault="001C55F3" w:rsidP="002111A9">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Spatial datasets (point and polygon vector data and raster data), collected at different scales, different dates, accuracies&amp; resolutions</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ESRI ArcGIS Version ??</w:t>
            </w:r>
          </w:p>
        </w:tc>
        <w:tc>
          <w:tcPr>
            <w:tcW w:w="2552"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Methods to calculate indicators are not described </w:t>
            </w:r>
          </w:p>
        </w:tc>
      </w:tr>
      <w:tr w:rsidR="001C55F3" w:rsidTr="00DD42FF">
        <w:trPr>
          <w:trHeight w:val="411"/>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 xml:space="preserve">1.2. </w:t>
            </w:r>
          </w:p>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Spain</w:t>
            </w: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x</w:t>
            </w:r>
          </w:p>
        </w:tc>
        <w:tc>
          <w:tcPr>
            <w:tcW w:w="2091"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Corine Land Cover (CLC). National suitability maps&amp; inventories. Average temperature and precipitation. Buildings </w:t>
            </w:r>
            <w:r>
              <w:rPr>
                <w:rFonts w:ascii="Calibri" w:hAnsi="Calibri" w:cs="Calibri"/>
                <w:color w:val="000000"/>
                <w:sz w:val="20"/>
                <w:szCs w:val="20"/>
              </w:rPr>
              <w:lastRenderedPageBreak/>
              <w:t>and roads (vector25 dataset). Socio-economic data.</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Joint Research Centre maps for ecosystem services.</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lastRenderedPageBreak/>
              <w:t xml:space="preserve">Precipitation, evapotranspiration, watersheds, slope, vegetation cover, lithology, crop yield, cattle, </w:t>
            </w:r>
            <w:r>
              <w:rPr>
                <w:rFonts w:ascii="Calibri" w:hAnsi="Calibri" w:cs="Calibri"/>
                <w:color w:val="000000"/>
                <w:sz w:val="20"/>
                <w:szCs w:val="20"/>
              </w:rPr>
              <w:lastRenderedPageBreak/>
              <w:t>soil depth, sediment connectivity, vegetation.</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lastRenderedPageBreak/>
              <w:t>x</w:t>
            </w:r>
          </w:p>
        </w:tc>
        <w:tc>
          <w:tcPr>
            <w:tcW w:w="2268" w:type="dxa"/>
            <w:tcBorders>
              <w:top w:val="single" w:sz="6" w:space="0" w:color="auto"/>
              <w:left w:val="single" w:sz="6" w:space="0" w:color="auto"/>
              <w:bottom w:val="single" w:sz="6" w:space="0" w:color="auto"/>
              <w:right w:val="single" w:sz="6" w:space="0" w:color="auto"/>
            </w:tcBorders>
          </w:tcPr>
          <w:p w:rsidR="001C55F3" w:rsidRDefault="001C55F3" w:rsidP="00A96B4F">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Spatial datasets, collected at different scales, different dates, accuracies and resolutions. Resolution of the analysis at </w:t>
            </w:r>
            <w:r>
              <w:rPr>
                <w:rFonts w:ascii="Calibri" w:hAnsi="Calibri" w:cs="Calibri"/>
                <w:color w:val="000000"/>
                <w:sz w:val="20"/>
                <w:szCs w:val="20"/>
              </w:rPr>
              <w:lastRenderedPageBreak/>
              <w:t>national scales varies from NUTS 2 level to 1 km2 resolution. Final statistical analysis was performed at NUTS2 level.</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lastRenderedPageBreak/>
              <w:t>Mapping analyses were performed with the software ESRI ArcGis 9.3 and gvSIG 1.10</w:t>
            </w:r>
          </w:p>
        </w:tc>
        <w:tc>
          <w:tcPr>
            <w:tcW w:w="2552" w:type="dxa"/>
            <w:tcBorders>
              <w:top w:val="single" w:sz="6" w:space="0" w:color="auto"/>
              <w:left w:val="single" w:sz="6" w:space="0" w:color="auto"/>
              <w:bottom w:val="single" w:sz="6" w:space="0" w:color="auto"/>
              <w:right w:val="single" w:sz="6" w:space="0" w:color="auto"/>
            </w:tcBorders>
          </w:tcPr>
          <w:p w:rsidR="001C55F3" w:rsidRDefault="001C55F3" w:rsidP="00246DC5">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Aggregation with simple &amp; complex models, e.g.  InVEST. Exact methods not described. Extensive statistical analysis based on spatial correspondence of </w:t>
            </w:r>
            <w:r>
              <w:rPr>
                <w:rFonts w:ascii="Calibri" w:hAnsi="Calibri" w:cs="Calibri"/>
                <w:color w:val="000000"/>
                <w:sz w:val="20"/>
                <w:szCs w:val="20"/>
              </w:rPr>
              <w:lastRenderedPageBreak/>
              <w:t>all information obtained, to detect possible relationships, synergies and processes .</w:t>
            </w:r>
          </w:p>
        </w:tc>
      </w:tr>
      <w:tr w:rsidR="001C55F3" w:rsidTr="009E1EDC">
        <w:trPr>
          <w:trHeight w:val="552"/>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lastRenderedPageBreak/>
              <w:t xml:space="preserve">2.1. </w:t>
            </w:r>
          </w:p>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Belgium</w:t>
            </w: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2.1.a. Flanders</w:t>
            </w:r>
          </w:p>
        </w:tc>
        <w:tc>
          <w:tcPr>
            <w:tcW w:w="2091" w:type="dxa"/>
            <w:tcBorders>
              <w:top w:val="single" w:sz="6" w:space="0" w:color="auto"/>
              <w:left w:val="single" w:sz="6" w:space="0" w:color="auto"/>
              <w:bottom w:val="single" w:sz="6" w:space="0" w:color="auto"/>
              <w:right w:val="single" w:sz="6" w:space="0" w:color="auto"/>
            </w:tcBorders>
          </w:tcPr>
          <w:p w:rsidR="001C55F3" w:rsidRDefault="001C55F3" w:rsidP="00246DC5">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Land use map of Flanders and Brussels.  </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2268" w:type="dxa"/>
            <w:tcBorders>
              <w:top w:val="single" w:sz="6" w:space="0" w:color="auto"/>
              <w:left w:val="single" w:sz="6" w:space="0" w:color="auto"/>
              <w:bottom w:val="single" w:sz="6" w:space="0" w:color="auto"/>
              <w:right w:val="single" w:sz="6" w:space="0" w:color="auto"/>
            </w:tcBorders>
          </w:tcPr>
          <w:p w:rsidR="001C55F3" w:rsidRDefault="001C55F3" w:rsidP="00246DC5">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Basic resolution of land use map is 10x10m, with 27 land use classes. The map is aggregated to 100mx100m for final use. The aggregated map conserves the original proportions of each of the land use classes.</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ESRI ArcGIS Version 10; R 2.15.3 (Rstudio) is used for the statistical analysis of the matrix data (packages: irr, psy)</w:t>
            </w:r>
          </w:p>
        </w:tc>
        <w:tc>
          <w:tcPr>
            <w:tcW w:w="2552" w:type="dxa"/>
            <w:tcBorders>
              <w:top w:val="single" w:sz="6" w:space="0" w:color="auto"/>
              <w:left w:val="single" w:sz="6" w:space="0" w:color="auto"/>
              <w:bottom w:val="single" w:sz="6" w:space="0" w:color="auto"/>
              <w:right w:val="single" w:sz="6" w:space="0" w:color="auto"/>
            </w:tcBorders>
          </w:tcPr>
          <w:p w:rsidR="001C55F3" w:rsidRDefault="001C55F3" w:rsidP="00246DC5">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A qualitative score with 6 levels from 0 to 5 for each combination of land use type and ES. Average score obtained for each land use type applied to land use map of Flanders and Brussels. Average score is calculated for each ES category (provisioning, regulating and cultural). </w:t>
            </w:r>
          </w:p>
        </w:tc>
      </w:tr>
      <w:tr w:rsidR="001C55F3" w:rsidTr="009E1EDC">
        <w:trPr>
          <w:trHeight w:val="2257"/>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2.1.b. Flanders</w:t>
            </w:r>
          </w:p>
        </w:tc>
        <w:tc>
          <w:tcPr>
            <w:tcW w:w="2091"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Land cover, forest maps, digital soil maps, cadastral information (CADMAP), ‘biological valuation map (BWK), noise map, digital elevation map</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2268" w:type="dxa"/>
            <w:tcBorders>
              <w:top w:val="single" w:sz="6" w:space="0" w:color="auto"/>
              <w:left w:val="single" w:sz="6" w:space="0" w:color="auto"/>
              <w:bottom w:val="single" w:sz="6" w:space="0" w:color="auto"/>
              <w:right w:val="single" w:sz="6" w:space="0" w:color="auto"/>
            </w:tcBorders>
          </w:tcPr>
          <w:p w:rsidR="001C55F3" w:rsidRDefault="001C55F3" w:rsidP="00F16C1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 common aggregation or resolution. Each of ES maps were developed using different databases. Some raster maps, others  vector maps. Resolution of the maps varies between 1 and 100m.</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ESRI ArcGIS Version 9.3</w:t>
            </w:r>
          </w:p>
        </w:tc>
        <w:tc>
          <w:tcPr>
            <w:tcW w:w="2552" w:type="dxa"/>
            <w:tcBorders>
              <w:top w:val="single" w:sz="6" w:space="0" w:color="auto"/>
              <w:left w:val="single" w:sz="6" w:space="0" w:color="auto"/>
              <w:bottom w:val="single" w:sz="6" w:space="0" w:color="auto"/>
              <w:right w:val="single" w:sz="6" w:space="0" w:color="auto"/>
            </w:tcBorders>
          </w:tcPr>
          <w:p w:rsidR="001C55F3" w:rsidRDefault="001C55F3" w:rsidP="00F16C1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No specific statistical analysis tools or software. Calculation/quantification per indicator documented. </w:t>
            </w:r>
          </w:p>
          <w:p w:rsidR="001C55F3" w:rsidRDefault="001C55F3">
            <w:pPr>
              <w:autoSpaceDE w:val="0"/>
              <w:autoSpaceDN w:val="0"/>
              <w:adjustRightInd w:val="0"/>
              <w:spacing w:after="0" w:line="240" w:lineRule="auto"/>
              <w:rPr>
                <w:rFonts w:ascii="Calibri" w:hAnsi="Calibri" w:cs="Calibri"/>
                <w:color w:val="000000"/>
                <w:sz w:val="20"/>
                <w:szCs w:val="20"/>
              </w:rPr>
            </w:pPr>
          </w:p>
          <w:p w:rsidR="001C55F3" w:rsidRDefault="001C55F3">
            <w:pPr>
              <w:autoSpaceDE w:val="0"/>
              <w:autoSpaceDN w:val="0"/>
              <w:adjustRightInd w:val="0"/>
              <w:spacing w:after="0" w:line="240" w:lineRule="auto"/>
              <w:rPr>
                <w:rFonts w:ascii="Calibri" w:hAnsi="Calibri" w:cs="Calibri"/>
                <w:color w:val="000000"/>
                <w:sz w:val="20"/>
                <w:szCs w:val="20"/>
              </w:rPr>
            </w:pPr>
          </w:p>
        </w:tc>
      </w:tr>
      <w:tr w:rsidR="001C55F3" w:rsidTr="009E1EDC">
        <w:trPr>
          <w:trHeight w:val="2873"/>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2.1.c. Wallonia</w:t>
            </w:r>
          </w:p>
        </w:tc>
        <w:tc>
          <w:tcPr>
            <w:tcW w:w="2091"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Land use map of Wallonia (COSW 2007) which is compatible with the CORINE classification. This map is a vector file and has fine spatial and thematic resolutions;</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TOP10VGis  is used to distinguish between forest types (more precise than COSW for forest).</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2268" w:type="dxa"/>
            <w:tcBorders>
              <w:top w:val="single" w:sz="6" w:space="0" w:color="auto"/>
              <w:left w:val="single" w:sz="6" w:space="0" w:color="auto"/>
              <w:bottom w:val="single" w:sz="6" w:space="0" w:color="auto"/>
              <w:right w:val="single" w:sz="6" w:space="0" w:color="auto"/>
            </w:tcBorders>
          </w:tcPr>
          <w:p w:rsidR="001C55F3" w:rsidRDefault="001C55F3" w:rsidP="00F5216C">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COSW (2007) is a vector map (1/10.000). Aggregation of land use types from the COSW map into 26 types. For the mapping, (thematic) aggregation was carried out regarding the ES. ES were aggregated per category to obtain the average score per category for each land use.</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ESRI ArcGIS Version 10</w:t>
            </w:r>
          </w:p>
        </w:tc>
        <w:tc>
          <w:tcPr>
            <w:tcW w:w="2552"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 Rstat was used to process data from experts (to analyze matrix and find convergent and divergent scores); </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PCA (Principal Component Analysis) was applied to interpret final matrix (provides insight into synergies and trade-offs).</w:t>
            </w:r>
          </w:p>
          <w:p w:rsidR="001C55F3" w:rsidRDefault="001C55F3">
            <w:pPr>
              <w:autoSpaceDE w:val="0"/>
              <w:autoSpaceDN w:val="0"/>
              <w:adjustRightInd w:val="0"/>
              <w:spacing w:after="0" w:line="240" w:lineRule="auto"/>
              <w:rPr>
                <w:rFonts w:ascii="Calibri" w:hAnsi="Calibri" w:cs="Calibri"/>
                <w:color w:val="000000"/>
                <w:sz w:val="20"/>
                <w:szCs w:val="20"/>
              </w:rPr>
            </w:pPr>
          </w:p>
        </w:tc>
      </w:tr>
      <w:tr w:rsidR="001C55F3" w:rsidTr="009E1EDC">
        <w:trPr>
          <w:trHeight w:val="3538"/>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 xml:space="preserve">2.2. </w:t>
            </w:r>
          </w:p>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Austria</w:t>
            </w: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p>
        </w:tc>
        <w:tc>
          <w:tcPr>
            <w:tcW w:w="2091"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Cadastral map with land cover info; agricultural used land inventory; Nature conservation areas;</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Forest &amp; Forest development map;</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Maps of settlements ;</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Open Street Map</w:t>
            </w:r>
          </w:p>
          <w:p w:rsidR="001C55F3" w:rsidRDefault="001C55F3">
            <w:pPr>
              <w:autoSpaceDE w:val="0"/>
              <w:autoSpaceDN w:val="0"/>
              <w:adjustRightInd w:val="0"/>
              <w:spacing w:after="0" w:line="240" w:lineRule="auto"/>
              <w:rPr>
                <w:rFonts w:ascii="Calibri" w:hAnsi="Calibri" w:cs="Calibri"/>
                <w:color w:val="000000"/>
                <w:sz w:val="20"/>
                <w:szCs w:val="20"/>
              </w:rPr>
            </w:pP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Soil map 1:25.000 (for agri-areas)</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Soil quality;</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Migration corridors for red and roe deer ;  Soil erosion potential map;</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Noise maps;</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Points of touristic interest</w:t>
            </w:r>
          </w:p>
          <w:p w:rsidR="001C55F3" w:rsidRDefault="001C55F3">
            <w:pPr>
              <w:autoSpaceDE w:val="0"/>
              <w:autoSpaceDN w:val="0"/>
              <w:adjustRightInd w:val="0"/>
              <w:spacing w:after="0" w:line="240" w:lineRule="auto"/>
              <w:rPr>
                <w:rFonts w:ascii="Calibri" w:hAnsi="Calibri" w:cs="Calibri"/>
                <w:color w:val="000000"/>
                <w:sz w:val="20"/>
                <w:szCs w:val="20"/>
              </w:rPr>
            </w:pPr>
          </w:p>
        </w:tc>
        <w:tc>
          <w:tcPr>
            <w:tcW w:w="1347" w:type="dxa"/>
            <w:tcBorders>
              <w:top w:val="single" w:sz="6" w:space="0" w:color="auto"/>
              <w:left w:val="single" w:sz="6" w:space="0" w:color="auto"/>
              <w:bottom w:val="single" w:sz="6" w:space="0" w:color="auto"/>
              <w:right w:val="single" w:sz="6" w:space="0" w:color="auto"/>
            </w:tcBorders>
          </w:tcPr>
          <w:p w:rsidR="001C55F3" w:rsidRDefault="001C55F3" w:rsidP="00B35EB9">
            <w:pPr>
              <w:autoSpaceDE w:val="0"/>
              <w:autoSpaceDN w:val="0"/>
              <w:adjustRightInd w:val="0"/>
              <w:spacing w:after="0" w:line="240" w:lineRule="auto"/>
              <w:rPr>
                <w:rFonts w:ascii="Calibri" w:hAnsi="Calibri" w:cs="Calibri"/>
                <w:color w:val="000000"/>
                <w:sz w:val="20"/>
                <w:szCs w:val="20"/>
              </w:rPr>
            </w:pPr>
          </w:p>
        </w:tc>
        <w:tc>
          <w:tcPr>
            <w:tcW w:w="226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All data aggregated or disaggregated to a grid size of 1 ha.  Aggregation with maximum function on relative values of ecosystem services. </w:t>
            </w:r>
          </w:p>
          <w:p w:rsidR="001C55F3" w:rsidRDefault="001C55F3" w:rsidP="00B35EB9">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CORINE could be used for an evaluation of the results. </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ESRI ArcGIS Version 10</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QGIS 1.9 application for data presentation and basic analysis</w:t>
            </w:r>
          </w:p>
          <w:p w:rsidR="001C55F3" w:rsidRDefault="001C55F3">
            <w:pPr>
              <w:autoSpaceDE w:val="0"/>
              <w:autoSpaceDN w:val="0"/>
              <w:adjustRightInd w:val="0"/>
              <w:spacing w:after="0" w:line="240" w:lineRule="auto"/>
              <w:rPr>
                <w:rFonts w:ascii="Calibri" w:hAnsi="Calibri" w:cs="Calibri"/>
                <w:color w:val="000000"/>
                <w:sz w:val="20"/>
                <w:szCs w:val="20"/>
              </w:rPr>
            </w:pPr>
          </w:p>
        </w:tc>
        <w:tc>
          <w:tcPr>
            <w:tcW w:w="2552"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Implementation of the rule based decision matrix was in ArcGIS (ModelBuilder) or Microsoft Access. All results for ecosystem (landscape) services were transformed to relative scale (0-5).</w:t>
            </w:r>
          </w:p>
          <w:p w:rsidR="001C55F3" w:rsidRDefault="001C55F3" w:rsidP="00B35EB9">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In addition maps with a high density of ecosystem functions . In this case the number of ecosystem services was counted which showed values of 3 or higher. </w:t>
            </w:r>
          </w:p>
        </w:tc>
      </w:tr>
      <w:tr w:rsidR="001C55F3" w:rsidTr="009E1EDC">
        <w:trPr>
          <w:trHeight w:val="2066"/>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 Switzerland</w:t>
            </w: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3.1.a. Global</w:t>
            </w:r>
          </w:p>
        </w:tc>
        <w:tc>
          <w:tcPr>
            <w:tcW w:w="2091"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Land use data of 2008: MODIS land cover type from the US Geological Survey (USGS 2009).</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Slope and elevation: GTOPO30 digital elevation model (USGS 1996).</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Population density data of the year 2010 from SEDAC (2010), 5 km resolution.</w:t>
            </w:r>
          </w:p>
        </w:tc>
        <w:tc>
          <w:tcPr>
            <w:tcW w:w="226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MODIS land cover: 500m, GTOPO30: 1km, land cover maps have been resampled to a 1km grid to get an ES supply map of 1km, population density: 5km.</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FF0000"/>
                <w:sz w:val="20"/>
                <w:szCs w:val="20"/>
              </w:rPr>
            </w:pPr>
            <w:r>
              <w:rPr>
                <w:rFonts w:ascii="Calibri" w:hAnsi="Calibri" w:cs="Calibri"/>
                <w:color w:val="FF0000"/>
                <w:sz w:val="20"/>
                <w:szCs w:val="20"/>
              </w:rPr>
              <w:t xml:space="preserve">- ESRI </w:t>
            </w:r>
            <w:r w:rsidRPr="007E5DFE">
              <w:rPr>
                <w:b/>
                <w:lang w:val="de-CH"/>
              </w:rPr>
              <w:t>ArcGISversion 10.1</w:t>
            </w:r>
          </w:p>
          <w:p w:rsidR="001C55F3" w:rsidRDefault="001C55F3">
            <w:pPr>
              <w:autoSpaceDE w:val="0"/>
              <w:autoSpaceDN w:val="0"/>
              <w:adjustRightInd w:val="0"/>
              <w:spacing w:after="0" w:line="240" w:lineRule="auto"/>
              <w:rPr>
                <w:rFonts w:ascii="Calibri" w:hAnsi="Calibri" w:cs="Calibri"/>
                <w:color w:val="FF0000"/>
                <w:sz w:val="20"/>
                <w:szCs w:val="20"/>
              </w:rPr>
            </w:pPr>
          </w:p>
        </w:tc>
        <w:tc>
          <w:tcPr>
            <w:tcW w:w="2552" w:type="dxa"/>
            <w:tcBorders>
              <w:top w:val="single" w:sz="6" w:space="0" w:color="auto"/>
              <w:left w:val="single" w:sz="6" w:space="0" w:color="auto"/>
              <w:bottom w:val="single" w:sz="6" w:space="0" w:color="auto"/>
              <w:right w:val="single" w:sz="6" w:space="0" w:color="auto"/>
            </w:tcBorders>
          </w:tcPr>
          <w:p w:rsidR="001C55F3" w:rsidRDefault="001C55F3" w:rsidP="00BE3014">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Integrating binary lookup tables in a GIS platform to link terrestrial ecosystems with their capacity to provide ecosystem services. Population density as a proxy for the demand of ecosystem services.</w:t>
            </w:r>
          </w:p>
        </w:tc>
      </w:tr>
      <w:tr w:rsidR="001C55F3" w:rsidTr="009E1EDC">
        <w:trPr>
          <w:trHeight w:val="1145"/>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3.1.b. Regional</w:t>
            </w:r>
          </w:p>
        </w:tc>
        <w:tc>
          <w:tcPr>
            <w:tcW w:w="2091"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Digital elevation model, land use types (based on areal statistics based on aerial photographs).</w:t>
            </w:r>
          </w:p>
          <w:p w:rsidR="001C55F3" w:rsidRDefault="001C55F3">
            <w:pPr>
              <w:autoSpaceDE w:val="0"/>
              <w:autoSpaceDN w:val="0"/>
              <w:adjustRightInd w:val="0"/>
              <w:spacing w:after="0" w:line="240" w:lineRule="auto"/>
              <w:rPr>
                <w:rFonts w:ascii="Calibri" w:hAnsi="Calibri" w:cs="Calibri"/>
                <w:color w:val="000000"/>
                <w:sz w:val="20"/>
                <w:szCs w:val="20"/>
              </w:rPr>
            </w:pPr>
          </w:p>
        </w:tc>
        <w:tc>
          <w:tcPr>
            <w:tcW w:w="1810" w:type="dxa"/>
            <w:tcBorders>
              <w:top w:val="single" w:sz="6" w:space="0" w:color="auto"/>
              <w:left w:val="single" w:sz="6" w:space="0" w:color="auto"/>
              <w:bottom w:val="single" w:sz="6" w:space="0" w:color="auto"/>
              <w:right w:val="single" w:sz="6" w:space="0" w:color="auto"/>
            </w:tcBorders>
          </w:tcPr>
          <w:p w:rsidR="001C55F3" w:rsidRDefault="001C55F3" w:rsidP="00BE3014">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National suitability maps&amp; inventories average temperature and precipitation buildings and roads (vector25 dataset)</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none</w:t>
            </w:r>
          </w:p>
        </w:tc>
        <w:tc>
          <w:tcPr>
            <w:tcW w:w="226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2 ha</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ESRI ArcGIS Version ??</w:t>
            </w:r>
          </w:p>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- 3D Visualizations</w:t>
            </w:r>
          </w:p>
          <w:p w:rsidR="001C55F3" w:rsidRDefault="001C55F3">
            <w:pPr>
              <w:autoSpaceDE w:val="0"/>
              <w:autoSpaceDN w:val="0"/>
              <w:adjustRightInd w:val="0"/>
              <w:spacing w:after="0" w:line="240" w:lineRule="auto"/>
              <w:rPr>
                <w:rFonts w:ascii="Calibri" w:hAnsi="Calibri" w:cs="Calibri"/>
                <w:color w:val="000000"/>
                <w:sz w:val="20"/>
                <w:szCs w:val="20"/>
              </w:rPr>
            </w:pPr>
          </w:p>
        </w:tc>
        <w:tc>
          <w:tcPr>
            <w:tcW w:w="2552"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Spatial multi criteria model programmed in R and connected to ArcGIS including 3D visualizations and transition-based matrices for generation of land use types</w:t>
            </w:r>
          </w:p>
        </w:tc>
      </w:tr>
      <w:tr w:rsidR="001C55F3" w:rsidTr="009E1EDC">
        <w:trPr>
          <w:trHeight w:val="2086"/>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3.1.c. Local</w:t>
            </w:r>
          </w:p>
        </w:tc>
        <w:tc>
          <w:tcPr>
            <w:tcW w:w="2091"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Digital elevation model, forest-cover map (based on aerial photographs).</w:t>
            </w:r>
          </w:p>
        </w:tc>
        <w:tc>
          <w:tcPr>
            <w:tcW w:w="1810" w:type="dxa"/>
            <w:tcBorders>
              <w:top w:val="single" w:sz="6" w:space="0" w:color="auto"/>
              <w:left w:val="single" w:sz="6" w:space="0" w:color="auto"/>
              <w:bottom w:val="single" w:sz="6" w:space="0" w:color="auto"/>
              <w:right w:val="single" w:sz="6" w:space="0" w:color="auto"/>
            </w:tcBorders>
          </w:tcPr>
          <w:p w:rsidR="001C55F3" w:rsidRDefault="001C55F3" w:rsidP="00BE3014">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Average temperature and precipitation buildings and roads (vector25 dataset), simulation of avalanche run-out areas , map of optimal harvesting techniques </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Aerial photos have been used in previous studies for compiling a detailed forest-cover map.</w:t>
            </w:r>
          </w:p>
        </w:tc>
        <w:tc>
          <w:tcPr>
            <w:tcW w:w="226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Digitalized forest-cover map: 25m x 25m, digital elevation model: 25m x 25m, temperature: 25m x 25m, vector 25 data: 5m x 5m, all data were extrapolated to a 25m x 25x grid</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ESRI ArcGIS Version ??</w:t>
            </w:r>
          </w:p>
        </w:tc>
        <w:tc>
          <w:tcPr>
            <w:tcW w:w="2552"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a) Integration of process-based quantification models and valuation procedures in a GIS-platform, modular framework .</w:t>
            </w:r>
          </w:p>
          <w:p w:rsidR="001C55F3" w:rsidRDefault="001C55F3" w:rsidP="00BE3014">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b) Linking GIS-platform to Bayesian networks for valuing ecosystem services and quantifying uncertainties in a spatially explicit manner</w:t>
            </w:r>
          </w:p>
        </w:tc>
      </w:tr>
      <w:tr w:rsidR="001C55F3" w:rsidTr="009E1EDC">
        <w:trPr>
          <w:trHeight w:val="365"/>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 xml:space="preserve">3.2. </w:t>
            </w:r>
          </w:p>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Balkan</w:t>
            </w: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3.2.a. Croatia</w:t>
            </w:r>
          </w:p>
        </w:tc>
        <w:tc>
          <w:tcPr>
            <w:tcW w:w="2091" w:type="dxa"/>
            <w:tcBorders>
              <w:top w:val="single" w:sz="6" w:space="0" w:color="auto"/>
              <w:left w:val="single" w:sz="6" w:space="0" w:color="auto"/>
              <w:bottom w:val="single" w:sz="6" w:space="0" w:color="auto"/>
              <w:right w:val="single" w:sz="6" w:space="0" w:color="auto"/>
            </w:tcBorders>
          </w:tcPr>
          <w:p w:rsidR="001C55F3" w:rsidRDefault="001C55F3" w:rsidP="009E1EDC">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Vegetation, geological, topographic diversity, undisturbed areas, land cover/use, hydrological network, CORINE 2000, species distribution ranges, road density, population density, </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26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FF0000"/>
                <w:sz w:val="20"/>
                <w:szCs w:val="20"/>
              </w:rPr>
            </w:pPr>
            <w:r>
              <w:rPr>
                <w:rFonts w:ascii="Calibri" w:hAnsi="Calibri" w:cs="Calibri"/>
                <w:color w:val="FF0000"/>
                <w:sz w:val="20"/>
                <w:szCs w:val="20"/>
              </w:rPr>
              <w:t>?</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FF0000"/>
                <w:sz w:val="20"/>
                <w:szCs w:val="20"/>
              </w:rPr>
            </w:pPr>
            <w:r>
              <w:rPr>
                <w:rFonts w:ascii="Calibri" w:hAnsi="Calibri" w:cs="Calibri"/>
                <w:color w:val="FF0000"/>
                <w:sz w:val="20"/>
                <w:szCs w:val="20"/>
              </w:rPr>
              <w:t>?</w:t>
            </w:r>
          </w:p>
        </w:tc>
        <w:tc>
          <w:tcPr>
            <w:tcW w:w="2552"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FF0000"/>
                <w:sz w:val="20"/>
                <w:szCs w:val="20"/>
              </w:rPr>
            </w:pPr>
            <w:r>
              <w:rPr>
                <w:rFonts w:ascii="Calibri" w:hAnsi="Calibri" w:cs="Calibri"/>
                <w:color w:val="FF0000"/>
                <w:sz w:val="20"/>
                <w:szCs w:val="20"/>
              </w:rPr>
              <w:t>?</w:t>
            </w:r>
          </w:p>
        </w:tc>
      </w:tr>
      <w:tr w:rsidR="001C55F3" w:rsidTr="009E1EDC">
        <w:trPr>
          <w:trHeight w:val="432"/>
        </w:trPr>
        <w:tc>
          <w:tcPr>
            <w:tcW w:w="130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3.2.b. Others</w:t>
            </w:r>
          </w:p>
        </w:tc>
        <w:tc>
          <w:tcPr>
            <w:tcW w:w="2091"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347"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26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FF0000"/>
                <w:sz w:val="20"/>
                <w:szCs w:val="20"/>
              </w:rPr>
            </w:pPr>
            <w:r>
              <w:rPr>
                <w:rFonts w:ascii="Calibri" w:hAnsi="Calibri" w:cs="Calibri"/>
                <w:color w:val="FF0000"/>
                <w:sz w:val="20"/>
                <w:szCs w:val="20"/>
              </w:rPr>
              <w:t>x</w:t>
            </w:r>
          </w:p>
        </w:tc>
        <w:tc>
          <w:tcPr>
            <w:tcW w:w="184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FF0000"/>
                <w:sz w:val="20"/>
                <w:szCs w:val="20"/>
              </w:rPr>
            </w:pPr>
            <w:r>
              <w:rPr>
                <w:rFonts w:ascii="Calibri" w:hAnsi="Calibri" w:cs="Calibri"/>
                <w:color w:val="FF0000"/>
                <w:sz w:val="20"/>
                <w:szCs w:val="20"/>
              </w:rPr>
              <w:t>x</w:t>
            </w:r>
          </w:p>
        </w:tc>
        <w:tc>
          <w:tcPr>
            <w:tcW w:w="2552"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FF0000"/>
                <w:sz w:val="20"/>
                <w:szCs w:val="20"/>
              </w:rPr>
            </w:pPr>
            <w:r>
              <w:rPr>
                <w:rFonts w:ascii="Calibri" w:hAnsi="Calibri" w:cs="Calibri"/>
                <w:color w:val="FF0000"/>
                <w:sz w:val="20"/>
                <w:szCs w:val="20"/>
              </w:rPr>
              <w:t>?</w:t>
            </w:r>
          </w:p>
        </w:tc>
      </w:tr>
      <w:tr w:rsidR="001C55F3" w:rsidTr="009E1EDC">
        <w:trPr>
          <w:trHeight w:val="3442"/>
        </w:trPr>
        <w:tc>
          <w:tcPr>
            <w:tcW w:w="1306" w:type="dxa"/>
            <w:tcBorders>
              <w:top w:val="single" w:sz="6" w:space="0" w:color="auto"/>
              <w:left w:val="single" w:sz="6" w:space="0" w:color="auto"/>
              <w:bottom w:val="single" w:sz="6" w:space="0" w:color="auto"/>
              <w:right w:val="single" w:sz="6" w:space="0" w:color="auto"/>
            </w:tcBorders>
          </w:tcPr>
          <w:p w:rsidR="001C55F3" w:rsidRDefault="001C55F3" w:rsidP="00D86909">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lastRenderedPageBreak/>
              <w:t>4. The Netherlands</w:t>
            </w:r>
          </w:p>
        </w:tc>
        <w:tc>
          <w:tcPr>
            <w:tcW w:w="989"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x</w:t>
            </w:r>
          </w:p>
        </w:tc>
        <w:tc>
          <w:tcPr>
            <w:tcW w:w="2091" w:type="dxa"/>
            <w:tcBorders>
              <w:top w:val="single" w:sz="6" w:space="0" w:color="auto"/>
              <w:left w:val="single" w:sz="6" w:space="0" w:color="auto"/>
              <w:bottom w:val="single" w:sz="6" w:space="0" w:color="auto"/>
              <w:right w:val="single" w:sz="6" w:space="0" w:color="auto"/>
            </w:tcBorders>
          </w:tcPr>
          <w:p w:rsidR="001C55F3" w:rsidRDefault="001C55F3" w:rsidP="00D86909">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Land cover Map </w:t>
            </w:r>
          </w:p>
        </w:tc>
        <w:tc>
          <w:tcPr>
            <w:tcW w:w="181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 Bathymetry, sediment type and hydrology maps; Natura2000 species; habitats of the Wadden Sea.</w:t>
            </w:r>
          </w:p>
        </w:tc>
        <w:tc>
          <w:tcPr>
            <w:tcW w:w="1347" w:type="dxa"/>
            <w:tcBorders>
              <w:top w:val="single" w:sz="6" w:space="0" w:color="auto"/>
              <w:left w:val="single" w:sz="6" w:space="0" w:color="auto"/>
              <w:bottom w:val="single" w:sz="6" w:space="0" w:color="auto"/>
              <w:right w:val="single" w:sz="6" w:space="0" w:color="auto"/>
            </w:tcBorders>
          </w:tcPr>
          <w:p w:rsidR="001C55F3" w:rsidRDefault="001C55F3" w:rsidP="00D86909">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Map of human use of the Wadden Sea with 26 classe</w:t>
            </w:r>
          </w:p>
        </w:tc>
        <w:tc>
          <w:tcPr>
            <w:tcW w:w="2268" w:type="dxa"/>
            <w:tcBorders>
              <w:top w:val="single" w:sz="6" w:space="0" w:color="auto"/>
              <w:left w:val="single" w:sz="6" w:space="0" w:color="auto"/>
              <w:bottom w:val="single" w:sz="6" w:space="0" w:color="auto"/>
              <w:right w:val="single" w:sz="6" w:space="0" w:color="auto"/>
            </w:tcBorders>
          </w:tcPr>
          <w:p w:rsidR="001C55F3" w:rsidRDefault="001C55F3" w:rsidP="00D86909">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Maps differ in resolution from very fine (e.g. 5x5m) to coarse (5x5km). For fishery maps based on VesselMonitoring (mussels monitoring) System (VMS) scale is 1x1 nautical mile. For maps on other ecological objectives the resolution is determined by the grid size of the underlying data points.</w:t>
            </w:r>
          </w:p>
        </w:tc>
        <w:tc>
          <w:tcPr>
            <w:tcW w:w="1843" w:type="dxa"/>
            <w:tcBorders>
              <w:top w:val="single" w:sz="6" w:space="0" w:color="auto"/>
              <w:left w:val="single" w:sz="6" w:space="0" w:color="auto"/>
              <w:bottom w:val="single" w:sz="6" w:space="0" w:color="auto"/>
              <w:right w:val="single" w:sz="6" w:space="0" w:color="auto"/>
            </w:tcBorders>
          </w:tcPr>
          <w:p w:rsidR="001C55F3" w:rsidRPr="00A80D6D" w:rsidRDefault="001C55F3">
            <w:pPr>
              <w:autoSpaceDE w:val="0"/>
              <w:autoSpaceDN w:val="0"/>
              <w:adjustRightInd w:val="0"/>
              <w:spacing w:after="0" w:line="240" w:lineRule="auto"/>
              <w:rPr>
                <w:rFonts w:ascii="Calibri" w:hAnsi="Calibri" w:cs="Calibri"/>
                <w:color w:val="000000"/>
                <w:sz w:val="20"/>
                <w:szCs w:val="20"/>
                <w:lang w:val="de-CH"/>
              </w:rPr>
            </w:pPr>
            <w:r w:rsidRPr="00A80D6D">
              <w:rPr>
                <w:rFonts w:ascii="Calibri" w:hAnsi="Calibri" w:cs="Calibri"/>
                <w:color w:val="000000"/>
                <w:sz w:val="20"/>
                <w:szCs w:val="20"/>
                <w:lang w:val="de-CH"/>
              </w:rPr>
              <w:t>ESRI-ArcGIS' version?? , ERDAS-IMAGINE  version??</w:t>
            </w:r>
          </w:p>
        </w:tc>
        <w:tc>
          <w:tcPr>
            <w:tcW w:w="2552"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RStatistics, Phyton-scripting.  The maps shown have been developed within other projects, and are used as examples of possible useful maps to pinpoint ES of the Wadden Sea.</w:t>
            </w:r>
          </w:p>
        </w:tc>
      </w:tr>
    </w:tbl>
    <w:p w:rsidR="001C55F3" w:rsidRPr="00B422C3" w:rsidRDefault="001C55F3" w:rsidP="009E5FDD">
      <w:pPr>
        <w:pStyle w:val="Titre2"/>
        <w:rPr>
          <w:lang w:eastAsia="zh-TW"/>
        </w:rPr>
      </w:pPr>
      <w:r>
        <w:rPr>
          <w:lang w:eastAsia="zh-TW"/>
        </w:rPr>
        <w:br w:type="page"/>
      </w:r>
      <w:r>
        <w:rPr>
          <w:lang w:eastAsia="zh-TW"/>
        </w:rPr>
        <w:lastRenderedPageBreak/>
        <w:t>3.3</w:t>
      </w:r>
      <w:r>
        <w:rPr>
          <w:lang w:eastAsia="zh-TW"/>
        </w:rPr>
        <w:tab/>
      </w:r>
      <w:r w:rsidRPr="00B422C3">
        <w:rPr>
          <w:lang w:eastAsia="zh-TW"/>
        </w:rPr>
        <w:t>Analysis of Ecosystem Coverage by the Country Case studies</w:t>
      </w:r>
    </w:p>
    <w:p w:rsidR="001C55F3" w:rsidRDefault="001C55F3" w:rsidP="009D39B8">
      <w:pPr>
        <w:pStyle w:val="Paragraphedeliste"/>
        <w:ind w:left="1080"/>
        <w:rPr>
          <w:lang w:eastAsia="zh-TW"/>
        </w:rPr>
      </w:pPr>
    </w:p>
    <w:p w:rsidR="001C55F3" w:rsidRPr="004D5D3A" w:rsidRDefault="001C55F3" w:rsidP="009E5FDD">
      <w:pPr>
        <w:pStyle w:val="Paragraphedeliste"/>
        <w:ind w:left="0"/>
        <w:rPr>
          <w:b/>
          <w:sz w:val="24"/>
          <w:szCs w:val="24"/>
          <w:lang w:eastAsia="zh-TW"/>
        </w:rPr>
      </w:pPr>
      <w:r>
        <w:rPr>
          <w:b/>
          <w:sz w:val="24"/>
          <w:szCs w:val="24"/>
          <w:lang w:eastAsia="zh-TW"/>
        </w:rPr>
        <w:t>3</w:t>
      </w:r>
      <w:r w:rsidRPr="004D5D3A">
        <w:rPr>
          <w:b/>
          <w:sz w:val="24"/>
          <w:szCs w:val="24"/>
          <w:lang w:eastAsia="zh-TW"/>
        </w:rPr>
        <w:t>.3.1</w:t>
      </w:r>
      <w:r w:rsidRPr="004D5D3A">
        <w:rPr>
          <w:b/>
          <w:sz w:val="24"/>
          <w:szCs w:val="24"/>
          <w:lang w:eastAsia="zh-TW"/>
        </w:rPr>
        <w:tab/>
        <w:t>Introduction</w:t>
      </w:r>
    </w:p>
    <w:p w:rsidR="001C55F3" w:rsidRPr="009E5FDD" w:rsidRDefault="001C55F3" w:rsidP="004D5D3A">
      <w:pPr>
        <w:pStyle w:val="Paragraphedeliste"/>
        <w:spacing w:line="240" w:lineRule="auto"/>
        <w:ind w:left="0"/>
        <w:rPr>
          <w:lang w:eastAsia="zh-TW"/>
        </w:rPr>
      </w:pPr>
      <w:r w:rsidRPr="009E5FDD">
        <w:rPr>
          <w:lang w:eastAsia="zh-TW"/>
        </w:rPr>
        <w:t>The o</w:t>
      </w:r>
      <w:r>
        <w:rPr>
          <w:lang w:eastAsia="zh-TW"/>
        </w:rPr>
        <w:t>bjective of this section is to</w:t>
      </w:r>
    </w:p>
    <w:p w:rsidR="001C55F3" w:rsidRPr="00D47880" w:rsidRDefault="001C55F3" w:rsidP="00622218">
      <w:pPr>
        <w:pStyle w:val="Paragraphedeliste"/>
        <w:numPr>
          <w:ilvl w:val="0"/>
          <w:numId w:val="26"/>
        </w:numPr>
        <w:spacing w:line="240" w:lineRule="auto"/>
        <w:rPr>
          <w:rFonts w:ascii="Times New Roman" w:eastAsia="Times New Roman" w:hAnsi="Times New Roman" w:cs="Arial"/>
          <w:b/>
          <w:bCs/>
          <w:i/>
          <w:sz w:val="24"/>
          <w:szCs w:val="26"/>
          <w:lang w:eastAsia="en-GB"/>
        </w:rPr>
      </w:pPr>
      <w:r>
        <w:rPr>
          <w:lang w:eastAsia="en-GB"/>
        </w:rPr>
        <w:t>Compare the results with the Contractual requirements in terms of coverage of the ecosystems across Europe.</w:t>
      </w:r>
    </w:p>
    <w:p w:rsidR="001C55F3" w:rsidRPr="009D39B8" w:rsidRDefault="001C55F3" w:rsidP="00622218">
      <w:pPr>
        <w:pStyle w:val="Paragraphedeliste"/>
        <w:numPr>
          <w:ilvl w:val="0"/>
          <w:numId w:val="26"/>
        </w:numPr>
        <w:spacing w:line="240" w:lineRule="auto"/>
        <w:rPr>
          <w:rFonts w:ascii="Times New Roman" w:eastAsia="Times New Roman" w:hAnsi="Times New Roman" w:cs="Arial"/>
          <w:b/>
          <w:bCs/>
          <w:i/>
          <w:sz w:val="24"/>
          <w:szCs w:val="26"/>
          <w:lang w:eastAsia="en-GB"/>
        </w:rPr>
      </w:pPr>
      <w:r>
        <w:rPr>
          <w:lang w:eastAsia="en-GB"/>
        </w:rPr>
        <w:t xml:space="preserve">Compare the results with the Analytical Framework Typology of Ecosystems (table 3, p. 26) </w:t>
      </w:r>
    </w:p>
    <w:p w:rsidR="001C55F3" w:rsidRPr="00D47880" w:rsidRDefault="001C55F3" w:rsidP="00622218">
      <w:pPr>
        <w:pStyle w:val="Paragraphedeliste"/>
        <w:numPr>
          <w:ilvl w:val="0"/>
          <w:numId w:val="26"/>
        </w:numPr>
        <w:spacing w:line="240" w:lineRule="auto"/>
        <w:rPr>
          <w:rFonts w:ascii="Times New Roman" w:eastAsia="Times New Roman" w:hAnsi="Times New Roman" w:cs="Arial"/>
          <w:b/>
          <w:bCs/>
          <w:i/>
          <w:sz w:val="24"/>
          <w:szCs w:val="26"/>
          <w:lang w:eastAsia="en-GB"/>
        </w:rPr>
      </w:pPr>
      <w:r>
        <w:rPr>
          <w:lang w:eastAsia="en-GB"/>
        </w:rPr>
        <w:t>Compare with the classification of the Thematic EU Pilot studies to maximise the transferability of results of the present study.</w:t>
      </w:r>
    </w:p>
    <w:p w:rsidR="001C55F3" w:rsidRPr="001A241F" w:rsidRDefault="001C55F3" w:rsidP="00622218">
      <w:pPr>
        <w:pStyle w:val="Paragraphedeliste"/>
        <w:numPr>
          <w:ilvl w:val="0"/>
          <w:numId w:val="26"/>
        </w:numPr>
        <w:spacing w:line="240" w:lineRule="auto"/>
        <w:rPr>
          <w:b/>
          <w:lang w:eastAsia="zh-TW"/>
        </w:rPr>
      </w:pPr>
      <w:r>
        <w:rPr>
          <w:lang w:eastAsia="en-GB"/>
        </w:rPr>
        <w:t>To analyse to the possibilities and restrictions of working with Land Use / Land Cover classifications and data versus classifications of Ecosystems and Habitats</w:t>
      </w:r>
    </w:p>
    <w:p w:rsidR="001C55F3" w:rsidRDefault="001C55F3" w:rsidP="00CC0D51">
      <w:pPr>
        <w:spacing w:line="240" w:lineRule="auto"/>
        <w:rPr>
          <w:b/>
          <w:lang w:eastAsia="zh-TW"/>
        </w:rPr>
      </w:pPr>
      <w:r>
        <w:rPr>
          <w:b/>
          <w:lang w:eastAsia="zh-TW"/>
        </w:rPr>
        <w:t>3.3.2</w:t>
      </w:r>
      <w:r>
        <w:rPr>
          <w:b/>
          <w:lang w:eastAsia="zh-TW"/>
        </w:rPr>
        <w:tab/>
        <w:t>Results</w:t>
      </w:r>
    </w:p>
    <w:p w:rsidR="001C55F3" w:rsidRPr="00A220D8" w:rsidRDefault="001C55F3" w:rsidP="00CC0D51">
      <w:pPr>
        <w:spacing w:line="240" w:lineRule="auto"/>
        <w:rPr>
          <w:lang w:eastAsia="en-GB"/>
        </w:rPr>
      </w:pPr>
      <w:r w:rsidRPr="00A220D8">
        <w:rPr>
          <w:lang w:eastAsia="en-GB"/>
        </w:rPr>
        <w:t xml:space="preserve">In Table 4.4 the ecosystems as described in the Fact Sheets of the Country Case studies are listed. The Table uses the structure reflecting the EU Thematic Pilots which are now being developed in the MAES process. </w:t>
      </w:r>
    </w:p>
    <w:p w:rsidR="001C55F3" w:rsidRPr="00241573" w:rsidRDefault="001C55F3" w:rsidP="00241573">
      <w:pPr>
        <w:rPr>
          <w:b/>
          <w:lang w:eastAsia="zh-TW"/>
        </w:rPr>
      </w:pPr>
      <w:r>
        <w:rPr>
          <w:b/>
          <w:lang w:eastAsia="zh-TW"/>
        </w:rPr>
        <w:t>Table 3.4 Ecosystems in the Country Case studies</w:t>
      </w:r>
    </w:p>
    <w:tbl>
      <w:tblPr>
        <w:tblW w:w="0" w:type="auto"/>
        <w:tblInd w:w="78" w:type="dxa"/>
        <w:tblLayout w:type="fixed"/>
        <w:tblLook w:val="0000"/>
      </w:tblPr>
      <w:tblGrid>
        <w:gridCol w:w="1590"/>
        <w:gridCol w:w="2693"/>
        <w:gridCol w:w="2693"/>
        <w:gridCol w:w="2126"/>
        <w:gridCol w:w="1984"/>
        <w:gridCol w:w="2978"/>
      </w:tblGrid>
      <w:tr w:rsidR="001C55F3" w:rsidTr="00521EC6">
        <w:trPr>
          <w:trHeight w:val="368"/>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AGRO-ECOSYSTEMS</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FOREST</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FRESHWATER</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MARINE</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OTHER</w:t>
            </w:r>
          </w:p>
        </w:tc>
      </w:tr>
      <w:tr w:rsidR="001C55F3" w:rsidTr="00521EC6">
        <w:trPr>
          <w:trHeight w:val="530"/>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1.1. U.K.</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semi-natural grassland, enclosed farmland</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woodlands</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freshwaters, Open waters, wetlands</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coastal margins, marine</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mountains, moorlands heaths, urban</w:t>
            </w:r>
          </w:p>
        </w:tc>
      </w:tr>
      <w:tr w:rsidR="001C55F3" w:rsidTr="00521EC6">
        <w:trPr>
          <w:trHeight w:val="1138"/>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1.2. Spain</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systems with dominant woodly elements, grasslands, monospecies arable, polycultures, industrial agriculture</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Atlantic forest (colino, montano), Mediterranean contental&amp; shrubs</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wetlands &amp; lakes, aquifers, rivers &amp; shores</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coastal, insular, marine waters</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urban, sclerophylous forest &amp; shrub, alpine mountain, mediterranean mountain, arid zone</w:t>
            </w:r>
          </w:p>
        </w:tc>
      </w:tr>
      <w:tr w:rsidR="001C55F3" w:rsidTr="00521EC6">
        <w:trPr>
          <w:trHeight w:val="1061"/>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2.1. Belgium         2.1.a. Flanders</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vegetable farming, cropland, orchard, pastures, natural grassland,</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short rotation coppice, deciduous forest, coniferous forest, natural deciduous forest, natural pine forest</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marshes, marsh forest, water bodies, water courses</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intertidal flats, beach &amp; dunes</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build-up area, park, garden, pioneer vegetation, shrub, heathland, small landscape element</w:t>
            </w:r>
          </w:p>
        </w:tc>
      </w:tr>
      <w:tr w:rsidR="001C55F3" w:rsidTr="00521EC6">
        <w:trPr>
          <w:trHeight w:val="533"/>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2.1. Belgium         2.1.b. Flanders</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field, meadow, </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forest, bushes, flower and species-rich shrub</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still water, watercourse, swamp</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coast, estuaries</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urban, military land, recreational park, heath, dunes</w:t>
            </w:r>
          </w:p>
        </w:tc>
      </w:tr>
      <w:tr w:rsidR="001C55F3" w:rsidTr="00521EC6">
        <w:trPr>
          <w:trHeight w:val="910"/>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lastRenderedPageBreak/>
              <w:t>2.1. Belgium         2.1.c. Wallonia</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annual crop, market garden, horticulture, plant nursery, orchard, meadow, grass patch</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deciduous forest, coniferous forest, mixed forest, natural grassland, heathland, shrubland</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still water, watercourse, swamp, bog</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urban, economic activity land, transport-dedicated land, airport, mine and, wasteland, green urban , sport and leasure areas</w:t>
            </w:r>
          </w:p>
        </w:tc>
      </w:tr>
      <w:tr w:rsidR="001C55F3" w:rsidTr="00521EC6">
        <w:trPr>
          <w:trHeight w:val="500"/>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2.2. Austria</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cropland, grassland</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woodland &amp; forest</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rivers &amp; lakes</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urban, heathland &amp; shrub, sparsely or unvegetated land</w:t>
            </w:r>
          </w:p>
        </w:tc>
      </w:tr>
      <w:tr w:rsidR="001C55F3" w:rsidTr="00521EC6">
        <w:trPr>
          <w:trHeight w:val="456"/>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 Switzerland           Global</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agricultural areas, pasture, permanent crops</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forest</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water bodies, wetland</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artficial surface, shrubs &amp; herbaceous, open space</w:t>
            </w:r>
          </w:p>
        </w:tc>
      </w:tr>
      <w:tr w:rsidR="001C55F3" w:rsidTr="00521EC6">
        <w:trPr>
          <w:trHeight w:val="511"/>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 Switzerland           regional</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dry grassland &amp; pasture, extensive grassland</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forest &amp; shrub encroachment</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urban areas</w:t>
            </w:r>
          </w:p>
        </w:tc>
      </w:tr>
      <w:tr w:rsidR="001C55F3" w:rsidTr="00521EC6">
        <w:trPr>
          <w:trHeight w:val="446"/>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3.1. Switzerland           local</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forest</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r>
      <w:tr w:rsidR="001C55F3" w:rsidTr="00521EC6">
        <w:trPr>
          <w:trHeight w:val="446"/>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p>
        </w:tc>
      </w:tr>
      <w:tr w:rsidR="001C55F3" w:rsidTr="00521EC6">
        <w:trPr>
          <w:trHeight w:val="485"/>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3.2. Balkan            Croatia</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forest</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freshwater</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coasts, marine</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r>
      <w:tr w:rsidR="001C55F3" w:rsidTr="00521EC6">
        <w:trPr>
          <w:trHeight w:val="485"/>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3.2. Balkan            Others</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grasslands, agro-ecosystems</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 xml:space="preserve">forest, </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rivers, freshwater</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scrub, shrub</w:t>
            </w:r>
          </w:p>
        </w:tc>
      </w:tr>
      <w:tr w:rsidR="001C55F3" w:rsidTr="00521EC6">
        <w:trPr>
          <w:trHeight w:val="1099"/>
        </w:trPr>
        <w:tc>
          <w:tcPr>
            <w:tcW w:w="1590"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b/>
                <w:bCs/>
                <w:color w:val="000000"/>
                <w:sz w:val="20"/>
                <w:szCs w:val="20"/>
              </w:rPr>
            </w:pPr>
            <w:r>
              <w:rPr>
                <w:rFonts w:ascii="Calibri" w:hAnsi="Calibri" w:cs="Calibri"/>
                <w:b/>
                <w:bCs/>
                <w:color w:val="000000"/>
                <w:sz w:val="20"/>
                <w:szCs w:val="20"/>
              </w:rPr>
              <w:t>4. The Netherlands</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x</w:t>
            </w:r>
          </w:p>
        </w:tc>
        <w:tc>
          <w:tcPr>
            <w:tcW w:w="2693"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2126"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c>
          <w:tcPr>
            <w:tcW w:w="1984"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H1110A Sandbanks, H1140A Mud &amp;Sandflats, H1310 Glasswort, H1320 Cord Grass Sward, H1330 Altlantic salt meadows</w:t>
            </w:r>
          </w:p>
        </w:tc>
        <w:tc>
          <w:tcPr>
            <w:tcW w:w="2978" w:type="dxa"/>
            <w:tcBorders>
              <w:top w:val="single" w:sz="6" w:space="0" w:color="auto"/>
              <w:left w:val="single" w:sz="6" w:space="0" w:color="auto"/>
              <w:bottom w:val="single" w:sz="6" w:space="0" w:color="auto"/>
              <w:right w:val="single" w:sz="6" w:space="0" w:color="auto"/>
            </w:tcBorders>
          </w:tcPr>
          <w:p w:rsidR="001C55F3" w:rsidRDefault="001C55F3">
            <w:pPr>
              <w:autoSpaceDE w:val="0"/>
              <w:autoSpaceDN w:val="0"/>
              <w:adjustRightInd w:val="0"/>
              <w:spacing w:after="0" w:line="240" w:lineRule="auto"/>
              <w:rPr>
                <w:rFonts w:ascii="Calibri" w:hAnsi="Calibri" w:cs="Calibri"/>
                <w:color w:val="000000"/>
                <w:sz w:val="20"/>
                <w:szCs w:val="20"/>
              </w:rPr>
            </w:pPr>
            <w:r>
              <w:rPr>
                <w:rFonts w:ascii="Calibri" w:hAnsi="Calibri" w:cs="Calibri"/>
                <w:color w:val="000000"/>
                <w:sz w:val="20"/>
                <w:szCs w:val="20"/>
              </w:rPr>
              <w:t>x</w:t>
            </w:r>
          </w:p>
        </w:tc>
      </w:tr>
    </w:tbl>
    <w:p w:rsidR="001C55F3" w:rsidRDefault="001C55F3" w:rsidP="002E3901">
      <w:pPr>
        <w:pStyle w:val="Titre2"/>
        <w:rPr>
          <w:lang w:eastAsia="en-GB"/>
        </w:rPr>
      </w:pPr>
    </w:p>
    <w:p w:rsidR="001C55F3" w:rsidRPr="00A220D8" w:rsidRDefault="001C55F3" w:rsidP="00622218">
      <w:pPr>
        <w:pStyle w:val="Paragraphedeliste"/>
        <w:numPr>
          <w:ilvl w:val="0"/>
          <w:numId w:val="65"/>
        </w:numPr>
        <w:spacing w:line="240" w:lineRule="auto"/>
        <w:rPr>
          <w:rFonts w:eastAsia="Times New Roman" w:cs="Arial"/>
          <w:b/>
          <w:bCs/>
          <w:i/>
          <w:lang w:eastAsia="en-GB"/>
        </w:rPr>
      </w:pPr>
      <w:r w:rsidRPr="00A220D8">
        <w:rPr>
          <w:b/>
          <w:lang w:eastAsia="en-GB"/>
        </w:rPr>
        <w:t>Compare with Contract</w:t>
      </w:r>
    </w:p>
    <w:p w:rsidR="001C55F3" w:rsidRPr="00A220D8" w:rsidRDefault="001C55F3" w:rsidP="00622218">
      <w:pPr>
        <w:pStyle w:val="Paragraphedeliste"/>
        <w:numPr>
          <w:ilvl w:val="0"/>
          <w:numId w:val="26"/>
        </w:numPr>
        <w:spacing w:line="240" w:lineRule="auto"/>
        <w:rPr>
          <w:rFonts w:eastAsia="Times New Roman" w:cs="Arial"/>
          <w:b/>
          <w:bCs/>
          <w:i/>
          <w:lang w:eastAsia="en-GB"/>
        </w:rPr>
      </w:pPr>
      <w:r w:rsidRPr="00A220D8">
        <w:rPr>
          <w:lang w:eastAsia="en-GB"/>
        </w:rPr>
        <w:t xml:space="preserve">In Table 3.1 the planning of coverage of ecosystems across the Country cases is shown. The Table 4 description indicate that  this ambition has clearly been realised. The larger cases (UK and Spain) obviously cover many different ecosystems and in Belgium and Austria many systems are represented as well. The Swiss cases are much more ecosystem specific by design. Across the Balkan quite a number of ecosystems are addressed, but  described at a high level of aggregation (forest, grassland). The Marine case specifies several zones with the Natura 2000 Habitat terminology. </w:t>
      </w:r>
    </w:p>
    <w:p w:rsidR="001C55F3" w:rsidRPr="00A220D8" w:rsidRDefault="001C55F3" w:rsidP="00622218">
      <w:pPr>
        <w:pStyle w:val="Paragraphedeliste"/>
        <w:numPr>
          <w:ilvl w:val="0"/>
          <w:numId w:val="65"/>
        </w:numPr>
        <w:spacing w:line="240" w:lineRule="auto"/>
        <w:rPr>
          <w:rFonts w:eastAsia="Times New Roman" w:cs="Arial"/>
          <w:b/>
          <w:bCs/>
          <w:i/>
          <w:lang w:eastAsia="en-GB"/>
        </w:rPr>
      </w:pPr>
      <w:r w:rsidRPr="00A220D8">
        <w:rPr>
          <w:b/>
          <w:lang w:eastAsia="en-GB"/>
        </w:rPr>
        <w:t>Compare with the Analytical Framework Typology of Ecosystems (table 3, p. 26)</w:t>
      </w:r>
    </w:p>
    <w:p w:rsidR="001C55F3" w:rsidRPr="00A220D8" w:rsidRDefault="001C55F3" w:rsidP="00622218">
      <w:pPr>
        <w:pStyle w:val="Paragraphedeliste"/>
        <w:numPr>
          <w:ilvl w:val="0"/>
          <w:numId w:val="26"/>
        </w:numPr>
        <w:spacing w:line="240" w:lineRule="auto"/>
        <w:rPr>
          <w:rFonts w:eastAsia="Times New Roman" w:cs="Arial"/>
          <w:b/>
          <w:bCs/>
          <w:i/>
          <w:lang w:eastAsia="en-GB"/>
        </w:rPr>
      </w:pPr>
      <w:r w:rsidRPr="00A220D8">
        <w:rPr>
          <w:rFonts w:eastAsia="Times New Roman" w:cs="Arial"/>
          <w:bCs/>
          <w:lang w:eastAsia="en-GB"/>
        </w:rPr>
        <w:t xml:space="preserve">Many of the ecosystem types in the MAES framework typology are represented across the case studies. This allows us in developing the Guidance document to use the experience of the various cases for these types of ecosystems. A problem is that the names of the ecosystems are not derived </w:t>
      </w:r>
      <w:r w:rsidRPr="00A220D8">
        <w:rPr>
          <w:rFonts w:eastAsia="Times New Roman" w:cs="Arial"/>
          <w:bCs/>
          <w:lang w:eastAsia="en-GB"/>
        </w:rPr>
        <w:lastRenderedPageBreak/>
        <w:t>from the typology (not surprising given the timing of the various cases versus MAES) and therefore an interpretation shall be necessary (and checked with the original Case study implementors), to match the various descriptions. In the Belgian cases the land use categories that were used have been allocated to the Pilot categories (across the horizontal axis of the table)</w:t>
      </w:r>
    </w:p>
    <w:p w:rsidR="001C55F3" w:rsidRPr="00A220D8" w:rsidRDefault="001C55F3" w:rsidP="00622218">
      <w:pPr>
        <w:pStyle w:val="Paragraphedeliste"/>
        <w:numPr>
          <w:ilvl w:val="0"/>
          <w:numId w:val="65"/>
        </w:numPr>
        <w:spacing w:after="0" w:line="240" w:lineRule="auto"/>
        <w:rPr>
          <w:rFonts w:eastAsia="Times New Roman" w:cs="Arial"/>
          <w:b/>
          <w:bCs/>
          <w:i/>
          <w:lang w:eastAsia="en-GB"/>
        </w:rPr>
      </w:pPr>
      <w:r w:rsidRPr="00A220D8">
        <w:rPr>
          <w:b/>
          <w:lang w:eastAsia="en-GB"/>
        </w:rPr>
        <w:t>Compare with Thematic EU Pilot studies:</w:t>
      </w:r>
    </w:p>
    <w:p w:rsidR="001C55F3" w:rsidRPr="00A220D8" w:rsidRDefault="001C55F3" w:rsidP="00622218">
      <w:pPr>
        <w:pStyle w:val="Paragraphedeliste"/>
        <w:numPr>
          <w:ilvl w:val="0"/>
          <w:numId w:val="26"/>
        </w:numPr>
        <w:spacing w:after="0" w:line="240" w:lineRule="auto"/>
        <w:rPr>
          <w:rFonts w:eastAsia="Times New Roman" w:cs="Arial"/>
          <w:bCs/>
          <w:lang w:eastAsia="en-GB"/>
        </w:rPr>
      </w:pPr>
      <w:r w:rsidRPr="00A220D8">
        <w:rPr>
          <w:rFonts w:eastAsia="Times New Roman" w:cs="Arial"/>
          <w:bCs/>
          <w:lang w:eastAsia="en-GB"/>
        </w:rPr>
        <w:t xml:space="preserve">The Ecosystem based Pilots are very well represented across the set of Country Cases. Even the Marine Ecosystem is addressed in more than the specific Dutch case. This means at least that the background material of the Country Cases (to begin with: the Fact Sheets) can be relevant to the Pilot study groups. </w:t>
      </w:r>
    </w:p>
    <w:p w:rsidR="001C55F3" w:rsidRPr="00A220D8" w:rsidRDefault="001C55F3" w:rsidP="00622218">
      <w:pPr>
        <w:pStyle w:val="Paragraphedeliste"/>
        <w:numPr>
          <w:ilvl w:val="0"/>
          <w:numId w:val="65"/>
        </w:numPr>
        <w:spacing w:after="0" w:line="240" w:lineRule="auto"/>
        <w:rPr>
          <w:rFonts w:eastAsia="Times New Roman" w:cs="Arial"/>
          <w:b/>
          <w:bCs/>
          <w:i/>
          <w:lang w:eastAsia="en-GB"/>
        </w:rPr>
      </w:pPr>
      <w:r w:rsidRPr="00A220D8">
        <w:rPr>
          <w:b/>
          <w:lang w:eastAsia="en-GB"/>
        </w:rPr>
        <w:t>Land Use versus Ecosystems and Habitats</w:t>
      </w:r>
    </w:p>
    <w:p w:rsidR="001C55F3" w:rsidRPr="00A220D8" w:rsidRDefault="001C55F3" w:rsidP="00622218">
      <w:pPr>
        <w:pStyle w:val="Paragraphedeliste"/>
        <w:numPr>
          <w:ilvl w:val="0"/>
          <w:numId w:val="26"/>
        </w:numPr>
        <w:spacing w:line="240" w:lineRule="auto"/>
        <w:rPr>
          <w:rFonts w:eastAsia="Times New Roman" w:cs="Arial"/>
          <w:bCs/>
          <w:lang w:eastAsia="en-GB"/>
        </w:rPr>
      </w:pPr>
      <w:r w:rsidRPr="00A220D8">
        <w:rPr>
          <w:rFonts w:eastAsia="Times New Roman" w:cs="Arial"/>
          <w:bCs/>
          <w:lang w:eastAsia="en-GB"/>
        </w:rPr>
        <w:t>It is very attractive for a mapping activity to start with the land use and land cover maps (GIS databases) at National and EU level. In the Action 5 activities, the Member States that have Corine based or Corine compatible National systems have an advantage. However, a systematic translation between the LU/LC units and ecosystems is necessary. The obvious case is that LU/:C units may (and generally do) include different ecosystems, the definition of which must be very clear. At the same time, many land use classes are in fact describing the “major” ecosystem service, while other services provided by that area may not be recognised immediately, if the land use name is used for ecosystem services mapping. For example, cropland produces food, but also (through its underground ecosystem) carbon storage, nutrient cycling, water filtration and is the habitat for birds, and an aspect of the landscape with a number of cultural services.</w:t>
      </w:r>
    </w:p>
    <w:p w:rsidR="001C55F3" w:rsidRPr="00A220D8" w:rsidRDefault="001C55F3" w:rsidP="001A241F">
      <w:pPr>
        <w:pStyle w:val="Paragraphedeliste"/>
        <w:spacing w:line="240" w:lineRule="auto"/>
        <w:rPr>
          <w:lang w:eastAsia="en-GB"/>
        </w:rPr>
      </w:pPr>
    </w:p>
    <w:p w:rsidR="001C55F3" w:rsidRPr="00A220D8" w:rsidRDefault="001C55F3" w:rsidP="001A241F">
      <w:pPr>
        <w:pStyle w:val="Paragraphedeliste"/>
        <w:spacing w:line="240" w:lineRule="auto"/>
        <w:ind w:left="0"/>
        <w:rPr>
          <w:b/>
          <w:lang w:eastAsia="en-GB"/>
        </w:rPr>
      </w:pPr>
      <w:r>
        <w:rPr>
          <w:b/>
          <w:lang w:eastAsia="en-GB"/>
        </w:rPr>
        <w:t>3.3.3</w:t>
      </w:r>
      <w:r>
        <w:rPr>
          <w:b/>
          <w:lang w:eastAsia="en-GB"/>
        </w:rPr>
        <w:tab/>
      </w:r>
      <w:r w:rsidRPr="00A220D8">
        <w:rPr>
          <w:b/>
          <w:lang w:eastAsia="en-GB"/>
        </w:rPr>
        <w:t>Conclusion:</w:t>
      </w:r>
    </w:p>
    <w:p w:rsidR="001C55F3" w:rsidRDefault="001C55F3" w:rsidP="001A241F">
      <w:pPr>
        <w:pStyle w:val="Paragraphedeliste"/>
        <w:spacing w:line="240" w:lineRule="auto"/>
        <w:ind w:left="0"/>
        <w:rPr>
          <w:lang w:eastAsia="en-GB"/>
        </w:rPr>
      </w:pPr>
    </w:p>
    <w:p w:rsidR="001C55F3" w:rsidRPr="00A220D8" w:rsidRDefault="001C55F3" w:rsidP="001A241F">
      <w:pPr>
        <w:pStyle w:val="Paragraphedeliste"/>
        <w:spacing w:line="240" w:lineRule="auto"/>
        <w:ind w:left="0"/>
        <w:rPr>
          <w:b/>
          <w:lang w:eastAsia="en-GB"/>
        </w:rPr>
      </w:pPr>
      <w:r w:rsidRPr="00A220D8">
        <w:rPr>
          <w:lang w:eastAsia="en-GB"/>
        </w:rPr>
        <w:t>With the Country Cases ecosystems as described in the Fact Sheets, a useful body of material is available but to make it ready for use in developing the Guidance Document, some interpretations towards the MAES typology are required</w:t>
      </w:r>
      <w:r w:rsidRPr="00A220D8">
        <w:rPr>
          <w:b/>
          <w:lang w:eastAsia="en-GB"/>
        </w:rPr>
        <w:t>.</w:t>
      </w:r>
    </w:p>
    <w:p w:rsidR="001C55F3" w:rsidRPr="009D39B8" w:rsidRDefault="001C55F3" w:rsidP="004D5D3A">
      <w:pPr>
        <w:pStyle w:val="Paragraphedeliste"/>
        <w:spacing w:line="240" w:lineRule="auto"/>
        <w:ind w:left="0"/>
        <w:rPr>
          <w:rFonts w:ascii="Times New Roman" w:eastAsia="Times New Roman" w:hAnsi="Times New Roman" w:cs="Arial"/>
          <w:b/>
          <w:bCs/>
          <w:i/>
          <w:sz w:val="24"/>
          <w:szCs w:val="26"/>
          <w:lang w:eastAsia="en-GB"/>
        </w:rPr>
      </w:pPr>
    </w:p>
    <w:p w:rsidR="001C55F3" w:rsidRPr="009D39B8" w:rsidRDefault="001C55F3" w:rsidP="009D39B8">
      <w:pPr>
        <w:pStyle w:val="Paragraphedeliste"/>
        <w:rPr>
          <w:rFonts w:ascii="Times New Roman" w:eastAsia="Times New Roman" w:hAnsi="Times New Roman" w:cs="Arial"/>
          <w:b/>
          <w:bCs/>
          <w:i/>
          <w:sz w:val="24"/>
          <w:szCs w:val="26"/>
          <w:lang w:eastAsia="en-GB"/>
        </w:rPr>
      </w:pPr>
      <w:r>
        <w:rPr>
          <w:lang w:eastAsia="en-GB"/>
        </w:rPr>
        <w:br w:type="page"/>
      </w:r>
    </w:p>
    <w:p w:rsidR="001C55F3" w:rsidRDefault="001C55F3" w:rsidP="004234C9">
      <w:pPr>
        <w:pStyle w:val="Titre2"/>
        <w:rPr>
          <w:lang w:eastAsia="en-GB"/>
        </w:rPr>
      </w:pPr>
      <w:r>
        <w:rPr>
          <w:lang w:eastAsia="en-GB"/>
        </w:rPr>
        <w:lastRenderedPageBreak/>
        <w:t>3.4</w:t>
      </w:r>
      <w:r>
        <w:rPr>
          <w:lang w:eastAsia="en-GB"/>
        </w:rPr>
        <w:tab/>
        <w:t>Representation of Ecosystem Services in the Country Case studies</w:t>
      </w:r>
    </w:p>
    <w:p w:rsidR="001C55F3" w:rsidRDefault="001C55F3" w:rsidP="00F652D5">
      <w:pPr>
        <w:rPr>
          <w:lang w:eastAsia="en-GB"/>
        </w:rPr>
      </w:pPr>
    </w:p>
    <w:p w:rsidR="001C55F3" w:rsidRDefault="001C55F3" w:rsidP="004D5D3A">
      <w:pPr>
        <w:spacing w:line="240" w:lineRule="auto"/>
        <w:rPr>
          <w:lang w:eastAsia="en-GB"/>
        </w:rPr>
      </w:pPr>
      <w:r>
        <w:rPr>
          <w:lang w:eastAsia="en-GB"/>
        </w:rPr>
        <w:t xml:space="preserve">Theclassification of ecosystem services has already quite a history  (at least since the late 1970’s). The last few steps in the evolution of classifications (since 2005) has been described in Maes et al. 2013 (the MAES Analytical Framework). Again, given the on-going evolution and the different starting moments of the Country Case studies it is not surprising that the Cases show very different typologies of ecosystem services. </w:t>
      </w:r>
    </w:p>
    <w:p w:rsidR="001C55F3" w:rsidRDefault="001C55F3" w:rsidP="004D5D3A">
      <w:pPr>
        <w:spacing w:line="240" w:lineRule="auto"/>
        <w:rPr>
          <w:lang w:eastAsia="en-GB"/>
        </w:rPr>
      </w:pPr>
      <w:r>
        <w:rPr>
          <w:lang w:eastAsia="en-GB"/>
        </w:rPr>
        <w:t>We present overview tables (Tables 3.5 a, b , c, d) of the ecosystem services which have been used in each of the Country Cases  and discuss them following this format:</w:t>
      </w:r>
    </w:p>
    <w:p w:rsidR="001C55F3" w:rsidRPr="00D6484B" w:rsidRDefault="001C55F3" w:rsidP="00622218">
      <w:pPr>
        <w:pStyle w:val="Paragraphedeliste"/>
        <w:numPr>
          <w:ilvl w:val="0"/>
          <w:numId w:val="66"/>
        </w:numPr>
        <w:spacing w:line="240" w:lineRule="auto"/>
        <w:rPr>
          <w:lang w:eastAsia="en-GB"/>
        </w:rPr>
      </w:pPr>
      <w:r w:rsidRPr="00D6484B">
        <w:rPr>
          <w:lang w:eastAsia="en-GB"/>
        </w:rPr>
        <w:t>Use of reference classifications versus national, regional, local classifications</w:t>
      </w:r>
    </w:p>
    <w:p w:rsidR="001C55F3" w:rsidRPr="00D6484B" w:rsidRDefault="001C55F3" w:rsidP="00622218">
      <w:pPr>
        <w:pStyle w:val="Paragraphedeliste"/>
        <w:numPr>
          <w:ilvl w:val="0"/>
          <w:numId w:val="66"/>
        </w:numPr>
        <w:spacing w:line="240" w:lineRule="auto"/>
        <w:rPr>
          <w:lang w:eastAsia="en-GB"/>
        </w:rPr>
      </w:pPr>
      <w:r w:rsidRPr="00D6484B">
        <w:rPr>
          <w:lang w:eastAsia="en-GB"/>
        </w:rPr>
        <w:t>Effective use of distinguished types of ecosystem services in TEEB and CICES across cases</w:t>
      </w:r>
    </w:p>
    <w:p w:rsidR="001C55F3" w:rsidRPr="00D6484B" w:rsidRDefault="001C55F3" w:rsidP="00622218">
      <w:pPr>
        <w:pStyle w:val="Paragraphedeliste"/>
        <w:numPr>
          <w:ilvl w:val="0"/>
          <w:numId w:val="66"/>
        </w:numPr>
        <w:spacing w:line="240" w:lineRule="auto"/>
        <w:rPr>
          <w:lang w:eastAsia="en-GB"/>
        </w:rPr>
      </w:pPr>
      <w:r w:rsidRPr="00D6484B">
        <w:rPr>
          <w:lang w:eastAsia="en-GB"/>
        </w:rPr>
        <w:t>Some observations on focus of case studies and selection of services</w:t>
      </w:r>
    </w:p>
    <w:p w:rsidR="001C55F3" w:rsidRPr="00564FF5" w:rsidRDefault="001C55F3" w:rsidP="00622218">
      <w:pPr>
        <w:pStyle w:val="Paragraphedeliste"/>
        <w:numPr>
          <w:ilvl w:val="0"/>
          <w:numId w:val="66"/>
        </w:numPr>
        <w:spacing w:line="240" w:lineRule="auto"/>
        <w:rPr>
          <w:lang w:eastAsia="en-GB"/>
        </w:rPr>
      </w:pPr>
      <w:r w:rsidRPr="00564FF5">
        <w:rPr>
          <w:lang w:eastAsia="en-GB"/>
        </w:rPr>
        <w:t>Differences between C</w:t>
      </w:r>
      <w:r>
        <w:rPr>
          <w:lang w:eastAsia="en-GB"/>
        </w:rPr>
        <w:t>las</w:t>
      </w:r>
      <w:r w:rsidRPr="00564FF5">
        <w:rPr>
          <w:lang w:eastAsia="en-GB"/>
        </w:rPr>
        <w:t>s 1 and the other cases (group 1 and 2, and 3.1</w:t>
      </w:r>
      <w:r>
        <w:rPr>
          <w:lang w:eastAsia="en-GB"/>
        </w:rPr>
        <w:t xml:space="preserve"> and 4)</w:t>
      </w:r>
    </w:p>
    <w:p w:rsidR="001C55F3" w:rsidRPr="00D6484B" w:rsidRDefault="001C55F3" w:rsidP="00622218">
      <w:pPr>
        <w:pStyle w:val="Paragraphedeliste"/>
        <w:numPr>
          <w:ilvl w:val="0"/>
          <w:numId w:val="66"/>
        </w:numPr>
        <w:spacing w:line="240" w:lineRule="auto"/>
        <w:rPr>
          <w:lang w:eastAsia="en-GB"/>
        </w:rPr>
      </w:pPr>
      <w:r w:rsidRPr="00D6484B">
        <w:rPr>
          <w:lang w:eastAsia="en-GB"/>
        </w:rPr>
        <w:t>The Balkan</w:t>
      </w:r>
    </w:p>
    <w:p w:rsidR="001C55F3" w:rsidRDefault="001C55F3" w:rsidP="00622218">
      <w:pPr>
        <w:pStyle w:val="Paragraphedeliste"/>
        <w:numPr>
          <w:ilvl w:val="0"/>
          <w:numId w:val="66"/>
        </w:numPr>
        <w:spacing w:line="240" w:lineRule="auto"/>
        <w:rPr>
          <w:lang w:eastAsia="en-GB"/>
        </w:rPr>
      </w:pPr>
      <w:r w:rsidRPr="00D6484B">
        <w:rPr>
          <w:lang w:eastAsia="en-GB"/>
        </w:rPr>
        <w:t>The Marine case</w:t>
      </w:r>
    </w:p>
    <w:p w:rsidR="001C55F3" w:rsidRDefault="001C55F3" w:rsidP="00BF16A0">
      <w:pPr>
        <w:pStyle w:val="Paragraphedeliste"/>
        <w:spacing w:line="240" w:lineRule="auto"/>
        <w:rPr>
          <w:lang w:eastAsia="en-GB"/>
        </w:rPr>
      </w:pPr>
    </w:p>
    <w:p w:rsidR="001C55F3" w:rsidRDefault="001C55F3" w:rsidP="00BF16A0">
      <w:pPr>
        <w:pStyle w:val="Paragraphedeliste"/>
        <w:spacing w:line="240" w:lineRule="auto"/>
        <w:rPr>
          <w:lang w:eastAsia="en-GB"/>
        </w:rPr>
      </w:pPr>
    </w:p>
    <w:p w:rsidR="001C55F3" w:rsidRPr="00BF16A0" w:rsidRDefault="001C55F3" w:rsidP="00622218">
      <w:pPr>
        <w:pStyle w:val="Paragraphedeliste"/>
        <w:numPr>
          <w:ilvl w:val="1"/>
          <w:numId w:val="65"/>
        </w:numPr>
        <w:spacing w:line="240" w:lineRule="auto"/>
        <w:ind w:left="426" w:hanging="426"/>
        <w:rPr>
          <w:b/>
          <w:lang w:eastAsia="en-GB"/>
        </w:rPr>
      </w:pPr>
      <w:r w:rsidRPr="00BF16A0">
        <w:rPr>
          <w:b/>
          <w:lang w:eastAsia="en-GB"/>
        </w:rPr>
        <w:t>Use of reference classifications versus national, regional, local classifications</w:t>
      </w:r>
    </w:p>
    <w:p w:rsidR="001C55F3" w:rsidRDefault="001C55F3" w:rsidP="00D6484B">
      <w:pPr>
        <w:spacing w:after="0" w:line="240" w:lineRule="auto"/>
        <w:rPr>
          <w:lang w:eastAsia="en-GB"/>
        </w:rPr>
      </w:pPr>
      <w:r w:rsidRPr="00D6484B">
        <w:rPr>
          <w:lang w:eastAsia="en-GB"/>
        </w:rPr>
        <w:t>The Tables illustrate</w:t>
      </w:r>
      <w:r>
        <w:rPr>
          <w:lang w:eastAsia="en-GB"/>
        </w:rPr>
        <w:t xml:space="preserve"> very clearly that the two Reference Classifications (TEEB, since 2010, and CICES, since 2012) are not systematically used. This is not strange as the cases have starting dates from before 2010 to very recent (the Flanders case). Many of the studies “borrow” ecosystem services types from the TEEB classification, that may or may not coincide with the CICES classes.  We have allocated the actual service mentions in the Fact Sheet as well as possible to the TEEB and / or CICES type. This worked rather well, as most of the selected and defined ecosystem services were named and described quite clearly.</w:t>
      </w:r>
    </w:p>
    <w:p w:rsidR="001C55F3" w:rsidRDefault="001C55F3" w:rsidP="00D6484B">
      <w:pPr>
        <w:spacing w:after="0" w:line="240" w:lineRule="auto"/>
        <w:rPr>
          <w:lang w:eastAsia="en-GB"/>
        </w:rPr>
      </w:pPr>
    </w:p>
    <w:p w:rsidR="001C55F3" w:rsidRPr="00BF16A0" w:rsidRDefault="001C55F3" w:rsidP="00622218">
      <w:pPr>
        <w:pStyle w:val="Paragraphedeliste"/>
        <w:numPr>
          <w:ilvl w:val="1"/>
          <w:numId w:val="65"/>
        </w:numPr>
        <w:spacing w:line="240" w:lineRule="auto"/>
        <w:ind w:left="426" w:hanging="426"/>
        <w:rPr>
          <w:b/>
          <w:lang w:eastAsia="en-GB"/>
        </w:rPr>
      </w:pPr>
      <w:r w:rsidRPr="00BF16A0">
        <w:rPr>
          <w:b/>
          <w:lang w:eastAsia="en-GB"/>
        </w:rPr>
        <w:t>Effective use of distinguished types of ecosystem services in TEEB and CICES across cases</w:t>
      </w:r>
    </w:p>
    <w:p w:rsidR="001C55F3" w:rsidRDefault="001C55F3" w:rsidP="00BF16A0">
      <w:pPr>
        <w:spacing w:after="0" w:line="240" w:lineRule="auto"/>
        <w:rPr>
          <w:lang w:eastAsia="en-GB"/>
        </w:rPr>
      </w:pPr>
      <w:r>
        <w:rPr>
          <w:lang w:eastAsia="en-GB"/>
        </w:rPr>
        <w:t xml:space="preserve">The number of instances where the case study ecosystem service actually used the same name or definition as one of the TEEB or CICES classes is limited, and in fact for the CICES class this is very low. Again CICES is rather new, but it shows at least that the names are not matching the world of the case study researchers. And, more to the point, they are generally closer to the concept than the stakeholders which were so prominent in most of the case studies. </w:t>
      </w:r>
    </w:p>
    <w:p w:rsidR="001C55F3" w:rsidRDefault="001C55F3" w:rsidP="00BF16A0">
      <w:pPr>
        <w:spacing w:after="0" w:line="240" w:lineRule="auto"/>
        <w:rPr>
          <w:lang w:eastAsia="en-GB"/>
        </w:rPr>
      </w:pPr>
    </w:p>
    <w:p w:rsidR="001C55F3" w:rsidRPr="00BF16A0" w:rsidRDefault="001C55F3" w:rsidP="00622218">
      <w:pPr>
        <w:pStyle w:val="Paragraphedeliste"/>
        <w:numPr>
          <w:ilvl w:val="1"/>
          <w:numId w:val="65"/>
        </w:numPr>
        <w:spacing w:line="240" w:lineRule="auto"/>
        <w:ind w:left="426" w:hanging="426"/>
        <w:rPr>
          <w:b/>
          <w:lang w:eastAsia="en-GB"/>
        </w:rPr>
      </w:pPr>
      <w:r w:rsidRPr="00BF16A0">
        <w:rPr>
          <w:b/>
          <w:lang w:eastAsia="en-GB"/>
        </w:rPr>
        <w:t>Some observations on focus of case studies and selection of services</w:t>
      </w:r>
    </w:p>
    <w:p w:rsidR="001C55F3" w:rsidRDefault="001C55F3" w:rsidP="00BF16A0">
      <w:pPr>
        <w:spacing w:after="0" w:line="240" w:lineRule="auto"/>
        <w:rPr>
          <w:lang w:eastAsia="en-GB"/>
        </w:rPr>
      </w:pPr>
      <w:r>
        <w:rPr>
          <w:lang w:eastAsia="en-GB"/>
        </w:rPr>
        <w:lastRenderedPageBreak/>
        <w:t>With the selection of Country cases, ranging from National to local and one global model study, it is not surprising that the selections reflect the regions and countries. The usefulness of a good classification system is of course that it is universal across scales and geography. In this respect both TEEB and CICES work rather well. Only in a few of the case studies ecosystem services were defined which did not immediately fit the system. For example, the role of nature in producing healthier people was mentioned as a service. It is a methodological issue whether health is defined as an ecosystem service or a benefit resulting from a complex of services (purifying air, calming colour information etc.). We prefer to see it as a benefit.</w:t>
      </w:r>
    </w:p>
    <w:p w:rsidR="001C55F3" w:rsidRDefault="001C55F3" w:rsidP="00BF16A0">
      <w:pPr>
        <w:spacing w:after="0" w:line="240" w:lineRule="auto"/>
        <w:rPr>
          <w:lang w:eastAsia="en-GB"/>
        </w:rPr>
      </w:pPr>
    </w:p>
    <w:p w:rsidR="001C55F3" w:rsidRDefault="001C55F3" w:rsidP="00BF16A0">
      <w:pPr>
        <w:spacing w:after="0" w:line="240" w:lineRule="auto"/>
        <w:rPr>
          <w:lang w:eastAsia="en-GB"/>
        </w:rPr>
      </w:pPr>
      <w:r>
        <w:rPr>
          <w:lang w:eastAsia="en-GB"/>
        </w:rPr>
        <w:t>The CICES classification has a (very last) category which suffers from a similar  debate on the difference of what an ecosystems service is, and what economists call values (existence, bequest). If anything,  the mere existence (and its continuation which is minimally required for a bequest) of ecosystems points at a multitude of potential services. So it should not be in one slot only.</w:t>
      </w:r>
    </w:p>
    <w:p w:rsidR="001C55F3" w:rsidRDefault="001C55F3" w:rsidP="00BF16A0">
      <w:pPr>
        <w:spacing w:after="0" w:line="240" w:lineRule="auto"/>
        <w:rPr>
          <w:lang w:eastAsia="en-GB"/>
        </w:rPr>
      </w:pPr>
    </w:p>
    <w:p w:rsidR="001C55F3" w:rsidRPr="00564FF5" w:rsidRDefault="001C55F3" w:rsidP="00622218">
      <w:pPr>
        <w:pStyle w:val="Paragraphedeliste"/>
        <w:numPr>
          <w:ilvl w:val="1"/>
          <w:numId w:val="65"/>
        </w:numPr>
        <w:spacing w:after="0" w:line="240" w:lineRule="auto"/>
        <w:ind w:left="426" w:hanging="426"/>
        <w:rPr>
          <w:b/>
          <w:lang w:eastAsia="en-GB"/>
        </w:rPr>
      </w:pPr>
      <w:r w:rsidRPr="00564FF5">
        <w:rPr>
          <w:b/>
          <w:lang w:eastAsia="en-GB"/>
        </w:rPr>
        <w:t xml:space="preserve">Differences between </w:t>
      </w:r>
      <w:r>
        <w:rPr>
          <w:b/>
          <w:lang w:eastAsia="en-GB"/>
        </w:rPr>
        <w:t xml:space="preserve">Class 1 and the other </w:t>
      </w:r>
      <w:r w:rsidRPr="00564FF5">
        <w:rPr>
          <w:b/>
          <w:lang w:eastAsia="en-GB"/>
        </w:rPr>
        <w:t>cases (group 1 and 2, and 3.1</w:t>
      </w:r>
      <w:r>
        <w:rPr>
          <w:b/>
          <w:lang w:eastAsia="en-GB"/>
        </w:rPr>
        <w:t>, and 4</w:t>
      </w:r>
      <w:r w:rsidRPr="00564FF5">
        <w:rPr>
          <w:b/>
          <w:lang w:eastAsia="en-GB"/>
        </w:rPr>
        <w:t xml:space="preserve"> )</w:t>
      </w:r>
    </w:p>
    <w:p w:rsidR="001C55F3" w:rsidRPr="00D6484B" w:rsidRDefault="001C55F3" w:rsidP="00BF16A0">
      <w:pPr>
        <w:spacing w:after="0" w:line="240" w:lineRule="auto"/>
        <w:rPr>
          <w:lang w:eastAsia="en-GB"/>
        </w:rPr>
      </w:pPr>
    </w:p>
    <w:p w:rsidR="001C55F3" w:rsidRDefault="001C55F3" w:rsidP="00383F7F">
      <w:pPr>
        <w:spacing w:line="240" w:lineRule="auto"/>
        <w:rPr>
          <w:lang w:eastAsia="en-GB"/>
        </w:rPr>
      </w:pPr>
      <w:r w:rsidRPr="00383F7F">
        <w:rPr>
          <w:lang w:eastAsia="en-GB"/>
        </w:rPr>
        <w:t xml:space="preserve">The 2 Class 1 cases (UK / Wales and Spain) illustrate that a wide range of ecosystem services are likely to be mapped in the Action 5 Member State projects. The Class 2 and 3.1  and 4 cases are all regional cases (except for the Global model by the Swiss), which have a much narrower selection. Together the  Country Case studies  give a nice range of ecosystems (see previous section) and services to use as examples in developing the Guidance document. </w:t>
      </w:r>
    </w:p>
    <w:p w:rsidR="001C55F3" w:rsidRPr="00383F7F" w:rsidRDefault="001C55F3" w:rsidP="00622218">
      <w:pPr>
        <w:pStyle w:val="Paragraphedeliste"/>
        <w:numPr>
          <w:ilvl w:val="0"/>
          <w:numId w:val="65"/>
        </w:numPr>
        <w:spacing w:line="240" w:lineRule="auto"/>
        <w:ind w:left="426" w:hanging="426"/>
        <w:rPr>
          <w:b/>
          <w:lang w:eastAsia="en-GB"/>
        </w:rPr>
      </w:pPr>
      <w:r w:rsidRPr="00383F7F">
        <w:rPr>
          <w:b/>
          <w:lang w:eastAsia="en-GB"/>
        </w:rPr>
        <w:t>The Balkan</w:t>
      </w:r>
    </w:p>
    <w:p w:rsidR="001C55F3" w:rsidRPr="00D6484B" w:rsidRDefault="001C55F3" w:rsidP="00383F7F">
      <w:pPr>
        <w:spacing w:line="240" w:lineRule="auto"/>
        <w:rPr>
          <w:lang w:eastAsia="en-GB"/>
        </w:rPr>
      </w:pPr>
      <w:r>
        <w:rPr>
          <w:lang w:eastAsia="en-GB"/>
        </w:rPr>
        <w:t>In surveying the Balkan countries, a number of mostly regional (sub-national) cases were identified, with mostly one or a few ecosystem services as subject, even when the study did not always involve actual assessment of the service. The presentations at the Ispra workshop in 2012 showed that there is a lot of mapping of basic ecological and environmental features in these countries. This can be developed into ecosystem and services mapping rather easy, if land use and land cover information becomes available as well.</w:t>
      </w:r>
    </w:p>
    <w:p w:rsidR="001C55F3" w:rsidRPr="00383F7F" w:rsidRDefault="001C55F3" w:rsidP="00622218">
      <w:pPr>
        <w:pStyle w:val="Paragraphedeliste"/>
        <w:numPr>
          <w:ilvl w:val="0"/>
          <w:numId w:val="65"/>
        </w:numPr>
        <w:spacing w:line="240" w:lineRule="auto"/>
        <w:ind w:left="426" w:hanging="426"/>
        <w:rPr>
          <w:b/>
          <w:lang w:eastAsia="en-GB"/>
        </w:rPr>
      </w:pPr>
      <w:r w:rsidRPr="00383F7F">
        <w:rPr>
          <w:b/>
          <w:lang w:eastAsia="en-GB"/>
        </w:rPr>
        <w:t>The Marine case</w:t>
      </w:r>
    </w:p>
    <w:p w:rsidR="001C55F3" w:rsidRPr="00383F7F" w:rsidRDefault="001C55F3" w:rsidP="00383F7F">
      <w:pPr>
        <w:spacing w:line="240" w:lineRule="auto"/>
        <w:rPr>
          <w:lang w:eastAsia="en-GB"/>
        </w:rPr>
      </w:pPr>
      <w:r>
        <w:rPr>
          <w:lang w:eastAsia="en-GB"/>
        </w:rPr>
        <w:t>The Marine case was added to explore the challenges of mapping the marine ecosystems and their services. This is a rapidly developing field, and in fact the presentation at the Workshop, which focused on the “sea use” (North Sea and Waddensea areas of the Netherlands) showed that a lot of maps are available  which remind one of the Corine LU/LC maps. The local case illustrates how on a small scale still a number of  different ecosystem services may be of importance to the various stakeholders.</w:t>
      </w:r>
      <w:r w:rsidRPr="00383F7F">
        <w:rPr>
          <w:lang w:eastAsia="en-GB"/>
        </w:rPr>
        <w:br w:type="page"/>
      </w:r>
    </w:p>
    <w:p w:rsidR="001C55F3" w:rsidRPr="00D6484B" w:rsidRDefault="001C55F3" w:rsidP="00D6484B">
      <w:pPr>
        <w:rPr>
          <w:b/>
          <w:sz w:val="24"/>
          <w:szCs w:val="24"/>
          <w:lang w:eastAsia="en-GB"/>
        </w:rPr>
      </w:pPr>
      <w:r>
        <w:rPr>
          <w:b/>
          <w:sz w:val="24"/>
          <w:szCs w:val="24"/>
          <w:lang w:eastAsia="en-GB"/>
        </w:rPr>
        <w:lastRenderedPageBreak/>
        <w:t>Table 3.5.a</w:t>
      </w:r>
      <w:r>
        <w:rPr>
          <w:b/>
          <w:sz w:val="24"/>
          <w:szCs w:val="24"/>
          <w:lang w:eastAsia="en-GB"/>
        </w:rPr>
        <w:tab/>
      </w:r>
      <w:r w:rsidRPr="00D6484B">
        <w:rPr>
          <w:b/>
          <w:sz w:val="24"/>
          <w:szCs w:val="24"/>
          <w:lang w:eastAsia="en-GB"/>
        </w:rPr>
        <w:t>Provisioning services</w:t>
      </w:r>
    </w:p>
    <w:p w:rsidR="001C55F3" w:rsidRDefault="001C55F3" w:rsidP="00F652D5">
      <w:pPr>
        <w:rPr>
          <w:lang w:eastAsia="en-GB"/>
        </w:rPr>
      </w:pPr>
      <w:r w:rsidRPr="00F652D5">
        <w:rPr>
          <w:noProof/>
          <w:lang w:val="fr-BE" w:eastAsia="fr-BE"/>
        </w:rPr>
        <w:drawing>
          <wp:inline distT="0" distB="0" distL="0" distR="0">
            <wp:extent cx="8756374" cy="4679810"/>
            <wp:effectExtent l="0" t="0" r="6985" b="6985"/>
            <wp:docPr id="44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8760999" cy="4682282"/>
                    </a:xfrm>
                    <a:prstGeom prst="rect">
                      <a:avLst/>
                    </a:prstGeom>
                  </pic:spPr>
                </pic:pic>
              </a:graphicData>
            </a:graphic>
          </wp:inline>
        </w:drawing>
      </w:r>
    </w:p>
    <w:p w:rsidR="001C55F3" w:rsidRPr="008122CC" w:rsidRDefault="001C55F3" w:rsidP="00622218">
      <w:pPr>
        <w:pStyle w:val="Paragraphedeliste"/>
        <w:numPr>
          <w:ilvl w:val="0"/>
          <w:numId w:val="69"/>
        </w:numPr>
        <w:rPr>
          <w:b/>
          <w:u w:val="single"/>
          <w:lang w:eastAsia="en-GB"/>
        </w:rPr>
      </w:pPr>
      <w:r w:rsidRPr="008122CC">
        <w:rPr>
          <w:b/>
          <w:u w:val="single"/>
          <w:lang w:eastAsia="en-GB"/>
        </w:rPr>
        <w:br w:type="page"/>
      </w:r>
    </w:p>
    <w:p w:rsidR="001C55F3" w:rsidRPr="00D6484B" w:rsidRDefault="001C55F3" w:rsidP="00D6484B">
      <w:pPr>
        <w:rPr>
          <w:b/>
          <w:sz w:val="24"/>
          <w:szCs w:val="24"/>
          <w:lang w:eastAsia="en-GB"/>
        </w:rPr>
      </w:pPr>
      <w:r>
        <w:rPr>
          <w:b/>
          <w:sz w:val="24"/>
          <w:szCs w:val="24"/>
          <w:lang w:eastAsia="en-GB"/>
        </w:rPr>
        <w:lastRenderedPageBreak/>
        <w:t>Table 3.5.b</w:t>
      </w:r>
      <w:r>
        <w:rPr>
          <w:b/>
          <w:sz w:val="24"/>
          <w:szCs w:val="24"/>
          <w:lang w:eastAsia="en-GB"/>
        </w:rPr>
        <w:tab/>
      </w:r>
      <w:r w:rsidRPr="00D6484B">
        <w:rPr>
          <w:b/>
          <w:sz w:val="24"/>
          <w:szCs w:val="24"/>
          <w:lang w:eastAsia="en-GB"/>
        </w:rPr>
        <w:t>Regulating Services</w:t>
      </w:r>
    </w:p>
    <w:p w:rsidR="001C55F3" w:rsidRPr="00D6484B" w:rsidRDefault="001C55F3" w:rsidP="00D6484B">
      <w:pPr>
        <w:jc w:val="center"/>
        <w:rPr>
          <w:rFonts w:eastAsiaTheme="majorEastAsia" w:cstheme="majorBidi"/>
          <w:b/>
          <w:bCs/>
          <w:color w:val="4F81BD" w:themeColor="accent1"/>
          <w:sz w:val="26"/>
          <w:szCs w:val="26"/>
          <w:lang w:eastAsia="en-GB"/>
        </w:rPr>
      </w:pPr>
      <w:r w:rsidRPr="00EA0A20">
        <w:rPr>
          <w:noProof/>
          <w:lang w:val="fr-BE" w:eastAsia="fr-BE"/>
        </w:rPr>
        <w:drawing>
          <wp:inline distT="0" distB="0" distL="0" distR="0">
            <wp:extent cx="7991061" cy="5127159"/>
            <wp:effectExtent l="0" t="0" r="0" b="0"/>
            <wp:docPr id="440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7990249" cy="5126638"/>
                    </a:xfrm>
                    <a:prstGeom prst="rect">
                      <a:avLst/>
                    </a:prstGeom>
                  </pic:spPr>
                </pic:pic>
              </a:graphicData>
            </a:graphic>
          </wp:inline>
        </w:drawing>
      </w:r>
    </w:p>
    <w:p w:rsidR="001C55F3" w:rsidRPr="00C03102" w:rsidRDefault="001C55F3" w:rsidP="00D6484B">
      <w:pPr>
        <w:pStyle w:val="Titre6"/>
        <w:tabs>
          <w:tab w:val="clear" w:pos="1152"/>
        </w:tabs>
        <w:ind w:left="0" w:firstLine="0"/>
        <w:rPr>
          <w:rFonts w:asciiTheme="minorHAnsi" w:eastAsiaTheme="majorEastAsia" w:hAnsiTheme="minorHAnsi"/>
          <w:szCs w:val="24"/>
          <w:lang w:eastAsia="en-GB"/>
        </w:rPr>
      </w:pPr>
      <w:r>
        <w:rPr>
          <w:rFonts w:asciiTheme="minorHAnsi" w:eastAsiaTheme="majorEastAsia" w:hAnsiTheme="minorHAnsi"/>
          <w:szCs w:val="24"/>
          <w:lang w:eastAsia="en-GB"/>
        </w:rPr>
        <w:lastRenderedPageBreak/>
        <w:t>Table 3.5.c</w:t>
      </w:r>
      <w:r>
        <w:rPr>
          <w:rFonts w:asciiTheme="minorHAnsi" w:eastAsiaTheme="majorEastAsia" w:hAnsiTheme="minorHAnsi"/>
          <w:szCs w:val="24"/>
          <w:lang w:eastAsia="en-GB"/>
        </w:rPr>
        <w:tab/>
      </w:r>
      <w:r w:rsidRPr="00C03102">
        <w:rPr>
          <w:rFonts w:asciiTheme="minorHAnsi" w:eastAsiaTheme="majorEastAsia" w:hAnsiTheme="minorHAnsi"/>
          <w:szCs w:val="24"/>
          <w:lang w:eastAsia="en-GB"/>
        </w:rPr>
        <w:t>Regulating / Habitat Services</w:t>
      </w:r>
    </w:p>
    <w:p w:rsidR="001C55F3" w:rsidRDefault="001C55F3">
      <w:pPr>
        <w:rPr>
          <w:rFonts w:eastAsiaTheme="majorEastAsia" w:cstheme="majorBidi"/>
          <w:b/>
          <w:bCs/>
          <w:color w:val="4F81BD" w:themeColor="accent1"/>
          <w:sz w:val="26"/>
          <w:szCs w:val="26"/>
          <w:lang w:eastAsia="en-GB"/>
        </w:rPr>
      </w:pPr>
      <w:r w:rsidRPr="00EA0A20">
        <w:rPr>
          <w:noProof/>
          <w:lang w:val="fr-BE" w:eastAsia="fr-BE"/>
        </w:rPr>
        <w:drawing>
          <wp:inline distT="0" distB="0" distL="0" distR="0">
            <wp:extent cx="8910249" cy="2524539"/>
            <wp:effectExtent l="0" t="0" r="5715" b="9525"/>
            <wp:docPr id="440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8909344" cy="2524282"/>
                    </a:xfrm>
                    <a:prstGeom prst="rect">
                      <a:avLst/>
                    </a:prstGeom>
                  </pic:spPr>
                </pic:pic>
              </a:graphicData>
            </a:graphic>
          </wp:inline>
        </w:drawing>
      </w:r>
    </w:p>
    <w:p w:rsidR="001C55F3" w:rsidRPr="008122CC" w:rsidRDefault="001C55F3" w:rsidP="00622218">
      <w:pPr>
        <w:pStyle w:val="Paragraphedeliste"/>
        <w:numPr>
          <w:ilvl w:val="0"/>
          <w:numId w:val="67"/>
        </w:numPr>
        <w:rPr>
          <w:b/>
          <w:u w:val="single"/>
          <w:lang w:eastAsia="en-GB"/>
        </w:rPr>
      </w:pPr>
      <w:r w:rsidRPr="008122CC">
        <w:rPr>
          <w:rFonts w:eastAsiaTheme="majorEastAsia" w:cstheme="majorBidi"/>
          <w:b/>
          <w:bCs/>
          <w:color w:val="4F81BD" w:themeColor="accent1"/>
          <w:sz w:val="26"/>
          <w:szCs w:val="26"/>
          <w:lang w:eastAsia="en-GB"/>
        </w:rPr>
        <w:br w:type="page"/>
      </w:r>
    </w:p>
    <w:p w:rsidR="001C55F3" w:rsidRPr="00C03102" w:rsidRDefault="001C55F3" w:rsidP="00D6484B">
      <w:pPr>
        <w:pStyle w:val="Titre6"/>
        <w:tabs>
          <w:tab w:val="clear" w:pos="1152"/>
        </w:tabs>
        <w:ind w:left="0" w:firstLine="0"/>
        <w:rPr>
          <w:rFonts w:asciiTheme="minorHAnsi" w:eastAsiaTheme="majorEastAsia" w:hAnsiTheme="minorHAnsi"/>
          <w:szCs w:val="24"/>
          <w:lang w:eastAsia="en-GB"/>
        </w:rPr>
      </w:pPr>
      <w:r>
        <w:rPr>
          <w:rFonts w:asciiTheme="minorHAnsi" w:eastAsiaTheme="majorEastAsia" w:hAnsiTheme="minorHAnsi"/>
          <w:szCs w:val="24"/>
          <w:lang w:eastAsia="en-GB"/>
        </w:rPr>
        <w:lastRenderedPageBreak/>
        <w:t>Table 3.5.d</w:t>
      </w:r>
      <w:r>
        <w:rPr>
          <w:rFonts w:asciiTheme="minorHAnsi" w:eastAsiaTheme="majorEastAsia" w:hAnsiTheme="minorHAnsi"/>
          <w:szCs w:val="24"/>
          <w:lang w:eastAsia="en-GB"/>
        </w:rPr>
        <w:tab/>
      </w:r>
      <w:r w:rsidRPr="00C03102">
        <w:rPr>
          <w:rFonts w:asciiTheme="minorHAnsi" w:eastAsiaTheme="majorEastAsia" w:hAnsiTheme="minorHAnsi"/>
          <w:szCs w:val="24"/>
          <w:lang w:eastAsia="en-GB"/>
        </w:rPr>
        <w:t>Cultural Services</w:t>
      </w:r>
    </w:p>
    <w:p w:rsidR="001C55F3" w:rsidRDefault="001C55F3">
      <w:pPr>
        <w:rPr>
          <w:rFonts w:eastAsiaTheme="majorEastAsia" w:cstheme="majorBidi"/>
          <w:b/>
          <w:bCs/>
          <w:color w:val="4F81BD" w:themeColor="accent1"/>
          <w:sz w:val="26"/>
          <w:szCs w:val="26"/>
          <w:lang w:eastAsia="en-GB"/>
        </w:rPr>
      </w:pPr>
      <w:r w:rsidRPr="00F652D5">
        <w:rPr>
          <w:noProof/>
          <w:lang w:val="fr-BE" w:eastAsia="fr-BE"/>
        </w:rPr>
        <w:drawing>
          <wp:inline distT="0" distB="0" distL="0" distR="0">
            <wp:extent cx="8587409" cy="4872528"/>
            <wp:effectExtent l="0" t="0" r="4445" b="4445"/>
            <wp:docPr id="440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8591167" cy="4874660"/>
                    </a:xfrm>
                    <a:prstGeom prst="rect">
                      <a:avLst/>
                    </a:prstGeom>
                  </pic:spPr>
                </pic:pic>
              </a:graphicData>
            </a:graphic>
          </wp:inline>
        </w:drawing>
      </w:r>
    </w:p>
    <w:p w:rsidR="001C55F3" w:rsidRPr="00E92A8D" w:rsidRDefault="001C55F3" w:rsidP="00E92A8D">
      <w:pPr>
        <w:rPr>
          <w:b/>
          <w:u w:val="single"/>
          <w:lang w:eastAsia="en-GB"/>
        </w:rPr>
        <w:sectPr w:rsidR="001C55F3" w:rsidRPr="00E92A8D" w:rsidSect="006C445F">
          <w:pgSz w:w="16838" w:h="11906" w:orient="landscape" w:code="9"/>
          <w:pgMar w:top="1418" w:right="1418" w:bottom="1418" w:left="1418" w:header="709" w:footer="709" w:gutter="0"/>
          <w:cols w:space="708"/>
          <w:titlePg/>
          <w:docGrid w:linePitch="360"/>
        </w:sectPr>
      </w:pPr>
      <w:r>
        <w:rPr>
          <w:b/>
          <w:u w:val="single"/>
          <w:lang w:eastAsia="en-GB"/>
        </w:rPr>
        <w:br w:type="page"/>
      </w:r>
    </w:p>
    <w:p w:rsidR="001C55F3" w:rsidRDefault="001C55F3" w:rsidP="009E712E">
      <w:pPr>
        <w:pStyle w:val="Titre2"/>
        <w:rPr>
          <w:lang w:eastAsia="en-GB"/>
        </w:rPr>
      </w:pPr>
      <w:r>
        <w:rPr>
          <w:lang w:eastAsia="en-GB"/>
        </w:rPr>
        <w:lastRenderedPageBreak/>
        <w:t xml:space="preserve">3.5 </w:t>
      </w:r>
      <w:r>
        <w:rPr>
          <w:lang w:eastAsia="en-GB"/>
        </w:rPr>
        <w:tab/>
      </w:r>
      <w:r w:rsidRPr="00A220D8">
        <w:rPr>
          <w:lang w:eastAsia="en-GB"/>
        </w:rPr>
        <w:t>Comparative analysis of mapping approaches</w:t>
      </w:r>
    </w:p>
    <w:p w:rsidR="001C55F3" w:rsidRDefault="001C55F3" w:rsidP="001C55F3">
      <w:pPr>
        <w:spacing w:line="240" w:lineRule="auto"/>
        <w:rPr>
          <w:lang w:eastAsia="en-GB"/>
        </w:rPr>
      </w:pPr>
      <w:r>
        <w:rPr>
          <w:lang w:eastAsia="en-GB"/>
        </w:rPr>
        <w:t>In the next few pages a series of maps are presented which have been selected from the ANNEX 2 MAPS, to discuss choices of mapping methods, indicators and quantification methodologies with datasources. It is not intended to rank approached from good to bad but to show what type of maps can be produced with different methodologies. Interpretation is in all cases a necessary but risky activity, and background information is necessary to make informed assessments.</w:t>
      </w:r>
    </w:p>
    <w:p w:rsidR="001C55F3" w:rsidRPr="00322F3D" w:rsidRDefault="001C55F3" w:rsidP="00322F3D">
      <w:pPr>
        <w:pStyle w:val="Titre2"/>
        <w:rPr>
          <w:lang w:eastAsia="en-GB"/>
        </w:rPr>
      </w:pPr>
      <w:r>
        <w:rPr>
          <w:lang w:eastAsia="en-GB"/>
        </w:rPr>
        <w:t>3.5.1</w:t>
      </w:r>
      <w:r>
        <w:rPr>
          <w:lang w:eastAsia="en-GB"/>
        </w:rPr>
        <w:tab/>
      </w:r>
      <w:r w:rsidRPr="00322F3D">
        <w:rPr>
          <w:lang w:eastAsia="en-GB"/>
        </w:rPr>
        <w:t>Ecosystems</w:t>
      </w:r>
    </w:p>
    <w:p w:rsidR="001C55F3" w:rsidRPr="00624A58" w:rsidRDefault="001C55F3" w:rsidP="00624A58">
      <w:pPr>
        <w:pStyle w:val="Paragraphedeliste"/>
        <w:ind w:left="900"/>
        <w:rPr>
          <w:b/>
          <w:lang w:eastAsia="en-GB"/>
        </w:rPr>
      </w:pPr>
    </w:p>
    <w:p w:rsidR="001C55F3" w:rsidRDefault="001C55F3" w:rsidP="009E712E">
      <w:pPr>
        <w:jc w:val="center"/>
        <w:rPr>
          <w:b/>
          <w:bCs/>
          <w:color w:val="365F91" w:themeColor="accent1" w:themeShade="BF"/>
          <w:lang w:eastAsia="en-GB"/>
        </w:rPr>
      </w:pPr>
      <w:r w:rsidRPr="00624A58">
        <w:rPr>
          <w:b/>
          <w:bCs/>
          <w:noProof/>
          <w:color w:val="365F91" w:themeColor="accent1" w:themeShade="BF"/>
          <w:lang w:val="fr-BE" w:eastAsia="fr-BE"/>
        </w:rPr>
        <w:drawing>
          <wp:inline distT="0" distB="0" distL="0" distR="0">
            <wp:extent cx="4097866" cy="4605866"/>
            <wp:effectExtent l="0" t="0" r="0" b="4445"/>
            <wp:docPr id="44036"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40" cstate="print"/>
                    <a:srcRect/>
                    <a:stretch>
                      <a:fillRect/>
                    </a:stretch>
                  </pic:blipFill>
                  <pic:spPr bwMode="auto">
                    <a:xfrm>
                      <a:off x="0" y="0"/>
                      <a:ext cx="4097963" cy="4605975"/>
                    </a:xfrm>
                    <a:prstGeom prst="rect">
                      <a:avLst/>
                    </a:prstGeom>
                    <a:noFill/>
                    <a:ln w="9525">
                      <a:noFill/>
                      <a:miter lim="800000"/>
                      <a:headEnd/>
                      <a:tailEnd/>
                    </a:ln>
                  </pic:spPr>
                </pic:pic>
              </a:graphicData>
            </a:graphic>
          </wp:inline>
        </w:drawing>
      </w:r>
    </w:p>
    <w:p w:rsidR="001C55F3" w:rsidRDefault="001C55F3" w:rsidP="00624A58">
      <w:pPr>
        <w:pStyle w:val="Paragraphedeliste"/>
        <w:ind w:left="900"/>
        <w:rPr>
          <w:b/>
          <w:bCs/>
          <w:color w:val="365F91" w:themeColor="accent1" w:themeShade="BF"/>
          <w:lang w:eastAsia="en-GB"/>
        </w:rPr>
      </w:pPr>
    </w:p>
    <w:p w:rsidR="001C55F3" w:rsidRPr="00350C35" w:rsidRDefault="001C55F3" w:rsidP="00322F3D">
      <w:pPr>
        <w:pStyle w:val="Paragraphedeliste"/>
        <w:ind w:left="0"/>
        <w:rPr>
          <w:b/>
          <w:bCs/>
          <w:sz w:val="24"/>
          <w:szCs w:val="24"/>
          <w:lang w:eastAsia="en-GB"/>
        </w:rPr>
      </w:pPr>
      <w:r w:rsidRPr="00350C35">
        <w:rPr>
          <w:b/>
          <w:bCs/>
          <w:sz w:val="24"/>
          <w:szCs w:val="24"/>
          <w:lang w:eastAsia="en-GB"/>
        </w:rPr>
        <w:t>Observations:</w:t>
      </w:r>
    </w:p>
    <w:p w:rsidR="001C55F3" w:rsidRPr="00ED7B9E" w:rsidRDefault="001C55F3" w:rsidP="00ED7B9E">
      <w:pPr>
        <w:spacing w:line="240" w:lineRule="auto"/>
        <w:rPr>
          <w:bCs/>
          <w:color w:val="365F91" w:themeColor="accent1" w:themeShade="BF"/>
          <w:lang w:eastAsia="en-GB"/>
        </w:rPr>
      </w:pPr>
      <w:r w:rsidRPr="00ED7B9E">
        <w:rPr>
          <w:bCs/>
          <w:lang w:eastAsia="en-GB"/>
        </w:rPr>
        <w:t>The example map of Wales illustrates a highly aggregate Ecosystems map. I</w:t>
      </w:r>
      <w:r>
        <w:rPr>
          <w:bCs/>
          <w:lang w:eastAsia="en-GB"/>
        </w:rPr>
        <w:t>t depicts the location of a ran</w:t>
      </w:r>
      <w:r w:rsidRPr="00ED7B9E">
        <w:rPr>
          <w:bCs/>
          <w:lang w:eastAsia="en-GB"/>
        </w:rPr>
        <w:t xml:space="preserve">ge of </w:t>
      </w:r>
      <w:r>
        <w:rPr>
          <w:bCs/>
          <w:lang w:eastAsia="en-GB"/>
        </w:rPr>
        <w:t xml:space="preserve">recognisable </w:t>
      </w:r>
      <w:r w:rsidRPr="00ED7B9E">
        <w:rPr>
          <w:bCs/>
          <w:lang w:eastAsia="en-GB"/>
        </w:rPr>
        <w:t>landscapes / ecosystems. Since the UK-NEA was conducted before the MAES process had started it is logical that the classification chosen is not directly congruent with the Classification in the MAES Analytical Framework (MAF). A challenge would be to see to what extent the des-aggregated landscape / ecosystem classes could be matched with the MAF classification.</w:t>
      </w:r>
      <w:r w:rsidRPr="00ED7B9E">
        <w:rPr>
          <w:bCs/>
          <w:color w:val="365F91" w:themeColor="accent1" w:themeShade="BF"/>
          <w:lang w:eastAsia="en-GB"/>
        </w:rPr>
        <w:br w:type="page"/>
      </w:r>
    </w:p>
    <w:p w:rsidR="001C55F3" w:rsidRDefault="001C55F3" w:rsidP="00624A58">
      <w:pPr>
        <w:pStyle w:val="Paragraphedeliste"/>
        <w:ind w:left="0"/>
        <w:rPr>
          <w:b/>
          <w:bCs/>
          <w:color w:val="365F91" w:themeColor="accent1" w:themeShade="BF"/>
          <w:lang w:eastAsia="en-GB"/>
        </w:rPr>
      </w:pPr>
      <w:r w:rsidRPr="00624A58">
        <w:rPr>
          <w:b/>
          <w:bCs/>
          <w:noProof/>
          <w:color w:val="365F91" w:themeColor="accent1" w:themeShade="BF"/>
          <w:lang w:val="fr-BE" w:eastAsia="fr-BE"/>
        </w:rPr>
        <w:lastRenderedPageBreak/>
        <w:drawing>
          <wp:inline distT="0" distB="0" distL="0" distR="0">
            <wp:extent cx="5759450" cy="4902819"/>
            <wp:effectExtent l="0" t="0" r="0" b="0"/>
            <wp:docPr id="44037" name="0 Imagen"/>
            <wp:cNvGraphicFramePr/>
            <a:graphic xmlns:a="http://schemas.openxmlformats.org/drawingml/2006/main">
              <a:graphicData uri="http://schemas.openxmlformats.org/drawingml/2006/picture">
                <pic:pic xmlns:pic="http://schemas.openxmlformats.org/drawingml/2006/picture">
                  <pic:nvPicPr>
                    <pic:cNvPr id="5" name="0 Imagen"/>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9450" cy="4902819"/>
                    </a:xfrm>
                    <a:prstGeom prst="rect">
                      <a:avLst/>
                    </a:prstGeom>
                  </pic:spPr>
                </pic:pic>
              </a:graphicData>
            </a:graphic>
          </wp:inline>
        </w:drawing>
      </w:r>
    </w:p>
    <w:p w:rsidR="001C55F3" w:rsidRPr="00350C35" w:rsidRDefault="001C55F3" w:rsidP="00624A58">
      <w:pPr>
        <w:pStyle w:val="Paragraphedeliste"/>
        <w:ind w:left="0"/>
        <w:rPr>
          <w:b/>
          <w:bCs/>
          <w:sz w:val="24"/>
          <w:szCs w:val="24"/>
          <w:lang w:eastAsia="en-GB"/>
        </w:rPr>
      </w:pPr>
      <w:r w:rsidRPr="00350C35">
        <w:rPr>
          <w:b/>
          <w:bCs/>
          <w:sz w:val="24"/>
          <w:szCs w:val="24"/>
          <w:lang w:eastAsia="en-GB"/>
        </w:rPr>
        <w:t>Observations:</w:t>
      </w:r>
    </w:p>
    <w:p w:rsidR="001C55F3" w:rsidRDefault="001C55F3" w:rsidP="00624A58">
      <w:pPr>
        <w:pStyle w:val="Paragraphedeliste"/>
        <w:ind w:left="0"/>
        <w:rPr>
          <w:b/>
          <w:bCs/>
          <w:lang w:eastAsia="en-GB"/>
        </w:rPr>
      </w:pPr>
    </w:p>
    <w:p w:rsidR="001C55F3" w:rsidRPr="00ED7B9E" w:rsidRDefault="001C55F3" w:rsidP="00ED7B9E">
      <w:pPr>
        <w:pStyle w:val="Paragraphedeliste"/>
        <w:spacing w:line="240" w:lineRule="auto"/>
        <w:ind w:left="0"/>
        <w:rPr>
          <w:bCs/>
          <w:lang w:eastAsia="en-GB"/>
        </w:rPr>
      </w:pPr>
      <w:r w:rsidRPr="00ED7B9E">
        <w:rPr>
          <w:bCs/>
          <w:lang w:eastAsia="en-GB"/>
        </w:rPr>
        <w:t>Similarly, the example from the Spanish Ecosystem Assessment, presents a wholly recognisable set of ecosystems, of which the matching could now be determined with the MAF classification.</w:t>
      </w:r>
    </w:p>
    <w:p w:rsidR="001C55F3" w:rsidRDefault="001C55F3">
      <w:pPr>
        <w:rPr>
          <w:rFonts w:asciiTheme="majorHAnsi" w:eastAsiaTheme="majorEastAsia" w:hAnsiTheme="majorHAnsi" w:cstheme="majorBidi"/>
          <w:b/>
          <w:bCs/>
          <w:color w:val="365F91" w:themeColor="accent1" w:themeShade="BF"/>
          <w:sz w:val="40"/>
          <w:szCs w:val="40"/>
          <w:lang w:eastAsia="en-GB"/>
        </w:rPr>
      </w:pPr>
      <w:r>
        <w:rPr>
          <w:sz w:val="40"/>
          <w:szCs w:val="40"/>
          <w:lang w:eastAsia="en-GB"/>
        </w:rPr>
        <w:br w:type="page"/>
      </w:r>
    </w:p>
    <w:p w:rsidR="001C55F3" w:rsidRDefault="001C55F3">
      <w:pPr>
        <w:rPr>
          <w:sz w:val="40"/>
          <w:szCs w:val="40"/>
          <w:lang w:eastAsia="en-GB"/>
        </w:rPr>
      </w:pPr>
      <w:r w:rsidRPr="00624A58">
        <w:rPr>
          <w:noProof/>
          <w:sz w:val="40"/>
          <w:szCs w:val="40"/>
          <w:lang w:val="fr-BE" w:eastAsia="fr-BE"/>
        </w:rPr>
        <w:lastRenderedPageBreak/>
        <w:drawing>
          <wp:inline distT="0" distB="0" distL="0" distR="0">
            <wp:extent cx="5759450" cy="4670751"/>
            <wp:effectExtent l="0" t="0" r="0" b="0"/>
            <wp:docPr id="44038" name="Picture 3" descr="D:\GIS_data\RWS\EffectenAnalyseNoordNederland_Arcadis\JPG\SoortHabitat\NEA_Workshop_E_Habitats.jpg"/>
            <wp:cNvGraphicFramePr/>
            <a:graphic xmlns:a="http://schemas.openxmlformats.org/drawingml/2006/main">
              <a:graphicData uri="http://schemas.openxmlformats.org/drawingml/2006/picture">
                <pic:pic xmlns:pic="http://schemas.openxmlformats.org/drawingml/2006/picture">
                  <pic:nvPicPr>
                    <pic:cNvPr id="4" name="Picture 3" descr="D:\GIS_data\RWS\EffectenAnalyseNoordNederland_Arcadis\JPG\SoortHabitat\NEA_Workshop_E_Habitats.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59450" cy="4670751"/>
                    </a:xfrm>
                    <a:prstGeom prst="rect">
                      <a:avLst/>
                    </a:prstGeom>
                    <a:noFill/>
                    <a:extLst/>
                  </pic:spPr>
                </pic:pic>
              </a:graphicData>
            </a:graphic>
          </wp:inline>
        </w:drawing>
      </w:r>
    </w:p>
    <w:p w:rsidR="001C55F3" w:rsidRPr="00350C35" w:rsidRDefault="001C55F3">
      <w:pPr>
        <w:rPr>
          <w:b/>
          <w:sz w:val="24"/>
          <w:szCs w:val="24"/>
          <w:lang w:eastAsia="en-GB"/>
        </w:rPr>
      </w:pPr>
      <w:r w:rsidRPr="00350C35">
        <w:rPr>
          <w:b/>
          <w:sz w:val="24"/>
          <w:szCs w:val="24"/>
          <w:lang w:eastAsia="en-GB"/>
        </w:rPr>
        <w:t xml:space="preserve">Observations </w:t>
      </w:r>
    </w:p>
    <w:p w:rsidR="001C55F3" w:rsidRDefault="001C55F3" w:rsidP="00ED7B9E">
      <w:pPr>
        <w:spacing w:line="240" w:lineRule="auto"/>
        <w:rPr>
          <w:lang w:eastAsia="en-GB"/>
        </w:rPr>
      </w:pPr>
      <w:r>
        <w:rPr>
          <w:lang w:eastAsia="en-GB"/>
        </w:rPr>
        <w:t>The Wadden Sea area in the northern part of the Netherlands is to a large extent a Natura 2000 area, for which the Habitat Classification is available. This very detailed classification scheme is quite descriptive and of course EU standardised. It works well for mapping at regional and local scales. For National and European scales systematic “aggregates” can be used.</w:t>
      </w:r>
    </w:p>
    <w:p w:rsidR="001C55F3" w:rsidRDefault="001C55F3" w:rsidP="00ED7B9E">
      <w:pPr>
        <w:spacing w:line="240" w:lineRule="auto"/>
        <w:rPr>
          <w:b/>
          <w:sz w:val="24"/>
          <w:szCs w:val="24"/>
          <w:lang w:eastAsia="en-GB"/>
        </w:rPr>
      </w:pPr>
    </w:p>
    <w:p w:rsidR="001C55F3" w:rsidRDefault="001C55F3" w:rsidP="00ED7B9E">
      <w:pPr>
        <w:spacing w:line="240" w:lineRule="auto"/>
        <w:rPr>
          <w:b/>
          <w:sz w:val="24"/>
          <w:szCs w:val="24"/>
          <w:lang w:eastAsia="en-GB"/>
        </w:rPr>
      </w:pPr>
      <w:r w:rsidRPr="00E92A8D">
        <w:rPr>
          <w:b/>
          <w:sz w:val="24"/>
          <w:szCs w:val="24"/>
          <w:lang w:eastAsia="en-GB"/>
        </w:rPr>
        <w:t>Conclusions about approaches to  Mapping Ecosystems</w:t>
      </w:r>
    </w:p>
    <w:p w:rsidR="001C55F3" w:rsidRDefault="001C55F3" w:rsidP="00ED7B9E">
      <w:pPr>
        <w:spacing w:line="240" w:lineRule="auto"/>
        <w:rPr>
          <w:lang w:eastAsia="en-GB"/>
        </w:rPr>
      </w:pPr>
      <w:r w:rsidRPr="00ED7B9E">
        <w:rPr>
          <w:lang w:eastAsia="en-GB"/>
        </w:rPr>
        <w:t xml:space="preserve">These few examples only illustrate, but do so usefully, that a EU wide classification (with a hierarchical structure) of Ecosystems is an absolute necessity to support applications of maps in Target 2, Action 5, Action 6 and Action 7. </w:t>
      </w:r>
    </w:p>
    <w:p w:rsidR="001C55F3" w:rsidRPr="00ED7B9E" w:rsidRDefault="001C55F3" w:rsidP="00ED7B9E">
      <w:pPr>
        <w:spacing w:line="240" w:lineRule="auto"/>
        <w:rPr>
          <w:rFonts w:asciiTheme="majorHAnsi" w:eastAsiaTheme="majorEastAsia" w:hAnsiTheme="majorHAnsi" w:cstheme="majorBidi"/>
          <w:bCs/>
          <w:color w:val="365F91" w:themeColor="accent1" w:themeShade="BF"/>
          <w:lang w:eastAsia="en-GB"/>
        </w:rPr>
      </w:pPr>
      <w:r>
        <w:rPr>
          <w:lang w:eastAsia="en-GB"/>
        </w:rPr>
        <w:t>It would then be possible to redraw existing highly aggregated maps, if the original “base maps” are still available. It is currently being discussed (with EEA) how such a classification could lead to a harmonised EU Ecosystems Map.</w:t>
      </w:r>
      <w:r w:rsidRPr="00ED7B9E">
        <w:rPr>
          <w:lang w:eastAsia="en-GB"/>
        </w:rPr>
        <w:br w:type="page"/>
      </w:r>
    </w:p>
    <w:p w:rsidR="001C55F3" w:rsidRPr="00183C36" w:rsidRDefault="001C55F3" w:rsidP="00183C36">
      <w:pPr>
        <w:pStyle w:val="Titre2"/>
        <w:rPr>
          <w:lang w:eastAsia="en-GB"/>
        </w:rPr>
      </w:pPr>
      <w:r>
        <w:rPr>
          <w:lang w:eastAsia="en-GB"/>
        </w:rPr>
        <w:lastRenderedPageBreak/>
        <w:t>3.5.2</w:t>
      </w:r>
      <w:r>
        <w:rPr>
          <w:lang w:eastAsia="en-GB"/>
        </w:rPr>
        <w:tab/>
        <w:t>Ecosystem services maps</w:t>
      </w:r>
    </w:p>
    <w:p w:rsidR="001C55F3" w:rsidRDefault="001C55F3">
      <w:pPr>
        <w:rPr>
          <w:b/>
          <w:sz w:val="24"/>
          <w:szCs w:val="24"/>
          <w:lang w:eastAsia="en-GB"/>
        </w:rPr>
      </w:pPr>
    </w:p>
    <w:p w:rsidR="001C55F3" w:rsidRDefault="001C55F3">
      <w:pPr>
        <w:rPr>
          <w:b/>
          <w:sz w:val="24"/>
          <w:szCs w:val="24"/>
          <w:lang w:eastAsia="en-GB"/>
        </w:rPr>
        <w:sectPr w:rsidR="001C55F3" w:rsidSect="00FC3D1E">
          <w:pgSz w:w="11906" w:h="16838" w:code="9"/>
          <w:pgMar w:top="1418" w:right="1418" w:bottom="1418" w:left="1418" w:header="709" w:footer="709" w:gutter="0"/>
          <w:cols w:space="708"/>
          <w:titlePg/>
          <w:docGrid w:linePitch="360"/>
        </w:sectPr>
      </w:pPr>
      <w:r w:rsidRPr="00322F3D">
        <w:rPr>
          <w:b/>
          <w:sz w:val="24"/>
          <w:szCs w:val="24"/>
          <w:lang w:eastAsia="en-GB"/>
        </w:rPr>
        <w:t>Provisioning services</w:t>
      </w:r>
    </w:p>
    <w:p w:rsidR="001C55F3" w:rsidRPr="00322F3D" w:rsidRDefault="001C55F3">
      <w:pPr>
        <w:rPr>
          <w:b/>
          <w:sz w:val="24"/>
          <w:szCs w:val="24"/>
          <w:lang w:eastAsia="en-GB"/>
        </w:rPr>
      </w:pPr>
    </w:p>
    <w:p w:rsidR="001C55F3" w:rsidRDefault="001C55F3">
      <w:pPr>
        <w:rPr>
          <w:b/>
          <w:sz w:val="40"/>
          <w:szCs w:val="40"/>
          <w:lang w:eastAsia="en-GB"/>
        </w:rPr>
      </w:pPr>
      <w:r>
        <w:rPr>
          <w:b/>
          <w:noProof/>
          <w:sz w:val="40"/>
          <w:szCs w:val="40"/>
          <w:lang w:val="fr-BE" w:eastAsia="fr-BE"/>
        </w:rPr>
        <w:drawing>
          <wp:inline distT="0" distB="0" distL="0" distR="0">
            <wp:extent cx="2553649" cy="3022600"/>
            <wp:effectExtent l="0" t="0" r="0" b="6350"/>
            <wp:docPr id="44040" name="Picture 4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0721" cy="3019134"/>
                    </a:xfrm>
                    <a:prstGeom prst="rect">
                      <a:avLst/>
                    </a:prstGeom>
                    <a:noFill/>
                  </pic:spPr>
                </pic:pic>
              </a:graphicData>
            </a:graphic>
          </wp:inline>
        </w:drawing>
      </w:r>
    </w:p>
    <w:p w:rsidR="001C55F3" w:rsidRDefault="001C55F3">
      <w:pPr>
        <w:rPr>
          <w:b/>
          <w:sz w:val="40"/>
          <w:szCs w:val="40"/>
          <w:lang w:eastAsia="en-GB"/>
        </w:rPr>
      </w:pPr>
      <w:r>
        <w:rPr>
          <w:b/>
          <w:noProof/>
          <w:sz w:val="40"/>
          <w:szCs w:val="40"/>
          <w:lang w:val="fr-BE" w:eastAsia="fr-BE"/>
        </w:rPr>
        <w:lastRenderedPageBreak/>
        <w:drawing>
          <wp:inline distT="0" distB="0" distL="0" distR="0">
            <wp:extent cx="2552700" cy="3145136"/>
            <wp:effectExtent l="0" t="0" r="0" b="0"/>
            <wp:docPr id="44041" name="Picture 4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4359" cy="3147180"/>
                    </a:xfrm>
                    <a:prstGeom prst="rect">
                      <a:avLst/>
                    </a:prstGeom>
                    <a:noFill/>
                  </pic:spPr>
                </pic:pic>
              </a:graphicData>
            </a:graphic>
          </wp:inline>
        </w:drawing>
      </w:r>
    </w:p>
    <w:p w:rsidR="001C55F3" w:rsidRDefault="001C55F3">
      <w:pPr>
        <w:rPr>
          <w:b/>
          <w:sz w:val="24"/>
          <w:szCs w:val="24"/>
          <w:u w:val="single"/>
          <w:lang w:eastAsia="en-GB"/>
        </w:rPr>
      </w:pPr>
    </w:p>
    <w:p w:rsidR="001C55F3" w:rsidRDefault="001C55F3">
      <w:pPr>
        <w:rPr>
          <w:b/>
          <w:sz w:val="24"/>
          <w:szCs w:val="24"/>
          <w:u w:val="single"/>
          <w:lang w:eastAsia="en-GB"/>
        </w:rPr>
        <w:sectPr w:rsidR="001C55F3" w:rsidSect="00E92A8D">
          <w:type w:val="continuous"/>
          <w:pgSz w:w="11906" w:h="16838" w:code="9"/>
          <w:pgMar w:top="1418" w:right="1418" w:bottom="1418" w:left="1418" w:header="709" w:footer="709" w:gutter="0"/>
          <w:cols w:num="2" w:space="708"/>
          <w:titlePg/>
          <w:docGrid w:linePitch="360"/>
        </w:sectPr>
      </w:pPr>
    </w:p>
    <w:p w:rsidR="001C55F3" w:rsidRPr="00350C35" w:rsidRDefault="001C55F3">
      <w:pPr>
        <w:rPr>
          <w:b/>
          <w:sz w:val="24"/>
          <w:szCs w:val="24"/>
          <w:lang w:eastAsia="en-GB"/>
        </w:rPr>
      </w:pPr>
      <w:r w:rsidRPr="00350C35">
        <w:rPr>
          <w:b/>
          <w:sz w:val="24"/>
          <w:szCs w:val="24"/>
          <w:lang w:eastAsia="en-GB"/>
        </w:rPr>
        <w:lastRenderedPageBreak/>
        <w:t>Observations</w:t>
      </w:r>
    </w:p>
    <w:p w:rsidR="001C55F3" w:rsidRDefault="001C55F3" w:rsidP="0067078D">
      <w:pPr>
        <w:spacing w:line="240" w:lineRule="auto"/>
        <w:rPr>
          <w:noProof/>
          <w:lang w:eastAsia="en-GB"/>
        </w:rPr>
      </w:pPr>
      <w:r>
        <w:rPr>
          <w:lang w:eastAsia="en-GB"/>
        </w:rPr>
        <w:t>The diversity of m</w:t>
      </w:r>
      <w:r w:rsidRPr="006B1100">
        <w:rPr>
          <w:lang w:eastAsia="en-GB"/>
        </w:rPr>
        <w:t>aps of ecosystem services</w:t>
      </w:r>
      <w:r>
        <w:rPr>
          <w:noProof/>
          <w:lang w:eastAsia="en-GB"/>
        </w:rPr>
        <w:t>is currently very large. The next few pages again only serve to illustrate some of the approaches and a larger set can be studied in ANNEX 2 MAPS. Differences in mapping style originate, aside from technology,  from use of different types of indicators (stocks, flows, point measurements, areas, mapped statistics) to represent the ecosystem service (sometimes in fact: the Natural Capital from which the service is derived) and the various quantification methods. Many maps still look similar because the various different data are put in classes which are then represented in by a range of colours.</w:t>
      </w:r>
    </w:p>
    <w:p w:rsidR="001C55F3" w:rsidRPr="006B1100" w:rsidRDefault="001C55F3" w:rsidP="0067078D">
      <w:pPr>
        <w:spacing w:line="240" w:lineRule="auto"/>
        <w:rPr>
          <w:noProof/>
          <w:lang w:eastAsia="en-GB"/>
        </w:rPr>
        <w:sectPr w:rsidR="001C55F3" w:rsidRPr="006B1100" w:rsidSect="00E92A8D">
          <w:type w:val="continuous"/>
          <w:pgSz w:w="11906" w:h="16838" w:code="9"/>
          <w:pgMar w:top="1418" w:right="1418" w:bottom="1418" w:left="1418" w:header="709" w:footer="709" w:gutter="0"/>
          <w:cols w:space="708"/>
          <w:titlePg/>
          <w:docGrid w:linePitch="360"/>
        </w:sectPr>
      </w:pPr>
      <w:r>
        <w:rPr>
          <w:noProof/>
          <w:lang w:eastAsia="en-GB"/>
        </w:rPr>
        <w:t>The map of Wales on the left shows a flow indicator (net primary production (e.g. in kg/ha/year) of land cover. The colour differences represent different “reflectance values” which are remotely sensed. So a stock photo is interpreted (undoubtly on the basis of field data) into a flow of biomass production. The map on the right shows an aggregate food production indicator, based on agricultural statistics data. It may in fact be representing similar flow of biomass as the other map.</w:t>
      </w:r>
      <w:r w:rsidRPr="006B1100">
        <w:rPr>
          <w:noProof/>
          <w:lang w:eastAsia="en-GB"/>
        </w:rPr>
        <w:br w:type="page"/>
      </w:r>
    </w:p>
    <w:p w:rsidR="001C55F3" w:rsidRDefault="001C55F3">
      <w:pPr>
        <w:rPr>
          <w:rFonts w:asciiTheme="majorHAnsi" w:eastAsiaTheme="majorEastAsia" w:hAnsiTheme="majorHAnsi" w:cstheme="majorBidi"/>
          <w:b/>
          <w:bCs/>
          <w:sz w:val="24"/>
          <w:szCs w:val="24"/>
          <w:lang w:eastAsia="en-GB"/>
        </w:rPr>
      </w:pPr>
      <w:r w:rsidRPr="00322F3D">
        <w:rPr>
          <w:rFonts w:asciiTheme="majorHAnsi" w:eastAsiaTheme="majorEastAsia" w:hAnsiTheme="majorHAnsi" w:cstheme="majorBidi"/>
          <w:b/>
          <w:bCs/>
          <w:sz w:val="24"/>
          <w:szCs w:val="24"/>
          <w:lang w:eastAsia="en-GB"/>
        </w:rPr>
        <w:lastRenderedPageBreak/>
        <w:t>Regulating services</w:t>
      </w:r>
    </w:p>
    <w:p w:rsidR="001C55F3" w:rsidRDefault="001C55F3">
      <w:pPr>
        <w:rPr>
          <w:rFonts w:asciiTheme="majorHAnsi" w:eastAsiaTheme="majorEastAsia" w:hAnsiTheme="majorHAnsi" w:cstheme="majorBidi"/>
          <w:b/>
          <w:bCs/>
          <w:sz w:val="24"/>
          <w:szCs w:val="24"/>
          <w:lang w:eastAsia="en-GB"/>
        </w:rPr>
        <w:sectPr w:rsidR="001C55F3" w:rsidSect="00E92A8D">
          <w:type w:val="continuous"/>
          <w:pgSz w:w="11906" w:h="16838" w:code="9"/>
          <w:pgMar w:top="1418" w:right="1418" w:bottom="1418" w:left="1418" w:header="709" w:footer="709" w:gutter="0"/>
          <w:cols w:space="708"/>
          <w:titlePg/>
          <w:docGrid w:linePitch="360"/>
        </w:sectPr>
      </w:pPr>
    </w:p>
    <w:p w:rsidR="001C55F3" w:rsidRDefault="001C55F3">
      <w:pPr>
        <w:rPr>
          <w:rFonts w:asciiTheme="majorHAnsi" w:eastAsiaTheme="majorEastAsia" w:hAnsiTheme="majorHAnsi" w:cstheme="majorBidi"/>
          <w:b/>
          <w:bCs/>
          <w:color w:val="365F91" w:themeColor="accent1" w:themeShade="BF"/>
          <w:sz w:val="40"/>
          <w:szCs w:val="40"/>
          <w:lang w:eastAsia="en-GB"/>
        </w:rPr>
      </w:pPr>
      <w:r>
        <w:rPr>
          <w:rFonts w:asciiTheme="majorHAnsi" w:eastAsiaTheme="majorEastAsia" w:hAnsiTheme="majorHAnsi" w:cstheme="majorBidi"/>
          <w:b/>
          <w:bCs/>
          <w:noProof/>
          <w:color w:val="365F91" w:themeColor="accent1" w:themeShade="BF"/>
          <w:sz w:val="40"/>
          <w:szCs w:val="40"/>
          <w:lang w:val="fr-BE" w:eastAsia="fr-BE"/>
        </w:rPr>
        <w:lastRenderedPageBreak/>
        <w:drawing>
          <wp:inline distT="0" distB="0" distL="0" distR="0">
            <wp:extent cx="2844800" cy="3656151"/>
            <wp:effectExtent l="0" t="0" r="0" b="1905"/>
            <wp:docPr id="44043" name="Picture 4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9905" cy="3662711"/>
                    </a:xfrm>
                    <a:prstGeom prst="rect">
                      <a:avLst/>
                    </a:prstGeom>
                    <a:noFill/>
                  </pic:spPr>
                </pic:pic>
              </a:graphicData>
            </a:graphic>
          </wp:inline>
        </w:drawing>
      </w:r>
    </w:p>
    <w:p w:rsidR="001C55F3" w:rsidRDefault="001C55F3">
      <w:pPr>
        <w:rPr>
          <w:rFonts w:asciiTheme="majorHAnsi" w:eastAsiaTheme="majorEastAsia" w:hAnsiTheme="majorHAnsi" w:cstheme="majorBidi"/>
          <w:b/>
          <w:bCs/>
          <w:color w:val="365F91" w:themeColor="accent1" w:themeShade="BF"/>
          <w:sz w:val="40"/>
          <w:szCs w:val="40"/>
          <w:lang w:eastAsia="en-GB"/>
        </w:rPr>
      </w:pPr>
      <w:r>
        <w:rPr>
          <w:rFonts w:asciiTheme="majorHAnsi" w:eastAsiaTheme="majorEastAsia" w:hAnsiTheme="majorHAnsi" w:cstheme="majorBidi"/>
          <w:b/>
          <w:bCs/>
          <w:noProof/>
          <w:color w:val="365F91" w:themeColor="accent1" w:themeShade="BF"/>
          <w:sz w:val="40"/>
          <w:szCs w:val="40"/>
          <w:lang w:val="fr-BE" w:eastAsia="fr-BE"/>
        </w:rPr>
        <w:lastRenderedPageBreak/>
        <w:drawing>
          <wp:inline distT="0" distB="0" distL="0" distR="0">
            <wp:extent cx="3041446" cy="3251200"/>
            <wp:effectExtent l="0" t="0" r="6985" b="6350"/>
            <wp:docPr id="44044" name="Picture 4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3507" cy="3253403"/>
                    </a:xfrm>
                    <a:prstGeom prst="rect">
                      <a:avLst/>
                    </a:prstGeom>
                    <a:noFill/>
                  </pic:spPr>
                </pic:pic>
              </a:graphicData>
            </a:graphic>
          </wp:inline>
        </w:drawing>
      </w:r>
    </w:p>
    <w:p w:rsidR="001C55F3" w:rsidRDefault="001C55F3">
      <w:pPr>
        <w:rPr>
          <w:b/>
          <w:sz w:val="24"/>
          <w:szCs w:val="24"/>
          <w:u w:val="single"/>
          <w:lang w:eastAsia="en-GB"/>
        </w:rPr>
        <w:sectPr w:rsidR="001C55F3" w:rsidSect="00E92A8D">
          <w:type w:val="continuous"/>
          <w:pgSz w:w="11906" w:h="16838" w:code="9"/>
          <w:pgMar w:top="1418" w:right="1418" w:bottom="1418" w:left="1418" w:header="709" w:footer="709" w:gutter="0"/>
          <w:cols w:num="2" w:space="708"/>
          <w:titlePg/>
          <w:docGrid w:linePitch="360"/>
        </w:sectPr>
      </w:pPr>
    </w:p>
    <w:p w:rsidR="001C55F3" w:rsidRDefault="001C55F3">
      <w:pPr>
        <w:rPr>
          <w:b/>
          <w:sz w:val="24"/>
          <w:szCs w:val="24"/>
          <w:lang w:eastAsia="en-GB"/>
        </w:rPr>
      </w:pPr>
      <w:r w:rsidRPr="0067078D">
        <w:rPr>
          <w:b/>
          <w:sz w:val="24"/>
          <w:szCs w:val="24"/>
          <w:lang w:eastAsia="en-GB"/>
        </w:rPr>
        <w:lastRenderedPageBreak/>
        <w:t>Observations:</w:t>
      </w:r>
    </w:p>
    <w:p w:rsidR="001C55F3" w:rsidRDefault="001C55F3" w:rsidP="00ED1BD9">
      <w:pPr>
        <w:spacing w:line="240" w:lineRule="auto"/>
        <w:rPr>
          <w:lang w:eastAsia="en-GB"/>
        </w:rPr>
      </w:pPr>
      <w:r w:rsidRPr="00ED1BD9">
        <w:rPr>
          <w:lang w:eastAsia="en-GB"/>
        </w:rPr>
        <w:t xml:space="preserve">An example for a regulating service, which generally are not measured by statistical offices, but some environmental features like, air, soil and water quality can be considered to result from a combination of natural abiotic processes (wind, rain), biotic activity (soil nutrient circulation) and human activity (pollution as well as emission reduction and cleaning operations), and are in that view resulting from ecosystem services as well. </w:t>
      </w:r>
    </w:p>
    <w:p w:rsidR="001C55F3" w:rsidRPr="00ED1BD9" w:rsidRDefault="001C55F3" w:rsidP="00ED1BD9">
      <w:pPr>
        <w:spacing w:line="240" w:lineRule="auto"/>
        <w:rPr>
          <w:lang w:eastAsia="en-GB"/>
        </w:rPr>
      </w:pPr>
      <w:r>
        <w:rPr>
          <w:lang w:eastAsia="en-GB"/>
        </w:rPr>
        <w:t xml:space="preserve">The map on the left depicts an “indirect” potential indicator for climate regulation, i.e. the amount of Carbon stored in soils. The map on the right is also an depiction of a potential ecosystem service map, i.e. the current maximum carbon uptake of soils in Flanders. </w:t>
      </w:r>
    </w:p>
    <w:p w:rsidR="001C55F3" w:rsidRPr="0067078D" w:rsidRDefault="001C55F3">
      <w:pPr>
        <w:rPr>
          <w:b/>
          <w:sz w:val="24"/>
          <w:szCs w:val="24"/>
          <w:lang w:eastAsia="en-GB"/>
        </w:rPr>
      </w:pPr>
    </w:p>
    <w:p w:rsidR="001C55F3" w:rsidRDefault="001C55F3">
      <w:pPr>
        <w:rPr>
          <w:b/>
          <w:sz w:val="24"/>
          <w:szCs w:val="24"/>
          <w:u w:val="single"/>
          <w:lang w:eastAsia="en-GB"/>
        </w:rPr>
      </w:pPr>
    </w:p>
    <w:p w:rsidR="001C55F3" w:rsidRDefault="001C55F3">
      <w:pPr>
        <w:rPr>
          <w:b/>
          <w:sz w:val="24"/>
          <w:szCs w:val="24"/>
          <w:u w:val="single"/>
          <w:lang w:eastAsia="en-GB"/>
        </w:rPr>
      </w:pPr>
    </w:p>
    <w:p w:rsidR="001C55F3" w:rsidRDefault="001C55F3">
      <w:pPr>
        <w:rPr>
          <w:b/>
          <w:sz w:val="24"/>
          <w:szCs w:val="24"/>
          <w:u w:val="single"/>
          <w:lang w:eastAsia="en-GB"/>
        </w:rPr>
      </w:pPr>
    </w:p>
    <w:p w:rsidR="001C55F3" w:rsidRDefault="001C55F3">
      <w:pPr>
        <w:rPr>
          <w:b/>
          <w:sz w:val="24"/>
          <w:szCs w:val="24"/>
          <w:u w:val="single"/>
          <w:lang w:eastAsia="en-GB"/>
        </w:rPr>
      </w:pPr>
    </w:p>
    <w:p w:rsidR="001C55F3" w:rsidRDefault="001C55F3">
      <w:pPr>
        <w:rPr>
          <w:b/>
          <w:sz w:val="24"/>
          <w:szCs w:val="24"/>
          <w:u w:val="single"/>
          <w:lang w:eastAsia="en-GB"/>
        </w:rPr>
      </w:pPr>
    </w:p>
    <w:p w:rsidR="001C55F3" w:rsidRDefault="001C55F3">
      <w:pPr>
        <w:rPr>
          <w:b/>
          <w:sz w:val="24"/>
          <w:szCs w:val="24"/>
          <w:u w:val="single"/>
          <w:lang w:eastAsia="en-GB"/>
        </w:rPr>
      </w:pPr>
    </w:p>
    <w:p w:rsidR="001C55F3" w:rsidRDefault="001C55F3">
      <w:pPr>
        <w:rPr>
          <w:b/>
          <w:sz w:val="24"/>
          <w:szCs w:val="24"/>
          <w:u w:val="single"/>
          <w:lang w:eastAsia="en-GB"/>
        </w:rPr>
      </w:pPr>
    </w:p>
    <w:p w:rsidR="001C55F3" w:rsidRDefault="001C55F3">
      <w:pPr>
        <w:rPr>
          <w:b/>
          <w:sz w:val="24"/>
          <w:szCs w:val="24"/>
          <w:u w:val="single"/>
          <w:lang w:eastAsia="en-GB"/>
        </w:rPr>
      </w:pPr>
    </w:p>
    <w:p w:rsidR="001C55F3" w:rsidRDefault="001C55F3">
      <w:pPr>
        <w:rPr>
          <w:rFonts w:asciiTheme="majorHAnsi" w:eastAsiaTheme="majorEastAsia" w:hAnsiTheme="majorHAnsi" w:cstheme="majorBidi"/>
          <w:b/>
          <w:bCs/>
          <w:color w:val="365F91" w:themeColor="accent1" w:themeShade="BF"/>
          <w:sz w:val="24"/>
          <w:szCs w:val="24"/>
          <w:u w:val="single"/>
          <w:lang w:eastAsia="en-GB"/>
        </w:rPr>
        <w:sectPr w:rsidR="001C55F3" w:rsidSect="00E92A8D">
          <w:type w:val="continuous"/>
          <w:pgSz w:w="11906" w:h="16838" w:code="9"/>
          <w:pgMar w:top="1418" w:right="1418" w:bottom="1418" w:left="1418" w:header="709" w:footer="709" w:gutter="0"/>
          <w:cols w:space="708"/>
          <w:titlePg/>
          <w:docGrid w:linePitch="360"/>
        </w:sectPr>
      </w:pPr>
    </w:p>
    <w:p w:rsidR="001C55F3" w:rsidRPr="00322F3D" w:rsidRDefault="001C55F3">
      <w:pPr>
        <w:rPr>
          <w:rFonts w:asciiTheme="majorHAnsi" w:eastAsiaTheme="majorEastAsia" w:hAnsiTheme="majorHAnsi" w:cstheme="majorBidi"/>
          <w:b/>
          <w:bCs/>
          <w:color w:val="365F91" w:themeColor="accent1" w:themeShade="BF"/>
          <w:sz w:val="24"/>
          <w:szCs w:val="24"/>
          <w:u w:val="single"/>
          <w:lang w:eastAsia="en-GB"/>
        </w:rPr>
      </w:pPr>
    </w:p>
    <w:p w:rsidR="001C55F3" w:rsidRDefault="001C55F3">
      <w:pPr>
        <w:rPr>
          <w:rFonts w:asciiTheme="majorHAnsi" w:eastAsiaTheme="majorEastAsia" w:hAnsiTheme="majorHAnsi" w:cstheme="majorBidi"/>
          <w:b/>
          <w:bCs/>
          <w:color w:val="365F91" w:themeColor="accent1" w:themeShade="BF"/>
          <w:sz w:val="40"/>
          <w:szCs w:val="40"/>
          <w:lang w:eastAsia="en-GB"/>
        </w:rPr>
      </w:pPr>
      <w:r>
        <w:rPr>
          <w:rFonts w:asciiTheme="majorHAnsi" w:eastAsiaTheme="majorEastAsia" w:hAnsiTheme="majorHAnsi" w:cstheme="majorBidi"/>
          <w:b/>
          <w:bCs/>
          <w:noProof/>
          <w:color w:val="365F91" w:themeColor="accent1" w:themeShade="BF"/>
          <w:sz w:val="40"/>
          <w:szCs w:val="40"/>
          <w:lang w:val="fr-BE" w:eastAsia="fr-BE"/>
        </w:rPr>
        <w:pict>
          <v:rect id="Rectangle 6" o:spid="_x0000_s1026" style="position:absolute;margin-left:33pt;margin-top:118.2pt;width:180.55pt;height:79.95pt;z-index:2516602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" fillcolor="#daeef3 [664]" stroked="f">
            <v:textbox style="mso-fit-shape-to-text:t">
              <w:txbxContent>
                <w:p w:rsidR="001C55F3" w:rsidRPr="00851694" w:rsidRDefault="001C55F3" w:rsidP="00851694">
                  <w:pPr>
                    <w:pStyle w:val="NormalWeb"/>
                    <w:textAlignment w:val="baseline"/>
                  </w:pPr>
                  <w:r w:rsidRPr="00851694">
                    <w:rPr>
                      <w:rFonts w:ascii="Calibri" w:hAnsi="Calibri" w:cstheme="minorBidi"/>
                      <w:b/>
                      <w:bCs/>
                      <w:color w:val="000000" w:themeColor="text1"/>
                      <w:kern w:val="24"/>
                    </w:rPr>
                    <w:t>Water retention=&gt; based on soil permeability, LULC, flood retention areas</w:t>
                  </w:r>
                </w:p>
              </w:txbxContent>
            </v:textbox>
          </v:rect>
        </w:pict>
      </w:r>
      <w:r>
        <w:rPr>
          <w:rFonts w:asciiTheme="majorHAnsi" w:eastAsiaTheme="majorEastAsia" w:hAnsiTheme="majorHAnsi" w:cstheme="majorBidi"/>
          <w:b/>
          <w:bCs/>
          <w:noProof/>
          <w:color w:val="365F91" w:themeColor="accent1" w:themeShade="BF"/>
          <w:sz w:val="40"/>
          <w:szCs w:val="40"/>
          <w:lang w:val="fr-BE" w:eastAsia="fr-BE"/>
        </w:rPr>
        <w:drawing>
          <wp:inline distT="0" distB="0" distL="0" distR="0">
            <wp:extent cx="2705100" cy="2142110"/>
            <wp:effectExtent l="0" t="0" r="0" b="0"/>
            <wp:docPr id="44045" name="Picture 4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6839" cy="2143487"/>
                    </a:xfrm>
                    <a:prstGeom prst="rect">
                      <a:avLst/>
                    </a:prstGeom>
                    <a:noFill/>
                  </pic:spPr>
                </pic:pic>
              </a:graphicData>
            </a:graphic>
          </wp:inline>
        </w:drawing>
      </w:r>
    </w:p>
    <w:p w:rsidR="001C55F3" w:rsidRDefault="001C55F3">
      <w:pPr>
        <w:rPr>
          <w:rFonts w:asciiTheme="majorHAnsi" w:eastAsiaTheme="majorEastAsia" w:hAnsiTheme="majorHAnsi" w:cstheme="majorBidi"/>
          <w:b/>
          <w:bCs/>
          <w:color w:val="365F91" w:themeColor="accent1" w:themeShade="BF"/>
          <w:sz w:val="40"/>
          <w:szCs w:val="40"/>
          <w:lang w:eastAsia="en-GB"/>
        </w:rPr>
      </w:pPr>
    </w:p>
    <w:p w:rsidR="001C55F3" w:rsidRDefault="001C55F3">
      <w:pPr>
        <w:rPr>
          <w:rFonts w:asciiTheme="majorHAnsi" w:eastAsiaTheme="majorEastAsia" w:hAnsiTheme="majorHAnsi" w:cstheme="majorBidi"/>
          <w:b/>
          <w:bCs/>
          <w:color w:val="365F91" w:themeColor="accent1" w:themeShade="BF"/>
          <w:sz w:val="40"/>
          <w:szCs w:val="40"/>
          <w:lang w:eastAsia="en-GB"/>
        </w:rPr>
      </w:pPr>
      <w:r>
        <w:rPr>
          <w:rFonts w:asciiTheme="majorHAnsi" w:eastAsiaTheme="majorEastAsia" w:hAnsiTheme="majorHAnsi" w:cstheme="majorBidi"/>
          <w:b/>
          <w:bCs/>
          <w:noProof/>
          <w:color w:val="365F91" w:themeColor="accent1" w:themeShade="BF"/>
          <w:sz w:val="40"/>
          <w:szCs w:val="40"/>
          <w:lang w:val="fr-BE" w:eastAsia="fr-BE"/>
        </w:rPr>
        <w:lastRenderedPageBreak/>
        <w:drawing>
          <wp:inline distT="0" distB="0" distL="0" distR="0">
            <wp:extent cx="2882900" cy="2924864"/>
            <wp:effectExtent l="0" t="0" r="0" b="8890"/>
            <wp:docPr id="44047" name="Picture 4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3201" cy="2925170"/>
                    </a:xfrm>
                    <a:prstGeom prst="rect">
                      <a:avLst/>
                    </a:prstGeom>
                    <a:noFill/>
                  </pic:spPr>
                </pic:pic>
              </a:graphicData>
            </a:graphic>
          </wp:inline>
        </w:drawing>
      </w:r>
    </w:p>
    <w:p w:rsidR="001C55F3" w:rsidRDefault="001C55F3" w:rsidP="00140266">
      <w:pPr>
        <w:rPr>
          <w:rFonts w:asciiTheme="majorHAnsi" w:eastAsiaTheme="majorEastAsia" w:hAnsiTheme="majorHAnsi" w:cstheme="majorBidi"/>
          <w:bCs/>
          <w:lang w:eastAsia="en-GB"/>
        </w:rPr>
      </w:pPr>
      <w:r w:rsidRPr="00140266">
        <w:rPr>
          <w:rFonts w:asciiTheme="majorHAnsi" w:eastAsiaTheme="majorEastAsia" w:hAnsiTheme="majorHAnsi" w:cstheme="majorBidi"/>
          <w:bCs/>
          <w:lang w:eastAsia="en-GB"/>
        </w:rPr>
        <w:t xml:space="preserve">Potential for regulation of surface runoff by land cover modelled, using values for rainfall pattern, slope and soil texture. </w:t>
      </w:r>
    </w:p>
    <w:p w:rsidR="001C55F3" w:rsidRDefault="001C55F3">
      <w:pPr>
        <w:rPr>
          <w:b/>
          <w:sz w:val="24"/>
          <w:szCs w:val="24"/>
          <w:u w:val="single"/>
          <w:lang w:eastAsia="en-GB"/>
        </w:rPr>
        <w:sectPr w:rsidR="001C55F3" w:rsidSect="00133049">
          <w:type w:val="continuous"/>
          <w:pgSz w:w="11906" w:h="16838" w:code="9"/>
          <w:pgMar w:top="1418" w:right="1418" w:bottom="1418" w:left="1418" w:header="709" w:footer="709" w:gutter="0"/>
          <w:cols w:num="2" w:space="708"/>
          <w:titlePg/>
          <w:docGrid w:linePitch="360"/>
        </w:sectPr>
      </w:pPr>
    </w:p>
    <w:p w:rsidR="001C55F3" w:rsidRDefault="001C55F3">
      <w:pPr>
        <w:rPr>
          <w:b/>
          <w:sz w:val="24"/>
          <w:szCs w:val="24"/>
          <w:lang w:eastAsia="en-GB"/>
        </w:rPr>
      </w:pPr>
      <w:r w:rsidRPr="00ED1BD9">
        <w:rPr>
          <w:b/>
          <w:sz w:val="24"/>
          <w:szCs w:val="24"/>
          <w:lang w:eastAsia="en-GB"/>
        </w:rPr>
        <w:lastRenderedPageBreak/>
        <w:t>Observations:</w:t>
      </w:r>
    </w:p>
    <w:p w:rsidR="001C55F3" w:rsidRDefault="001C55F3" w:rsidP="00E50705">
      <w:pPr>
        <w:spacing w:line="240" w:lineRule="auto"/>
        <w:rPr>
          <w:lang w:eastAsia="en-GB"/>
        </w:rPr>
      </w:pPr>
      <w:r w:rsidRPr="00E50705">
        <w:rPr>
          <w:lang w:eastAsia="en-GB"/>
        </w:rPr>
        <w:t>The map on the left shows an approach to represent the regulating service “water retention”, applied in the Austrian Case, where a combination of soil structure (permeability) and land use / land cover plus a special zoning scheme for flood retention areas produces a combination indicator map, which is then drawn in a series of classes based on actual calculated retention estimates.</w:t>
      </w:r>
    </w:p>
    <w:p w:rsidR="001C55F3" w:rsidRPr="00E50705" w:rsidRDefault="001C55F3" w:rsidP="00E50705">
      <w:pPr>
        <w:spacing w:line="240" w:lineRule="auto"/>
        <w:rPr>
          <w:rFonts w:asciiTheme="majorHAnsi" w:eastAsiaTheme="majorEastAsia" w:hAnsiTheme="majorHAnsi" w:cstheme="majorBidi"/>
          <w:bCs/>
          <w:color w:val="365F91" w:themeColor="accent1" w:themeShade="BF"/>
          <w:lang w:eastAsia="en-GB"/>
        </w:rPr>
      </w:pPr>
      <w:r>
        <w:rPr>
          <w:lang w:eastAsia="en-GB"/>
        </w:rPr>
        <w:t>On the right side the map shows modelled “actual” ecosystem service levels (regulation of surface runoff) by combining land cover and slope and soil texture, with rainfall patterns. The model output is represented in 3 colours reflecting 3 classes.</w:t>
      </w:r>
      <w:r w:rsidRPr="00E50705">
        <w:rPr>
          <w:rFonts w:asciiTheme="majorHAnsi" w:eastAsiaTheme="majorEastAsia" w:hAnsiTheme="majorHAnsi" w:cstheme="majorBidi"/>
          <w:bCs/>
          <w:lang w:eastAsia="en-GB"/>
        </w:rPr>
        <w:br w:type="page"/>
      </w:r>
    </w:p>
    <w:p w:rsidR="001C55F3" w:rsidRPr="00322F3D" w:rsidRDefault="001C55F3" w:rsidP="00140266">
      <w:pPr>
        <w:rPr>
          <w:rFonts w:asciiTheme="majorHAnsi" w:eastAsiaTheme="majorEastAsia" w:hAnsiTheme="majorHAnsi" w:cstheme="majorBidi"/>
          <w:b/>
          <w:bCs/>
          <w:sz w:val="24"/>
          <w:szCs w:val="24"/>
          <w:lang w:eastAsia="en-GB"/>
        </w:rPr>
      </w:pPr>
      <w:r w:rsidRPr="00322F3D">
        <w:rPr>
          <w:rFonts w:asciiTheme="majorHAnsi" w:eastAsiaTheme="majorEastAsia" w:hAnsiTheme="majorHAnsi" w:cstheme="majorBidi"/>
          <w:b/>
          <w:bCs/>
          <w:sz w:val="24"/>
          <w:szCs w:val="24"/>
          <w:lang w:eastAsia="en-GB"/>
        </w:rPr>
        <w:lastRenderedPageBreak/>
        <w:t>Habitat Services</w:t>
      </w:r>
    </w:p>
    <w:p w:rsidR="001C55F3" w:rsidRPr="00140266" w:rsidRDefault="001C55F3" w:rsidP="00140266">
      <w:pPr>
        <w:rPr>
          <w:rFonts w:asciiTheme="majorHAnsi" w:eastAsiaTheme="majorEastAsia" w:hAnsiTheme="majorHAnsi" w:cstheme="majorBidi"/>
          <w:bCs/>
          <w:lang w:eastAsia="en-GB"/>
        </w:rPr>
      </w:pPr>
      <w:r>
        <w:rPr>
          <w:rFonts w:asciiTheme="majorHAnsi" w:eastAsiaTheme="majorEastAsia" w:hAnsiTheme="majorHAnsi" w:cstheme="majorBidi"/>
          <w:bCs/>
          <w:noProof/>
          <w:lang w:val="fr-BE" w:eastAsia="fr-BE"/>
        </w:rPr>
        <w:drawing>
          <wp:inline distT="0" distB="0" distL="0" distR="0">
            <wp:extent cx="5133584" cy="4037968"/>
            <wp:effectExtent l="0" t="0" r="0" b="635"/>
            <wp:docPr id="44048" name="Picture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0639" cy="4035651"/>
                    </a:xfrm>
                    <a:prstGeom prst="rect">
                      <a:avLst/>
                    </a:prstGeom>
                    <a:noFill/>
                  </pic:spPr>
                </pic:pic>
              </a:graphicData>
            </a:graphic>
          </wp:inline>
        </w:drawing>
      </w:r>
    </w:p>
    <w:p w:rsidR="001C55F3" w:rsidRDefault="001C55F3" w:rsidP="00327800">
      <w:pPr>
        <w:spacing w:after="0" w:line="240" w:lineRule="auto"/>
        <w:rPr>
          <w:rFonts w:asciiTheme="majorHAnsi" w:eastAsiaTheme="majorEastAsia" w:hAnsiTheme="majorHAnsi" w:cstheme="majorBidi"/>
          <w:b/>
          <w:bCs/>
          <w:color w:val="365F91" w:themeColor="accent1" w:themeShade="BF"/>
          <w:lang w:eastAsia="en-GB"/>
        </w:rPr>
      </w:pPr>
      <w:r w:rsidRPr="00327800">
        <w:rPr>
          <w:rFonts w:asciiTheme="majorHAnsi" w:eastAsiaTheme="majorEastAsia" w:hAnsiTheme="majorHAnsi" w:cstheme="majorBidi"/>
          <w:b/>
          <w:bCs/>
          <w:color w:val="365F91" w:themeColor="accent1" w:themeShade="BF"/>
          <w:lang w:eastAsia="en-GB"/>
        </w:rPr>
        <w:t xml:space="preserve">Ranking based on areas &amp; species </w:t>
      </w:r>
      <w:r>
        <w:rPr>
          <w:rFonts w:asciiTheme="majorHAnsi" w:eastAsiaTheme="majorEastAsia" w:hAnsiTheme="majorHAnsi" w:cstheme="majorBidi"/>
          <w:b/>
          <w:bCs/>
          <w:color w:val="365F91" w:themeColor="accent1" w:themeShade="BF"/>
          <w:lang w:eastAsia="en-GB"/>
        </w:rPr>
        <w:t>i</w:t>
      </w:r>
      <w:r w:rsidRPr="00327800">
        <w:rPr>
          <w:rFonts w:asciiTheme="majorHAnsi" w:eastAsiaTheme="majorEastAsia" w:hAnsiTheme="majorHAnsi" w:cstheme="majorBidi"/>
          <w:b/>
          <w:bCs/>
          <w:color w:val="365F91" w:themeColor="accent1" w:themeShade="BF"/>
          <w:lang w:eastAsia="en-GB"/>
        </w:rPr>
        <w:t>nventories, migration corridors and expert judgement</w:t>
      </w:r>
    </w:p>
    <w:p w:rsidR="001C55F3" w:rsidRDefault="001C55F3">
      <w:pPr>
        <w:rPr>
          <w:rFonts w:asciiTheme="majorHAnsi" w:eastAsiaTheme="majorEastAsia" w:hAnsiTheme="majorHAnsi" w:cstheme="majorBidi"/>
          <w:b/>
          <w:bCs/>
          <w:color w:val="365F91" w:themeColor="accent1" w:themeShade="BF"/>
          <w:lang w:eastAsia="en-GB"/>
        </w:rPr>
      </w:pPr>
    </w:p>
    <w:p w:rsidR="001C55F3" w:rsidRDefault="001C55F3">
      <w:pPr>
        <w:rPr>
          <w:b/>
          <w:sz w:val="24"/>
          <w:szCs w:val="24"/>
          <w:lang w:eastAsia="en-GB"/>
        </w:rPr>
      </w:pPr>
      <w:r w:rsidRPr="00E50705">
        <w:rPr>
          <w:b/>
          <w:sz w:val="24"/>
          <w:szCs w:val="24"/>
          <w:lang w:eastAsia="en-GB"/>
        </w:rPr>
        <w:t>Observations:</w:t>
      </w:r>
    </w:p>
    <w:p w:rsidR="001C55F3" w:rsidRPr="00E50705" w:rsidRDefault="001C55F3" w:rsidP="00E50705">
      <w:pPr>
        <w:spacing w:line="240" w:lineRule="auto"/>
        <w:rPr>
          <w:rFonts w:asciiTheme="majorHAnsi" w:eastAsiaTheme="majorEastAsia" w:hAnsiTheme="majorHAnsi" w:cstheme="majorBidi"/>
          <w:bCs/>
          <w:color w:val="365F91" w:themeColor="accent1" w:themeShade="BF"/>
          <w:lang w:eastAsia="en-GB"/>
        </w:rPr>
      </w:pPr>
      <w:r w:rsidRPr="00E50705">
        <w:rPr>
          <w:lang w:eastAsia="en-GB"/>
        </w:rPr>
        <w:t>In TEEB 2010 the Habitat Service was introduced. In the Austria case a map is produced which shows nicely how (again using a ranking of data to produce classes / colours) a combination of species data (from monitoring, observations, inventories) and physical structure, together with expert judgement leads to a first approximation of a Habitat Service map. This approach illustrate the point  that this type of map (combination of different indicators and datasets) requires a clear documentation of the relative contribution of field data and expert judgement.</w:t>
      </w:r>
      <w:r w:rsidRPr="00E50705">
        <w:rPr>
          <w:rFonts w:asciiTheme="majorHAnsi" w:eastAsiaTheme="majorEastAsia" w:hAnsiTheme="majorHAnsi" w:cstheme="majorBidi"/>
          <w:bCs/>
          <w:color w:val="365F91" w:themeColor="accent1" w:themeShade="BF"/>
          <w:lang w:eastAsia="en-GB"/>
        </w:rPr>
        <w:br w:type="page"/>
      </w:r>
    </w:p>
    <w:p w:rsidR="001C55F3" w:rsidRDefault="001C55F3" w:rsidP="00327800">
      <w:pPr>
        <w:spacing w:after="0" w:line="240" w:lineRule="auto"/>
        <w:rPr>
          <w:rFonts w:asciiTheme="majorHAnsi" w:eastAsiaTheme="majorEastAsia" w:hAnsiTheme="majorHAnsi" w:cstheme="majorBidi"/>
          <w:b/>
          <w:bCs/>
          <w:sz w:val="24"/>
          <w:szCs w:val="24"/>
          <w:lang w:eastAsia="en-GB"/>
        </w:rPr>
      </w:pPr>
      <w:r w:rsidRPr="00322F3D">
        <w:rPr>
          <w:rFonts w:asciiTheme="majorHAnsi" w:eastAsiaTheme="majorEastAsia" w:hAnsiTheme="majorHAnsi" w:cstheme="majorBidi"/>
          <w:b/>
          <w:bCs/>
          <w:sz w:val="24"/>
          <w:szCs w:val="24"/>
          <w:lang w:eastAsia="en-GB"/>
        </w:rPr>
        <w:lastRenderedPageBreak/>
        <w:t>Cultural Services</w:t>
      </w:r>
    </w:p>
    <w:p w:rsidR="001C55F3" w:rsidRPr="00322F3D" w:rsidRDefault="001C55F3" w:rsidP="00327800">
      <w:pPr>
        <w:spacing w:after="0" w:line="240" w:lineRule="auto"/>
        <w:rPr>
          <w:rFonts w:asciiTheme="majorHAnsi" w:eastAsiaTheme="majorEastAsia" w:hAnsiTheme="majorHAnsi" w:cstheme="majorBidi"/>
          <w:b/>
          <w:bCs/>
          <w:sz w:val="24"/>
          <w:szCs w:val="24"/>
          <w:lang w:eastAsia="en-GB"/>
        </w:rPr>
      </w:pPr>
    </w:p>
    <w:p w:rsidR="001C55F3" w:rsidRDefault="001C55F3" w:rsidP="00327800">
      <w:pPr>
        <w:spacing w:after="0" w:line="240" w:lineRule="auto"/>
        <w:rPr>
          <w:rFonts w:asciiTheme="majorHAnsi" w:eastAsiaTheme="majorEastAsia" w:hAnsiTheme="majorHAnsi" w:cstheme="majorBidi"/>
          <w:b/>
          <w:bCs/>
          <w:color w:val="365F91" w:themeColor="accent1" w:themeShade="BF"/>
          <w:lang w:eastAsia="en-GB"/>
        </w:rPr>
        <w:sectPr w:rsidR="001C55F3" w:rsidSect="00E92A8D">
          <w:type w:val="continuous"/>
          <w:pgSz w:w="11906" w:h="16838" w:code="9"/>
          <w:pgMar w:top="1418" w:right="1418" w:bottom="1418" w:left="1418" w:header="709" w:footer="709" w:gutter="0"/>
          <w:cols w:space="708"/>
          <w:titlePg/>
          <w:docGrid w:linePitch="360"/>
        </w:sectPr>
      </w:pPr>
    </w:p>
    <w:p w:rsidR="001C55F3" w:rsidRPr="00327800" w:rsidRDefault="001C55F3" w:rsidP="00327800">
      <w:pPr>
        <w:spacing w:after="0" w:line="240" w:lineRule="auto"/>
        <w:rPr>
          <w:rFonts w:asciiTheme="majorHAnsi" w:eastAsiaTheme="majorEastAsia" w:hAnsiTheme="majorHAnsi" w:cstheme="majorBidi"/>
          <w:b/>
          <w:bCs/>
          <w:color w:val="365F91" w:themeColor="accent1" w:themeShade="BF"/>
          <w:lang w:eastAsia="en-GB"/>
        </w:rPr>
      </w:pPr>
      <w:r>
        <w:rPr>
          <w:rFonts w:asciiTheme="majorHAnsi" w:eastAsiaTheme="majorEastAsia" w:hAnsiTheme="majorHAnsi" w:cstheme="majorBidi"/>
          <w:b/>
          <w:bCs/>
          <w:noProof/>
          <w:color w:val="365F91" w:themeColor="accent1" w:themeShade="BF"/>
          <w:lang w:val="fr-BE" w:eastAsia="fr-BE"/>
        </w:rPr>
        <w:lastRenderedPageBreak/>
        <w:drawing>
          <wp:inline distT="0" distB="0" distL="0" distR="0">
            <wp:extent cx="2927710" cy="3124200"/>
            <wp:effectExtent l="0" t="0" r="6350" b="0"/>
            <wp:docPr id="44049" name="Picture 4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037" cy="3122415"/>
                    </a:xfrm>
                    <a:prstGeom prst="rect">
                      <a:avLst/>
                    </a:prstGeom>
                    <a:noFill/>
                  </pic:spPr>
                </pic:pic>
              </a:graphicData>
            </a:graphic>
          </wp:inline>
        </w:drawing>
      </w:r>
    </w:p>
    <w:p w:rsidR="001C55F3" w:rsidRDefault="001C55F3">
      <w:pPr>
        <w:rPr>
          <w:rFonts w:asciiTheme="majorHAnsi" w:eastAsiaTheme="majorEastAsia" w:hAnsiTheme="majorHAnsi" w:cstheme="majorBidi"/>
          <w:b/>
          <w:bCs/>
          <w:color w:val="365F91" w:themeColor="accent1" w:themeShade="BF"/>
          <w:sz w:val="40"/>
          <w:szCs w:val="40"/>
          <w:lang w:eastAsia="en-GB"/>
        </w:rPr>
      </w:pPr>
    </w:p>
    <w:p w:rsidR="001C55F3" w:rsidRDefault="001C55F3">
      <w:pPr>
        <w:rPr>
          <w:rFonts w:asciiTheme="majorHAnsi" w:eastAsiaTheme="majorEastAsia" w:hAnsiTheme="majorHAnsi" w:cstheme="majorBidi"/>
          <w:b/>
          <w:bCs/>
          <w:color w:val="365F91" w:themeColor="accent1" w:themeShade="BF"/>
          <w:sz w:val="40"/>
          <w:szCs w:val="40"/>
          <w:lang w:eastAsia="en-GB"/>
        </w:rPr>
      </w:pPr>
      <w:r>
        <w:rPr>
          <w:rFonts w:asciiTheme="majorHAnsi" w:eastAsiaTheme="majorEastAsia" w:hAnsiTheme="majorHAnsi" w:cstheme="majorBidi"/>
          <w:b/>
          <w:bCs/>
          <w:noProof/>
          <w:color w:val="365F91" w:themeColor="accent1" w:themeShade="BF"/>
          <w:sz w:val="40"/>
          <w:szCs w:val="40"/>
          <w:lang w:val="fr-BE" w:eastAsia="fr-BE"/>
        </w:rPr>
        <w:lastRenderedPageBreak/>
        <w:drawing>
          <wp:inline distT="0" distB="0" distL="0" distR="0">
            <wp:extent cx="2979123" cy="3581400"/>
            <wp:effectExtent l="0" t="0" r="0" b="0"/>
            <wp:docPr id="44050" name="Picture 4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5716" cy="3577305"/>
                    </a:xfrm>
                    <a:prstGeom prst="rect">
                      <a:avLst/>
                    </a:prstGeom>
                    <a:noFill/>
                  </pic:spPr>
                </pic:pic>
              </a:graphicData>
            </a:graphic>
          </wp:inline>
        </w:drawing>
      </w:r>
    </w:p>
    <w:p w:rsidR="001C55F3" w:rsidRDefault="001C55F3" w:rsidP="00322F3D">
      <w:pPr>
        <w:rPr>
          <w:b/>
          <w:sz w:val="24"/>
          <w:szCs w:val="24"/>
          <w:u w:val="single"/>
          <w:lang w:eastAsia="en-GB"/>
        </w:rPr>
        <w:sectPr w:rsidR="001C55F3" w:rsidSect="00940A59">
          <w:type w:val="continuous"/>
          <w:pgSz w:w="11906" w:h="16838" w:code="9"/>
          <w:pgMar w:top="1418" w:right="1418" w:bottom="1418" w:left="1418" w:header="709" w:footer="709" w:gutter="0"/>
          <w:cols w:num="2" w:space="708"/>
          <w:titlePg/>
          <w:docGrid w:linePitch="360"/>
        </w:sectPr>
      </w:pPr>
    </w:p>
    <w:p w:rsidR="001C55F3" w:rsidRDefault="001C55F3" w:rsidP="00322F3D">
      <w:pPr>
        <w:rPr>
          <w:b/>
          <w:sz w:val="24"/>
          <w:szCs w:val="24"/>
          <w:lang w:eastAsia="en-GB"/>
        </w:rPr>
      </w:pPr>
      <w:r w:rsidRPr="00E50705">
        <w:rPr>
          <w:b/>
          <w:sz w:val="24"/>
          <w:szCs w:val="24"/>
          <w:lang w:eastAsia="en-GB"/>
        </w:rPr>
        <w:lastRenderedPageBreak/>
        <w:t>Observations:</w:t>
      </w:r>
    </w:p>
    <w:p w:rsidR="001C55F3" w:rsidRPr="00EE5B1D" w:rsidRDefault="001C55F3" w:rsidP="00EE5B1D">
      <w:pPr>
        <w:spacing w:line="240" w:lineRule="auto"/>
        <w:rPr>
          <w:lang w:eastAsia="en-GB"/>
        </w:rPr>
      </w:pPr>
      <w:r w:rsidRPr="00EE5B1D">
        <w:rPr>
          <w:lang w:eastAsia="en-GB"/>
        </w:rPr>
        <w:t>Cultural services include many different things but most often the maps represent recreation or landscape features. The map on the left shows scenic value across Wales in different classes</w:t>
      </w:r>
    </w:p>
    <w:p w:rsidR="001C55F3" w:rsidRPr="00E50705" w:rsidRDefault="001C55F3" w:rsidP="00EE5B1D">
      <w:pPr>
        <w:spacing w:line="240" w:lineRule="auto"/>
        <w:rPr>
          <w:rFonts w:asciiTheme="majorHAnsi" w:eastAsiaTheme="majorEastAsia" w:hAnsiTheme="majorHAnsi" w:cstheme="majorBidi"/>
          <w:b/>
          <w:bCs/>
          <w:color w:val="365F91" w:themeColor="accent1" w:themeShade="BF"/>
          <w:sz w:val="24"/>
          <w:szCs w:val="24"/>
          <w:lang w:eastAsia="en-GB"/>
        </w:rPr>
      </w:pPr>
      <w:r w:rsidRPr="00EE5B1D">
        <w:rPr>
          <w:lang w:eastAsia="en-GB"/>
        </w:rPr>
        <w:t>The map on the right gives a recreation potential in ter</w:t>
      </w:r>
      <w:r>
        <w:rPr>
          <w:lang w:eastAsia="en-GB"/>
        </w:rPr>
        <w:t>m</w:t>
      </w:r>
      <w:r w:rsidRPr="00EE5B1D">
        <w:rPr>
          <w:lang w:eastAsia="en-GB"/>
        </w:rPr>
        <w:t>s of legal access. Such maps are especially relevant for the valuation of ecosystem services analysis, to be done at a later stage.</w:t>
      </w:r>
      <w:r w:rsidRPr="00E50705">
        <w:rPr>
          <w:b/>
          <w:sz w:val="24"/>
          <w:szCs w:val="24"/>
          <w:lang w:eastAsia="en-GB"/>
        </w:rPr>
        <w:br w:type="page"/>
      </w:r>
    </w:p>
    <w:p w:rsidR="001C55F3" w:rsidRDefault="001C55F3">
      <w:pPr>
        <w:rPr>
          <w:rFonts w:asciiTheme="majorHAnsi" w:eastAsiaTheme="majorEastAsia" w:hAnsiTheme="majorHAnsi" w:cstheme="majorBidi"/>
          <w:b/>
          <w:bCs/>
          <w:color w:val="365F91" w:themeColor="accent1" w:themeShade="BF"/>
          <w:sz w:val="40"/>
          <w:szCs w:val="40"/>
          <w:lang w:eastAsia="en-GB"/>
        </w:rPr>
      </w:pPr>
      <w:r>
        <w:rPr>
          <w:rFonts w:asciiTheme="majorHAnsi" w:eastAsiaTheme="majorEastAsia" w:hAnsiTheme="majorHAnsi" w:cstheme="majorBidi"/>
          <w:b/>
          <w:bCs/>
          <w:noProof/>
          <w:color w:val="365F91" w:themeColor="accent1" w:themeShade="BF"/>
          <w:sz w:val="40"/>
          <w:szCs w:val="40"/>
          <w:lang w:val="fr-BE" w:eastAsia="fr-BE"/>
        </w:rPr>
        <w:lastRenderedPageBreak/>
        <w:drawing>
          <wp:inline distT="0" distB="0" distL="0" distR="0">
            <wp:extent cx="5583382" cy="4700633"/>
            <wp:effectExtent l="0" t="0" r="0" b="5080"/>
            <wp:docPr id="44051" name="Picture 4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1966" cy="4699441"/>
                    </a:xfrm>
                    <a:prstGeom prst="rect">
                      <a:avLst/>
                    </a:prstGeom>
                    <a:noFill/>
                  </pic:spPr>
                </pic:pic>
              </a:graphicData>
            </a:graphic>
          </wp:inline>
        </w:drawing>
      </w:r>
    </w:p>
    <w:p w:rsidR="001C55F3" w:rsidRPr="005A5F79" w:rsidRDefault="001C55F3" w:rsidP="00322F3D">
      <w:pPr>
        <w:rPr>
          <w:b/>
          <w:sz w:val="24"/>
          <w:szCs w:val="24"/>
          <w:lang w:eastAsia="en-GB"/>
        </w:rPr>
      </w:pPr>
      <w:r w:rsidRPr="005A5F79">
        <w:rPr>
          <w:b/>
          <w:sz w:val="24"/>
          <w:szCs w:val="24"/>
          <w:lang w:eastAsia="en-GB"/>
        </w:rPr>
        <w:t>Observations:</w:t>
      </w:r>
    </w:p>
    <w:p w:rsidR="001C55F3" w:rsidRPr="005A5F79" w:rsidRDefault="001C55F3" w:rsidP="005A5F79">
      <w:pPr>
        <w:spacing w:line="240" w:lineRule="auto"/>
        <w:rPr>
          <w:rFonts w:asciiTheme="majorHAnsi" w:eastAsiaTheme="majorEastAsia" w:hAnsiTheme="majorHAnsi" w:cstheme="majorBidi"/>
          <w:bCs/>
          <w:color w:val="365F91" w:themeColor="accent1" w:themeShade="BF"/>
          <w:lang w:eastAsia="en-GB"/>
        </w:rPr>
      </w:pPr>
      <w:r w:rsidRPr="005A5F79">
        <w:rPr>
          <w:lang w:eastAsia="en-GB"/>
        </w:rPr>
        <w:t xml:space="preserve">The map above shows very specific location data on people using the beach (actual recreation service) combined with a potential recreation indicator, the number of available harbour places. </w:t>
      </w:r>
      <w:r>
        <w:rPr>
          <w:lang w:eastAsia="en-GB"/>
        </w:rPr>
        <w:t>Such maps can be transformed into maps that look like the ranges maps (in fact the size of the circles are already classes), by smoothing the data of point locations to regional levels.</w:t>
      </w:r>
      <w:r w:rsidRPr="005A5F79">
        <w:rPr>
          <w:lang w:eastAsia="en-GB"/>
        </w:rPr>
        <w:br w:type="page"/>
      </w:r>
    </w:p>
    <w:p w:rsidR="001C55F3" w:rsidRPr="00C33BFB" w:rsidRDefault="001C55F3">
      <w:pPr>
        <w:rPr>
          <w:rFonts w:asciiTheme="majorHAnsi" w:eastAsiaTheme="majorEastAsia" w:hAnsiTheme="majorHAnsi" w:cstheme="majorBidi"/>
          <w:b/>
          <w:bCs/>
          <w:color w:val="365F91" w:themeColor="accent1" w:themeShade="BF"/>
          <w:sz w:val="40"/>
          <w:szCs w:val="40"/>
          <w:lang w:eastAsia="en-GB"/>
        </w:rPr>
      </w:pPr>
      <w:r>
        <w:rPr>
          <w:rFonts w:asciiTheme="majorHAnsi" w:eastAsiaTheme="majorEastAsia" w:hAnsiTheme="majorHAnsi" w:cstheme="majorBidi"/>
          <w:b/>
          <w:bCs/>
          <w:noProof/>
          <w:color w:val="365F91" w:themeColor="accent1" w:themeShade="BF"/>
          <w:sz w:val="40"/>
          <w:szCs w:val="40"/>
          <w:lang w:val="fr-BE" w:eastAsia="fr-BE"/>
        </w:rPr>
        <w:lastRenderedPageBreak/>
        <w:drawing>
          <wp:inline distT="0" distB="0" distL="0" distR="0">
            <wp:extent cx="5299364" cy="3966233"/>
            <wp:effectExtent l="0" t="0" r="0" b="0"/>
            <wp:docPr id="44053" name="Picture 4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8761" cy="3965782"/>
                    </a:xfrm>
                    <a:prstGeom prst="rect">
                      <a:avLst/>
                    </a:prstGeom>
                    <a:noFill/>
                  </pic:spPr>
                </pic:pic>
              </a:graphicData>
            </a:graphic>
          </wp:inline>
        </w:drawing>
      </w:r>
    </w:p>
    <w:p w:rsidR="001C55F3" w:rsidRDefault="001C55F3">
      <w:pPr>
        <w:rPr>
          <w:b/>
          <w:sz w:val="24"/>
          <w:szCs w:val="24"/>
          <w:lang w:eastAsia="en-GB"/>
        </w:rPr>
      </w:pPr>
      <w:r w:rsidRPr="005A5F79">
        <w:rPr>
          <w:b/>
          <w:sz w:val="24"/>
          <w:szCs w:val="24"/>
          <w:lang w:eastAsia="en-GB"/>
        </w:rPr>
        <w:t>Observations:</w:t>
      </w:r>
    </w:p>
    <w:p w:rsidR="001C55F3" w:rsidRPr="005A5F79" w:rsidRDefault="001C55F3" w:rsidP="005A5F79">
      <w:pPr>
        <w:spacing w:line="240" w:lineRule="auto"/>
        <w:rPr>
          <w:lang w:eastAsia="en-GB"/>
        </w:rPr>
      </w:pPr>
      <w:r w:rsidRPr="005A5F79">
        <w:rPr>
          <w:lang w:eastAsia="en-GB"/>
        </w:rPr>
        <w:t>The last map in this series of illustrative examples, illustrates (1) the important feature of “bundles”of ecosystems, as compared to most of the previous maps which show a single service spatial distribution, and (2) a priority ranking within the bundels, which is indicating the “valuation” through some political process.</w:t>
      </w:r>
    </w:p>
    <w:p w:rsidR="001C55F3" w:rsidRPr="005A5F79" w:rsidRDefault="001C55F3" w:rsidP="005A5F79">
      <w:pPr>
        <w:spacing w:line="240" w:lineRule="auto"/>
        <w:rPr>
          <w:rFonts w:asciiTheme="majorHAnsi" w:eastAsiaTheme="majorEastAsia" w:hAnsiTheme="majorHAnsi" w:cstheme="majorBidi"/>
          <w:b/>
          <w:bCs/>
          <w:color w:val="365F91" w:themeColor="accent1" w:themeShade="BF"/>
          <w:sz w:val="24"/>
          <w:szCs w:val="24"/>
          <w:lang w:eastAsia="en-GB"/>
        </w:rPr>
      </w:pPr>
      <w:r w:rsidRPr="005A5F79">
        <w:rPr>
          <w:lang w:eastAsia="en-GB"/>
        </w:rPr>
        <w:t>Some of the mapped forest areas in this Swiss case study have a top priority for avalanche protection, and other services are “synergistic”. In those areas wimber production may happen by some selective harvesting but never by clear felling. Areas without risk can be top priority for recreation. Carbon sequestration is always synergistic, but loses relevance when timber is taken away.</w:t>
      </w:r>
      <w:r w:rsidRPr="005A5F79">
        <w:rPr>
          <w:b/>
          <w:sz w:val="24"/>
          <w:szCs w:val="24"/>
          <w:lang w:eastAsia="en-GB"/>
        </w:rPr>
        <w:br w:type="page"/>
      </w:r>
    </w:p>
    <w:p w:rsidR="001C55F3" w:rsidRPr="008C0FD1" w:rsidRDefault="001C55F3" w:rsidP="001C55F3">
      <w:pPr>
        <w:pStyle w:val="Titre2"/>
      </w:pPr>
      <w:bookmarkStart w:id="17" w:name="_Toc358300096"/>
      <w:r>
        <w:lastRenderedPageBreak/>
        <w:t>3.5.3</w:t>
      </w:r>
      <w:r>
        <w:tab/>
      </w:r>
      <w:r w:rsidRPr="008C0FD1">
        <w:t>Comparison of the distinct approaches</w:t>
      </w:r>
      <w:bookmarkEnd w:id="17"/>
      <w:r w:rsidRPr="008C0FD1">
        <w:t xml:space="preserve"> from the country cases</w:t>
      </w:r>
    </w:p>
    <w:p w:rsidR="001C55F3" w:rsidRDefault="001C55F3" w:rsidP="00D1100D">
      <w:pPr>
        <w:tabs>
          <w:tab w:val="right" w:pos="9072"/>
        </w:tabs>
        <w:spacing w:after="0" w:line="240" w:lineRule="auto"/>
        <w:jc w:val="both"/>
      </w:pPr>
    </w:p>
    <w:p w:rsidR="001C55F3" w:rsidRPr="00D22AFA" w:rsidRDefault="001C55F3" w:rsidP="00D1100D">
      <w:pPr>
        <w:tabs>
          <w:tab w:val="right" w:pos="9072"/>
        </w:tabs>
        <w:spacing w:after="0" w:line="240" w:lineRule="auto"/>
        <w:jc w:val="both"/>
      </w:pPr>
      <w:r w:rsidRPr="00D22AFA">
        <w:t xml:space="preserve">Two main types of assessments can be distinguished: a so called qualitative approach, based on expert judgement, and a quantitative one. Each is discussed by highlighting the advantages of the method followed by a review of the disadvantages. The discussion is based on recent literature, the expert’s judgment provided during the MESEU workshop March 2013 in Brussels (referred as personal comments) and on the peer-review provided by the various country cases (referred as personal comments). </w:t>
      </w:r>
    </w:p>
    <w:p w:rsidR="001C55F3" w:rsidRPr="00D22AFA" w:rsidRDefault="001C55F3" w:rsidP="00D1100D">
      <w:pPr>
        <w:pStyle w:val="Titre3"/>
        <w:spacing w:after="0"/>
        <w:rPr>
          <w:rFonts w:asciiTheme="minorHAnsi" w:hAnsiTheme="minorHAnsi"/>
          <w:sz w:val="22"/>
          <w:szCs w:val="22"/>
        </w:rPr>
      </w:pPr>
      <w:bookmarkStart w:id="18" w:name="_Toc357018613"/>
      <w:bookmarkStart w:id="19" w:name="_Toc358300097"/>
      <w:r w:rsidRPr="00D22AFA">
        <w:rPr>
          <w:rFonts w:asciiTheme="minorHAnsi" w:hAnsiTheme="minorHAnsi"/>
          <w:sz w:val="22"/>
          <w:szCs w:val="22"/>
        </w:rPr>
        <w:t>The experts judgment  approach</w:t>
      </w:r>
      <w:bookmarkEnd w:id="18"/>
      <w:bookmarkEnd w:id="19"/>
    </w:p>
    <w:p w:rsidR="001C55F3" w:rsidRDefault="001C55F3" w:rsidP="00D1100D">
      <w:pPr>
        <w:tabs>
          <w:tab w:val="right" w:pos="9072"/>
        </w:tabs>
        <w:spacing w:after="0" w:line="240" w:lineRule="auto"/>
        <w:jc w:val="both"/>
      </w:pPr>
      <w:r w:rsidRPr="00D22AFA">
        <w:t>Wallonia and Flanders II both utilized the method suggested by Burkard</w:t>
      </w:r>
      <w:r w:rsidRPr="00D22AFA">
        <w:rPr>
          <w:i/>
        </w:rPr>
        <w:t>et al.</w:t>
      </w:r>
      <w:r w:rsidRPr="00D22AFA">
        <w:t xml:space="preserve"> (2009) which is similar to Austria, Switzerland (Global) and the “identification”  step of Flanders I as they all rely on experts’ judgments. Despite all relying on qualitative scoring, a distinction can be made between those relying on qualitative indicators only (a: Wallonia, Flanders II and Switzerland (Global)) and those relying on partly quantified indicators (b: Austria a</w:t>
      </w:r>
      <w:r>
        <w:t>nd Flanders I (identification).</w:t>
      </w:r>
    </w:p>
    <w:p w:rsidR="001C55F3" w:rsidRPr="00D22AFA" w:rsidRDefault="001C55F3" w:rsidP="00D1100D">
      <w:pPr>
        <w:tabs>
          <w:tab w:val="right" w:pos="9072"/>
        </w:tabs>
        <w:spacing w:after="0" w:line="240" w:lineRule="auto"/>
        <w:jc w:val="both"/>
      </w:pPr>
    </w:p>
    <w:p w:rsidR="001C55F3" w:rsidRPr="00D22AFA" w:rsidRDefault="001C55F3" w:rsidP="00622218">
      <w:pPr>
        <w:pStyle w:val="Paragraphedeliste"/>
        <w:numPr>
          <w:ilvl w:val="0"/>
          <w:numId w:val="71"/>
        </w:numPr>
        <w:tabs>
          <w:tab w:val="right" w:pos="9072"/>
        </w:tabs>
        <w:spacing w:after="0" w:line="240" w:lineRule="auto"/>
        <w:jc w:val="both"/>
        <w:rPr>
          <w:rFonts w:cs="Times New Roman"/>
          <w:b/>
          <w:u w:val="single"/>
        </w:rPr>
      </w:pPr>
      <w:r w:rsidRPr="00D22AFA">
        <w:rPr>
          <w:rFonts w:cs="Times New Roman"/>
          <w:b/>
          <w:u w:val="single"/>
        </w:rPr>
        <w:t>Qualitative indicators</w:t>
      </w:r>
    </w:p>
    <w:p w:rsidR="001C55F3" w:rsidRPr="00D22AFA" w:rsidRDefault="001C55F3" w:rsidP="00D1100D">
      <w:pPr>
        <w:tabs>
          <w:tab w:val="right" w:pos="9072"/>
        </w:tabs>
        <w:spacing w:after="0" w:line="240" w:lineRule="auto"/>
        <w:jc w:val="both"/>
      </w:pPr>
      <w:r w:rsidRPr="00D22AFA">
        <w:t>The Burkhard method, applied by Wallonia and Flanders II, offers a fast and simple way to provide maps including a large range of ES and is accessible to all countries no matter their stage of advancement in terms of data and ES assessment technologies (Eigenbrod</w:t>
      </w:r>
      <w:r w:rsidRPr="00D22AFA">
        <w:rPr>
          <w:i/>
        </w:rPr>
        <w:t>et al.</w:t>
      </w:r>
      <w:r w:rsidRPr="00D22AFA">
        <w:t xml:space="preserve"> 2010). Consequently, this method is the most common approach (Schägner</w:t>
      </w:r>
      <w:r w:rsidRPr="00D22AFA">
        <w:rPr>
          <w:i/>
        </w:rPr>
        <w:t>et al.</w:t>
      </w:r>
      <w:r w:rsidRPr="00D22AFA">
        <w:t xml:space="preserve"> in press, Götzl</w:t>
      </w:r>
      <w:r w:rsidRPr="00D22AFA">
        <w:rPr>
          <w:i/>
        </w:rPr>
        <w:t>et al.</w:t>
      </w:r>
      <w:r w:rsidRPr="00D22AFA">
        <w:t xml:space="preserve"> 2012). Such advantages highlight the relevance of this approach to reach the target of 2014 of the Biodiversity Strategy. In Belgium for instance, since both regions have used this same approach, the assessments could in principle be joined, after some adjustments, to provide a national evaluation (T. van Daele, personal comment). This method provides insight into potential areas providing many ES and areas poor in ES over large areas to facilitate communication over the ES (Raquez and Dendoncker 2013). It is appropriate to estimate some ES which are less subject to spatial variation (e.g. agriculture) or to give an overall value of a broad area (Schägner</w:t>
      </w:r>
      <w:r w:rsidRPr="00D22AFA">
        <w:rPr>
          <w:i/>
        </w:rPr>
        <w:t>et al.</w:t>
      </w:r>
      <w:r w:rsidRPr="00D22AFA">
        <w:t xml:space="preserve"> in press, Maes </w:t>
      </w:r>
      <w:r w:rsidRPr="00D22AFA">
        <w:rPr>
          <w:i/>
        </w:rPr>
        <w:t>et al.</w:t>
      </w:r>
      <w:r w:rsidRPr="00D22AFA">
        <w:t xml:space="preserve"> 2011a).</w:t>
      </w:r>
    </w:p>
    <w:p w:rsidR="001C55F3" w:rsidRPr="00D22AFA" w:rsidRDefault="001C55F3" w:rsidP="00D1100D">
      <w:pPr>
        <w:spacing w:after="0" w:line="240" w:lineRule="auto"/>
        <w:jc w:val="both"/>
      </w:pPr>
      <w:r w:rsidRPr="00D22AFA">
        <w:t xml:space="preserve">This approach has however considerable drawbacks. The large potential of errors encountered when applying such proxy-based approach is widely acknowledged in the literature (Egoh </w:t>
      </w:r>
      <w:r w:rsidRPr="00D22AFA">
        <w:rPr>
          <w:i/>
        </w:rPr>
        <w:t>et al.</w:t>
      </w:r>
      <w:r w:rsidRPr="00D22AFA">
        <w:t xml:space="preserve"> 2012, Eigenbord</w:t>
      </w:r>
      <w:r w:rsidRPr="00D22AFA">
        <w:rPr>
          <w:i/>
        </w:rPr>
        <w:t>et al.</w:t>
      </w:r>
      <w:r w:rsidRPr="00D22AFA">
        <w:t xml:space="preserve"> 2010). </w:t>
      </w:r>
    </w:p>
    <w:p w:rsidR="001C55F3" w:rsidRPr="00D22AFA" w:rsidRDefault="001C55F3" w:rsidP="00622218">
      <w:pPr>
        <w:pStyle w:val="Paragraphedeliste"/>
        <w:numPr>
          <w:ilvl w:val="0"/>
          <w:numId w:val="72"/>
        </w:numPr>
        <w:spacing w:after="0" w:line="240" w:lineRule="auto"/>
        <w:ind w:left="567" w:hanging="567"/>
        <w:jc w:val="both"/>
      </w:pPr>
      <w:r w:rsidRPr="00D22AFA">
        <w:t>Firstly, the qualitative valuation is prone to subjectivity, since experts score the ES potential based on their experience and opinion rather than on a clear list of indicators (Schröter</w:t>
      </w:r>
      <w:r w:rsidRPr="00D22AFA">
        <w:rPr>
          <w:i/>
        </w:rPr>
        <w:t>et al.</w:t>
      </w:r>
      <w:r w:rsidRPr="00D22AFA">
        <w:t xml:space="preserve"> 2012; A. Grêt-Regamey 2013, personal comment). The group of experts in charge of the scoring should be at least as large as possible and should represent a large range of expertise in order to increase the relative importance of the outcome. </w:t>
      </w:r>
    </w:p>
    <w:p w:rsidR="001C55F3" w:rsidRPr="00D22AFA" w:rsidRDefault="001C55F3" w:rsidP="00622218">
      <w:pPr>
        <w:pStyle w:val="Paragraphedeliste"/>
        <w:numPr>
          <w:ilvl w:val="0"/>
          <w:numId w:val="72"/>
        </w:numPr>
        <w:spacing w:after="0" w:line="240" w:lineRule="auto"/>
        <w:ind w:left="567" w:hanging="567"/>
        <w:jc w:val="both"/>
      </w:pPr>
      <w:r w:rsidRPr="00D22AFA">
        <w:t xml:space="preserve">Moreover, the lack of transparency hampers scientific tracing of the evaluation and makes the exercise irreproducible (L. Braat 2013, personal comment; A. Grêt-Regamey 2013, personal comment). The need for reproducible indicators is one of the main outcomes of Anton </w:t>
      </w:r>
      <w:r w:rsidRPr="00D22AFA">
        <w:rPr>
          <w:i/>
        </w:rPr>
        <w:t>et al.</w:t>
      </w:r>
      <w:r w:rsidRPr="00D22AFA">
        <w:t xml:space="preserve"> (2010) who surveyed the recommendations formulated by experts in workshops and conferences. </w:t>
      </w:r>
    </w:p>
    <w:p w:rsidR="001C55F3" w:rsidRPr="00D22AFA" w:rsidRDefault="001C55F3" w:rsidP="00622218">
      <w:pPr>
        <w:pStyle w:val="Paragraphedeliste"/>
        <w:numPr>
          <w:ilvl w:val="0"/>
          <w:numId w:val="72"/>
        </w:numPr>
        <w:spacing w:after="0" w:line="240" w:lineRule="auto"/>
        <w:ind w:left="567" w:hanging="567"/>
        <w:jc w:val="both"/>
      </w:pPr>
      <w:r w:rsidRPr="00D22AFA">
        <w:t>In addition, the method is a rough simplification since several aspects are not taken into account such as the spatial differences in terms of biochemical and management properties of the parcel, temporal changes and the social demand. The spatial and temporal variations as well as the social demand are known to play a major role in the ES potential (Schägner</w:t>
      </w:r>
      <w:r w:rsidRPr="00D22AFA">
        <w:rPr>
          <w:i/>
        </w:rPr>
        <w:t>et al.</w:t>
      </w:r>
      <w:r w:rsidRPr="00D22AFA">
        <w:t xml:space="preserve"> in press, Burkhard </w:t>
      </w:r>
      <w:r w:rsidRPr="00D22AFA">
        <w:rPr>
          <w:i/>
        </w:rPr>
        <w:t>et al.</w:t>
      </w:r>
      <w:r w:rsidRPr="00D22AFA">
        <w:t xml:space="preserve"> in press, Kandziora</w:t>
      </w:r>
      <w:r w:rsidRPr="00D22AFA">
        <w:rPr>
          <w:i/>
        </w:rPr>
        <w:t>et al.</w:t>
      </w:r>
      <w:r w:rsidRPr="00D22AFA">
        <w:t xml:space="preserve"> in press). The simplification is even greater when relying on coarse base maps such as Corine Land Cover (Götzl</w:t>
      </w:r>
      <w:r w:rsidRPr="00D22AFA">
        <w:rPr>
          <w:i/>
        </w:rPr>
        <w:t>et al.</w:t>
      </w:r>
      <w:r w:rsidRPr="00D22AFA">
        <w:t xml:space="preserve"> 2012). </w:t>
      </w:r>
    </w:p>
    <w:p w:rsidR="001C55F3" w:rsidRPr="00D22AFA" w:rsidRDefault="001C55F3" w:rsidP="00622218">
      <w:pPr>
        <w:pStyle w:val="Paragraphedeliste"/>
        <w:numPr>
          <w:ilvl w:val="0"/>
          <w:numId w:val="72"/>
        </w:numPr>
        <w:spacing w:after="0" w:line="240" w:lineRule="auto"/>
        <w:ind w:left="567" w:hanging="567"/>
        <w:jc w:val="both"/>
      </w:pPr>
      <w:r w:rsidRPr="00D22AFA">
        <w:t>Another shortcoming is the grouping of many ES together assuming that all ES have similar values and unit, which represents a notable simplification (Raquez P. and Dendoncker N. 2013, Schägner</w:t>
      </w:r>
      <w:r w:rsidRPr="00D22AFA">
        <w:rPr>
          <w:i/>
        </w:rPr>
        <w:t>et al.</w:t>
      </w:r>
      <w:r w:rsidRPr="00D22AFA">
        <w:t xml:space="preserve"> in press, Eigenbrod</w:t>
      </w:r>
      <w:r w:rsidRPr="00D22AFA">
        <w:rPr>
          <w:i/>
        </w:rPr>
        <w:t>et al.</w:t>
      </w:r>
      <w:r w:rsidRPr="00D22AFA">
        <w:t xml:space="preserve"> 2010). </w:t>
      </w:r>
    </w:p>
    <w:p w:rsidR="001C55F3" w:rsidRPr="00D22AFA" w:rsidRDefault="001C55F3" w:rsidP="00622218">
      <w:pPr>
        <w:pStyle w:val="Paragraphedeliste"/>
        <w:numPr>
          <w:ilvl w:val="0"/>
          <w:numId w:val="72"/>
        </w:numPr>
        <w:spacing w:after="0" w:line="240" w:lineRule="auto"/>
        <w:ind w:left="567" w:hanging="567"/>
        <w:jc w:val="both"/>
      </w:pPr>
      <w:r w:rsidRPr="00D22AFA">
        <w:lastRenderedPageBreak/>
        <w:t xml:space="preserve">Furthermore, such a method assesses ecosystem functions or potential services rather than actual ecosystem services. </w:t>
      </w:r>
    </w:p>
    <w:p w:rsidR="001C55F3" w:rsidRPr="00D22AFA" w:rsidRDefault="001C55F3" w:rsidP="00622218">
      <w:pPr>
        <w:pStyle w:val="Paragraphedeliste"/>
        <w:numPr>
          <w:ilvl w:val="0"/>
          <w:numId w:val="72"/>
        </w:numPr>
        <w:spacing w:after="0" w:line="240" w:lineRule="auto"/>
        <w:ind w:left="567" w:hanging="567"/>
        <w:jc w:val="both"/>
      </w:pPr>
      <w:r w:rsidRPr="00D22AFA">
        <w:t>Finally, this mapping technique does not consider the rivalry between the ES. The delivery of one ES can result in a lower potential of that same ES or another elsewhere (Schröter</w:t>
      </w:r>
      <w:r w:rsidRPr="00D22AFA">
        <w:rPr>
          <w:i/>
        </w:rPr>
        <w:t>et al.</w:t>
      </w:r>
      <w:r w:rsidRPr="00D22AFA">
        <w:t xml:space="preserve"> 2012). </w:t>
      </w:r>
    </w:p>
    <w:p w:rsidR="001C55F3" w:rsidRDefault="001C55F3" w:rsidP="00D1100D">
      <w:pPr>
        <w:autoSpaceDE w:val="0"/>
        <w:autoSpaceDN w:val="0"/>
        <w:adjustRightInd w:val="0"/>
        <w:spacing w:after="0" w:line="240" w:lineRule="auto"/>
        <w:jc w:val="both"/>
      </w:pPr>
    </w:p>
    <w:p w:rsidR="001C55F3" w:rsidRPr="00D22AFA" w:rsidRDefault="001C55F3" w:rsidP="00D1100D">
      <w:pPr>
        <w:autoSpaceDE w:val="0"/>
        <w:autoSpaceDN w:val="0"/>
        <w:adjustRightInd w:val="0"/>
        <w:spacing w:after="0" w:line="240" w:lineRule="auto"/>
        <w:jc w:val="both"/>
      </w:pPr>
      <w:r w:rsidRPr="00D22AFA">
        <w:t xml:space="preserve">Seeing the aforementioned limitations, it appears evident that this approach should not be utilized if aiming at an accurate ES-potential-delivery assessment. This method is suitable for research aiming at providing </w:t>
      </w:r>
      <w:r w:rsidRPr="00D22AFA">
        <w:rPr>
          <w:i/>
        </w:rPr>
        <w:t>insight</w:t>
      </w:r>
      <w:r w:rsidRPr="00D22AFA">
        <w:t xml:space="preserve"> into the </w:t>
      </w:r>
      <w:r w:rsidRPr="00D22AFA">
        <w:rPr>
          <w:i/>
        </w:rPr>
        <w:t>potential</w:t>
      </w:r>
      <w:r w:rsidRPr="00D22AFA">
        <w:t xml:space="preserve"> level of ES delivery per areas. It suggests an estimation of the available stocks and is therefore neither including the actual flow of ES nor the demand of ES (Götzl</w:t>
      </w:r>
      <w:r w:rsidRPr="00D22AFA">
        <w:rPr>
          <w:i/>
        </w:rPr>
        <w:t>et al.</w:t>
      </w:r>
      <w:r w:rsidRPr="00D22AFA">
        <w:t xml:space="preserve"> 2012). Qualitative results should be restricted to awareness rising in countries lacking data for quantitative assessments (Götzl</w:t>
      </w:r>
      <w:r w:rsidRPr="00D22AFA">
        <w:rPr>
          <w:i/>
        </w:rPr>
        <w:t>et al.</w:t>
      </w:r>
      <w:r w:rsidRPr="00D22AFA">
        <w:t xml:space="preserve"> 2012). A next step of such method should include extra experts’ judgments, quantitative validation and the beneficiaries’ representation.</w:t>
      </w:r>
    </w:p>
    <w:p w:rsidR="001C55F3" w:rsidRPr="00D22AFA" w:rsidRDefault="001C55F3" w:rsidP="00D1100D">
      <w:pPr>
        <w:autoSpaceDE w:val="0"/>
        <w:autoSpaceDN w:val="0"/>
        <w:adjustRightInd w:val="0"/>
        <w:spacing w:after="0" w:line="240" w:lineRule="auto"/>
        <w:jc w:val="both"/>
        <w:rPr>
          <w:highlight w:val="yellow"/>
        </w:rPr>
      </w:pPr>
    </w:p>
    <w:p w:rsidR="001C55F3" w:rsidRDefault="001C55F3" w:rsidP="00D1100D">
      <w:pPr>
        <w:tabs>
          <w:tab w:val="right" w:pos="9072"/>
        </w:tabs>
        <w:spacing w:after="0" w:line="240" w:lineRule="auto"/>
        <w:jc w:val="both"/>
      </w:pPr>
      <w:r w:rsidRPr="00D22AFA">
        <w:t>The Switzerland (Global) case, directly inspired by Kienast</w:t>
      </w:r>
      <w:r w:rsidRPr="00D22AFA">
        <w:rPr>
          <w:i/>
        </w:rPr>
        <w:t>et al.</w:t>
      </w:r>
      <w:r w:rsidRPr="00D22AFA">
        <w:t xml:space="preserve"> (2009) represents an added value by considering slope and elevation as extra indicator from land cover and by integrating the demand (Götzl</w:t>
      </w:r>
      <w:r w:rsidRPr="00D22AFA">
        <w:rPr>
          <w:i/>
        </w:rPr>
        <w:t>et al.</w:t>
      </w:r>
      <w:r w:rsidRPr="00D22AFA">
        <w:t xml:space="preserve"> 2012). The demand side is integrated based on Burkhard </w:t>
      </w:r>
      <w:r w:rsidRPr="00D22AFA">
        <w:rPr>
          <w:i/>
        </w:rPr>
        <w:t>et al.</w:t>
      </w:r>
      <w:r w:rsidRPr="00D22AFA">
        <w:t xml:space="preserve"> (2012) by relying on the proxy ‘population density’. Despite these two major added-values, the scoring being binary (1=existing potential to ES delivery or 0=non existing potential) rather than a five-level scoring keeps the estimation rather rough. Additionally, the inaccuracies mentioned for the Burkhard metho</w:t>
      </w:r>
      <w:r>
        <w:t>d also apply to this technique.</w:t>
      </w:r>
    </w:p>
    <w:p w:rsidR="001C55F3" w:rsidRPr="00D22AFA" w:rsidRDefault="001C55F3" w:rsidP="00D1100D">
      <w:pPr>
        <w:tabs>
          <w:tab w:val="right" w:pos="9072"/>
        </w:tabs>
        <w:spacing w:after="0" w:line="240" w:lineRule="auto"/>
        <w:jc w:val="both"/>
      </w:pPr>
    </w:p>
    <w:p w:rsidR="001C55F3" w:rsidRPr="00D22AFA" w:rsidRDefault="001C55F3" w:rsidP="00622218">
      <w:pPr>
        <w:pStyle w:val="Paragraphedeliste"/>
        <w:numPr>
          <w:ilvl w:val="0"/>
          <w:numId w:val="71"/>
        </w:numPr>
        <w:tabs>
          <w:tab w:val="right" w:pos="9072"/>
        </w:tabs>
        <w:spacing w:after="0" w:line="240" w:lineRule="auto"/>
        <w:jc w:val="both"/>
        <w:rPr>
          <w:rFonts w:cs="Times New Roman"/>
          <w:b/>
          <w:u w:val="single"/>
        </w:rPr>
      </w:pPr>
      <w:r w:rsidRPr="00D22AFA">
        <w:rPr>
          <w:rFonts w:cs="Times New Roman"/>
          <w:b/>
          <w:u w:val="single"/>
        </w:rPr>
        <w:t>Partially quantitative indicators</w:t>
      </w:r>
    </w:p>
    <w:p w:rsidR="001C55F3" w:rsidRPr="00D22AFA" w:rsidRDefault="001C55F3" w:rsidP="00D1100D">
      <w:pPr>
        <w:tabs>
          <w:tab w:val="right" w:pos="9072"/>
        </w:tabs>
        <w:spacing w:after="0" w:line="240" w:lineRule="auto"/>
        <w:jc w:val="both"/>
      </w:pPr>
      <w:r w:rsidRPr="00D22AFA">
        <w:t>The mapping in the Austrian case and the identification step of Flanders I, offer real added-values to the methodology of Burkhard while remaining easily implementable. The approach leans on a clear list of indicators and some quantitative data for the scoring. Having a clear list of indicators decreases the chance of subjectivity and allows for transparency. When data is available, the indicator is quantified, increasing the accuracy. In a next step, scores are attributed either directly or by means of decision matrices. The method also allows for reproducibility allowing the exercise to be carried out at different time spans. These advancements overcome the main limitations of Burkhard’s method. Although the method shows improvements compared to a fully qualitative approach, some limitations are to be kept in mind. As for the Burkhard method, the assessment is restricted to the potential to deliver ES rather than providing an estimation of the actual stock or use by human. Moreover, a problem is often encountered from the different spatial resolutions of the available data which have to be aggregated or disaggregated the target grid cell (Peterseil, J. 2013, personnal comment</w:t>
      </w:r>
      <w:r w:rsidRPr="00D22AFA">
        <w:rPr>
          <w:i/>
        </w:rPr>
        <w:t>)</w:t>
      </w:r>
      <w:r w:rsidRPr="00D22AFA">
        <w:t xml:space="preserve">. </w:t>
      </w:r>
    </w:p>
    <w:p w:rsidR="001C55F3" w:rsidRPr="00D22AFA" w:rsidRDefault="001C55F3" w:rsidP="00D1100D">
      <w:pPr>
        <w:pStyle w:val="Titre3"/>
        <w:spacing w:after="0"/>
        <w:rPr>
          <w:rFonts w:asciiTheme="minorHAnsi" w:hAnsiTheme="minorHAnsi"/>
          <w:sz w:val="22"/>
          <w:szCs w:val="22"/>
        </w:rPr>
      </w:pPr>
      <w:bookmarkStart w:id="20" w:name="_Toc357018614"/>
      <w:bookmarkStart w:id="21" w:name="_Toc358300098"/>
      <w:r w:rsidRPr="00D22AFA">
        <w:rPr>
          <w:rFonts w:asciiTheme="minorHAnsi" w:hAnsiTheme="minorHAnsi"/>
          <w:sz w:val="22"/>
          <w:szCs w:val="22"/>
        </w:rPr>
        <w:t>The quantitative assessment</w:t>
      </w:r>
      <w:bookmarkEnd w:id="20"/>
      <w:bookmarkEnd w:id="21"/>
    </w:p>
    <w:p w:rsidR="001C55F3" w:rsidRPr="00D22AFA" w:rsidRDefault="001C55F3" w:rsidP="00D1100D">
      <w:pPr>
        <w:spacing w:after="0" w:line="240" w:lineRule="auto"/>
        <w:jc w:val="both"/>
      </w:pPr>
      <w:r w:rsidRPr="00D22AFA">
        <w:t xml:space="preserve">The assessment of Flanders I, UK, Spain and Switzerland (regional) are considered as quantitative assessments because the mapping relies on quantified indicators. The assessment of Flanders I (quantitative step) presents the limitation to not include a mapping process. The evaluation is restricted to a collection of the available quantitative data. The mapping exercise of Flanders I (identification step) is only semi qualitative and thus discussed in the section above. </w:t>
      </w:r>
    </w:p>
    <w:p w:rsidR="001C55F3" w:rsidRPr="00D22AFA" w:rsidRDefault="001C55F3" w:rsidP="00D1100D">
      <w:pPr>
        <w:spacing w:after="0" w:line="240" w:lineRule="auto"/>
        <w:jc w:val="both"/>
      </w:pPr>
      <w:r w:rsidRPr="00D22AFA">
        <w:t xml:space="preserve">The assessment of UK and Spain show many similarities. Both are based on quantitative data and result in distinct maps for each ES. Maps present distinct scales and mapping units which hampers the aggregation into one map and lower the usefulness to decision takers. </w:t>
      </w:r>
    </w:p>
    <w:p w:rsidR="001C55F3" w:rsidRPr="00D22AFA" w:rsidRDefault="001C55F3" w:rsidP="00D1100D">
      <w:pPr>
        <w:spacing w:after="0" w:line="240" w:lineRule="auto"/>
        <w:jc w:val="both"/>
      </w:pPr>
      <w:r w:rsidRPr="00D22AFA">
        <w:t xml:space="preserve">The work of Switzerland (regional) differs from the others by using process-based models providing estimations of the ES supply and demand. Such models allow for quantitative and spatially explicit assessments while providing an analysis of trade-offs. Model-based assessments are recognized to provide high quality results and have the added-value to be explore scenarios, policy alternatives, </w:t>
      </w:r>
      <w:r w:rsidRPr="00D22AFA">
        <w:lastRenderedPageBreak/>
        <w:t xml:space="preserve">synergies and conflicts (Maes </w:t>
      </w:r>
      <w:r w:rsidRPr="00D22AFA">
        <w:rPr>
          <w:i/>
        </w:rPr>
        <w:t>et al.</w:t>
      </w:r>
      <w:r w:rsidRPr="00D22AFA">
        <w:t xml:space="preserve"> 2011). Still, the method shows the disadvantage to be highly data-intense requiring more time and resources (A. Grêt-Regamey 2013, personal comment) and therefore not available to all Member States. </w:t>
      </w:r>
    </w:p>
    <w:p w:rsidR="001C55F3" w:rsidRPr="00D22AFA" w:rsidRDefault="001C55F3" w:rsidP="00D1100D">
      <w:pPr>
        <w:spacing w:after="0" w:line="240" w:lineRule="auto"/>
        <w:jc w:val="both"/>
      </w:pPr>
      <w:r w:rsidRPr="00D22AFA">
        <w:t>To sum up, relying on quantitative data allows for more accuracy and more transparency. However, it shows the disadvantage to be time and data demanding and therefore quite expensive. Moreover, the ES representation is often scattered across single ecosystem service maps which cannot easily be interpreted for policy applications.</w:t>
      </w:r>
    </w:p>
    <w:p w:rsidR="001C55F3" w:rsidRDefault="001C55F3" w:rsidP="001C55F3">
      <w:pPr>
        <w:pStyle w:val="Titre2"/>
      </w:pPr>
      <w:bookmarkStart w:id="22" w:name="_Toc358300099"/>
      <w:r>
        <w:t>3.5.4</w:t>
      </w:r>
      <w:r>
        <w:tab/>
      </w:r>
      <w:r w:rsidRPr="008C0FD1">
        <w:t>The trade-off to assess and map ES</w:t>
      </w:r>
      <w:bookmarkEnd w:id="22"/>
    </w:p>
    <w:p w:rsidR="001C55F3" w:rsidRPr="008C0FD1" w:rsidRDefault="001C55F3" w:rsidP="001C55F3">
      <w:pPr>
        <w:spacing w:after="0"/>
      </w:pPr>
    </w:p>
    <w:p w:rsidR="001C55F3" w:rsidRPr="00D22AFA" w:rsidRDefault="001C55F3" w:rsidP="00D1100D">
      <w:pPr>
        <w:spacing w:after="0" w:line="240" w:lineRule="auto"/>
        <w:jc w:val="both"/>
      </w:pPr>
      <w:r w:rsidRPr="00D22AFA">
        <w:t xml:space="preserve">The approaches utilized among the country cases can be classified according to the details’ level of the assessment and mapping and to the amount of time and data demand. There is an obvious trade-off between these two components (Figure 6.1). On the one hand, the experts’ judgment approaches are easy and fast to implement, but lack accuracy. On the other hand, quantitative, and thus more detailed assessments are time and resource intensive. </w:t>
      </w:r>
    </w:p>
    <w:p w:rsidR="001C55F3" w:rsidRPr="00D22AFA" w:rsidRDefault="001C55F3" w:rsidP="00D1100D">
      <w:pPr>
        <w:autoSpaceDE w:val="0"/>
        <w:autoSpaceDN w:val="0"/>
        <w:adjustRightInd w:val="0"/>
        <w:spacing w:after="0" w:line="240" w:lineRule="auto"/>
        <w:jc w:val="both"/>
      </w:pPr>
      <w:r w:rsidRPr="00D22AFA">
        <w:t>Wallonia and Flanders II lay at one side of this trade-off. The assessment is fast, but is highly inaccurate and lacks transparency. A slightly more detailed assessment is the one of Switzerland (Global) because including two more indicators: slope and elevation. The assessment of Austria and of Flanders I (identification) is clearly more detailed because relying on some quantitative data and a clear list of indicators allowing for transparency. The assessments of U.K. and Spain are more even detailed and are likely to be more accurate because they rely mainly on quantitative data. Switzerland (regional+local) uses process-based modelling which although being very detailed, is extremely time and data demanding (A. Grêt-Regamey 2013, personal comment)</w:t>
      </w:r>
      <w:r w:rsidRPr="00D22AFA">
        <w:rPr>
          <w:i/>
        </w:rPr>
        <w:t>.</w:t>
      </w:r>
    </w:p>
    <w:p w:rsidR="001C55F3" w:rsidRPr="00D30071" w:rsidRDefault="001C55F3" w:rsidP="00D1100D">
      <w:pPr>
        <w:autoSpaceDE w:val="0"/>
        <w:autoSpaceDN w:val="0"/>
        <w:adjustRightInd w:val="0"/>
        <w:spacing w:after="0" w:line="240" w:lineRule="auto"/>
        <w:jc w:val="both"/>
        <w:rPr>
          <w:highlight w:val="yellow"/>
        </w:rPr>
      </w:pPr>
    </w:p>
    <w:p w:rsidR="001C55F3" w:rsidRPr="00D22AFA" w:rsidRDefault="001C55F3" w:rsidP="00D1100D">
      <w:pPr>
        <w:spacing w:after="0" w:line="240" w:lineRule="auto"/>
        <w:jc w:val="both"/>
      </w:pPr>
      <w:r w:rsidRPr="00D22AFA">
        <w:t xml:space="preserve">Besides this trade-off between data demand and level of detail, there remains a problem of a map’s usefulness to spatial planners. Because trade-offs exist between different ES (Maes </w:t>
      </w:r>
      <w:r w:rsidRPr="00D22AFA">
        <w:rPr>
          <w:i/>
        </w:rPr>
        <w:t>et al.</w:t>
      </w:r>
      <w:r w:rsidRPr="00D22AFA">
        <w:t xml:space="preserve"> 2011), spatial planners need a holistic view of the existing ES in order to launch sustainable decisions. However, relying on quantitative data often leads to segregated ES maps hampering such decisions to be made. This is the case for UK and Spain who provide distinct maps for each ES, each with distinct scales and units. Within the quantitative assessments, only the example of Switzerland (regional and local) presents the possibility to aggregate all ES on one map and to highlight ES hotspots. Yet, as mentioned above, this approach relies on highly technical modelling and is by far not available to all Member States.</w:t>
      </w:r>
    </w:p>
    <w:p w:rsidR="001C55F3" w:rsidRDefault="001C55F3" w:rsidP="00D1100D">
      <w:pPr>
        <w:autoSpaceDE w:val="0"/>
        <w:autoSpaceDN w:val="0"/>
        <w:adjustRightInd w:val="0"/>
        <w:spacing w:after="0"/>
        <w:jc w:val="both"/>
      </w:pPr>
    </w:p>
    <w:p w:rsidR="001C55F3" w:rsidRDefault="001C55F3" w:rsidP="00D1100D">
      <w:pPr>
        <w:tabs>
          <w:tab w:val="right" w:pos="9072"/>
        </w:tabs>
        <w:jc w:val="center"/>
      </w:pPr>
      <w:r>
        <w:rPr>
          <w:noProof/>
          <w:lang w:val="fr-BE" w:eastAsia="fr-BE"/>
        </w:rPr>
        <w:drawing>
          <wp:inline distT="0" distB="0" distL="0" distR="0">
            <wp:extent cx="3366655" cy="2405501"/>
            <wp:effectExtent l="0" t="0" r="5715" b="0"/>
            <wp:docPr id="440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3377450" cy="2413214"/>
                    </a:xfrm>
                    <a:prstGeom prst="rect">
                      <a:avLst/>
                    </a:prstGeom>
                    <a:noFill/>
                    <a:ln w="9525">
                      <a:noFill/>
                      <a:miter lim="800000"/>
                      <a:headEnd/>
                      <a:tailEnd/>
                    </a:ln>
                  </pic:spPr>
                </pic:pic>
              </a:graphicData>
            </a:graphic>
          </wp:inline>
        </w:drawing>
      </w:r>
    </w:p>
    <w:p w:rsidR="001C55F3" w:rsidRDefault="001C55F3" w:rsidP="00D1100D">
      <w:pPr>
        <w:tabs>
          <w:tab w:val="left" w:pos="1134"/>
          <w:tab w:val="right" w:pos="9072"/>
        </w:tabs>
        <w:spacing w:after="0" w:line="240" w:lineRule="auto"/>
        <w:ind w:left="1134" w:hanging="1134"/>
        <w:jc w:val="both"/>
      </w:pPr>
      <w:r w:rsidRPr="00D22AFA">
        <w:rPr>
          <w:i/>
        </w:rPr>
        <w:lastRenderedPageBreak/>
        <w:t>Figure 6.1:  Qualitative illustration of the trade-off to assess and map ES. On the bottom left are the easy and fast methods which however lack accuracy. On the top right are more precise methods which are however more time and data consuming</w:t>
      </w:r>
      <w:r>
        <w:t>.</w:t>
      </w:r>
    </w:p>
    <w:p w:rsidR="001C55F3" w:rsidRDefault="001C55F3" w:rsidP="001C55F3">
      <w:pPr>
        <w:autoSpaceDE w:val="0"/>
        <w:autoSpaceDN w:val="0"/>
        <w:adjustRightInd w:val="0"/>
        <w:spacing w:after="0" w:line="240" w:lineRule="auto"/>
        <w:jc w:val="both"/>
      </w:pPr>
      <w:r w:rsidRPr="00D22AFA">
        <w:t>In general, precision and accuracy of the assessment depend on the goal of the study (Schägner</w:t>
      </w:r>
      <w:r w:rsidRPr="00D22AFA">
        <w:rPr>
          <w:i/>
        </w:rPr>
        <w:t>et al.</w:t>
      </w:r>
      <w:r w:rsidRPr="00D22AFA">
        <w:t xml:space="preserve"> in press). Among the cases compared, the one of Austria seems to offer an interesting compromise. It offers the simplicity of the experts’ judgment approach while relying on a clear list of indicators, some of them being quantitative. It moreover allows for aggregation in order to provide maps including all</w:t>
      </w:r>
      <w:r>
        <w:t xml:space="preserve"> ES (Peterseil, J. 2013, persona</w:t>
      </w:r>
      <w:r w:rsidRPr="00D22AFA">
        <w:t>l comment). The limitations of the approach are however to be kept in mind: (i) it is limited by the data availability with sufficient spatial resolution, (ii) it describes the ES potential rather than the actual stock and (iii) as a basic grid cell is 1 ha, some of the data has to be disaggregated to the target grid cells.</w:t>
      </w:r>
    </w:p>
    <w:p w:rsidR="001C55F3" w:rsidRDefault="001C55F3" w:rsidP="00183C36"/>
    <w:p w:rsidR="001C55F3" w:rsidRPr="00183C36" w:rsidRDefault="001C55F3" w:rsidP="001C55F3">
      <w:pPr>
        <w:pStyle w:val="Titre2"/>
        <w:rPr>
          <w:rFonts w:eastAsia="Malgun Gothic"/>
        </w:rPr>
      </w:pPr>
      <w:r>
        <w:t>3.5.5</w:t>
      </w:r>
      <w:r w:rsidRPr="00183C36">
        <w:tab/>
      </w:r>
      <w:r w:rsidRPr="00183C36">
        <w:rPr>
          <w:rFonts w:eastAsia="Malgun Gothic"/>
        </w:rPr>
        <w:t xml:space="preserve">A Tiered process for EU mapping of ecosystem services: Suggestions from Switzerland </w:t>
      </w:r>
    </w:p>
    <w:p w:rsidR="001C55F3" w:rsidRPr="00F93F56" w:rsidRDefault="001C55F3" w:rsidP="001C55F3">
      <w:pPr>
        <w:tabs>
          <w:tab w:val="left" w:pos="709"/>
        </w:tabs>
        <w:autoSpaceDE w:val="0"/>
        <w:autoSpaceDN w:val="0"/>
        <w:adjustRightInd w:val="0"/>
        <w:spacing w:after="0" w:line="240" w:lineRule="auto"/>
        <w:rPr>
          <w:rFonts w:eastAsia="Malgun Gothic" w:cs="Malgun Gothic"/>
          <w:color w:val="000000"/>
          <w:sz w:val="23"/>
          <w:szCs w:val="23"/>
        </w:rPr>
      </w:pPr>
      <w:r>
        <w:rPr>
          <w:rFonts w:eastAsia="Malgun Gothic" w:cs="Malgun Gothic"/>
          <w:color w:val="000000"/>
          <w:sz w:val="20"/>
          <w:szCs w:val="20"/>
        </w:rPr>
        <w:t xml:space="preserve">( </w:t>
      </w:r>
      <w:r w:rsidRPr="00F93F56">
        <w:rPr>
          <w:rFonts w:eastAsia="Malgun Gothic" w:cs="Malgun Gothic"/>
          <w:color w:val="000000"/>
          <w:sz w:val="20"/>
          <w:szCs w:val="20"/>
        </w:rPr>
        <w:t xml:space="preserve">Adrienne Grêt-Regamey, Bettina Weibel, Sven-Erik Rabe (Planning of Landscape and Urban Systems, ETH Zürich) </w:t>
      </w:r>
    </w:p>
    <w:p w:rsidR="001C55F3" w:rsidRDefault="001C55F3" w:rsidP="00D1100D">
      <w:pPr>
        <w:autoSpaceDE w:val="0"/>
        <w:autoSpaceDN w:val="0"/>
        <w:adjustRightInd w:val="0"/>
        <w:spacing w:after="0" w:line="240" w:lineRule="auto"/>
        <w:rPr>
          <w:rFonts w:eastAsia="Malgun Gothic" w:cs="Malgun Gothic"/>
          <w:color w:val="000000"/>
        </w:rPr>
      </w:pPr>
    </w:p>
    <w:p w:rsidR="001C55F3" w:rsidRPr="007A6E46" w:rsidRDefault="001C55F3" w:rsidP="00D1100D">
      <w:pPr>
        <w:autoSpaceDE w:val="0"/>
        <w:autoSpaceDN w:val="0"/>
        <w:adjustRightInd w:val="0"/>
        <w:spacing w:after="0" w:line="240" w:lineRule="auto"/>
        <w:rPr>
          <w:rFonts w:eastAsia="Malgun Gothic" w:cs="Malgun Gothic"/>
          <w:color w:val="000000"/>
        </w:rPr>
      </w:pPr>
      <w:r w:rsidRPr="007A6E46">
        <w:rPr>
          <w:rFonts w:eastAsia="Malgun Gothic" w:cs="Malgun Gothic"/>
          <w:color w:val="000000"/>
        </w:rPr>
        <w:t xml:space="preserve">Based on knowledge acquired in different projects realized at different national and international levels, ETH Zürich suggests the following tiered process in order to make ecosystem services maps comparable across Europe and to support the Member States in mapping ecosystem services as defined under Target 2, Action 5 of the Biodiversity Strategy. The level of detail of input data and the complexity of the analysis increase from Tier 1 to Tier 3 as illustrated for the two ecosystem services, timber production and microclimate regulation. </w:t>
      </w:r>
    </w:p>
    <w:p w:rsidR="001C55F3" w:rsidRDefault="001C55F3" w:rsidP="00D1100D">
      <w:pPr>
        <w:autoSpaceDE w:val="0"/>
        <w:autoSpaceDN w:val="0"/>
        <w:adjustRightInd w:val="0"/>
        <w:spacing w:after="0" w:line="240" w:lineRule="auto"/>
        <w:jc w:val="both"/>
        <w:rPr>
          <w:rFonts w:eastAsia="Malgun Gothic" w:cs="Malgun Gothic"/>
          <w:b/>
          <w:color w:val="000000"/>
        </w:rPr>
      </w:pPr>
    </w:p>
    <w:p w:rsidR="001C55F3" w:rsidRPr="009552BF" w:rsidRDefault="001C55F3" w:rsidP="00D1100D">
      <w:pPr>
        <w:autoSpaceDE w:val="0"/>
        <w:autoSpaceDN w:val="0"/>
        <w:adjustRightInd w:val="0"/>
        <w:spacing w:after="0" w:line="240" w:lineRule="auto"/>
        <w:jc w:val="both"/>
        <w:rPr>
          <w:rFonts w:eastAsia="Malgun Gothic" w:cs="Malgun Gothic"/>
          <w:b/>
          <w:color w:val="000000"/>
        </w:rPr>
      </w:pPr>
      <w:r w:rsidRPr="009552BF">
        <w:rPr>
          <w:rFonts w:eastAsia="Malgun Gothic" w:cs="Malgun Gothic"/>
          <w:b/>
          <w:color w:val="000000"/>
        </w:rPr>
        <w:t xml:space="preserve">Tier 1 - ES mapping using available indicators </w:t>
      </w:r>
    </w:p>
    <w:p w:rsidR="001C55F3" w:rsidRPr="007A6E46" w:rsidRDefault="001C55F3" w:rsidP="00D1100D">
      <w:pPr>
        <w:autoSpaceDE w:val="0"/>
        <w:autoSpaceDN w:val="0"/>
        <w:adjustRightInd w:val="0"/>
        <w:spacing w:after="0" w:line="240" w:lineRule="auto"/>
        <w:jc w:val="both"/>
      </w:pPr>
      <w:r w:rsidRPr="007A6E46">
        <w:rPr>
          <w:rFonts w:eastAsia="Malgun Gothic" w:cs="Malgun Gothic"/>
          <w:color w:val="000000"/>
        </w:rPr>
        <w:t>The simplest form of an ecosystem services assessment uses data available for most of the European countries (for example CORINE). Most indicators can directly be derived from land use and land cover data, biodiversity monitoring maps, etc.. and thus represent proxies for a certain ecosystem service. As an example, micro-climate regulation is defined as the percentage of green space within urban areas. Similarly, timber production is defined as percentage of forest. For Switzerland, a national inventory of 23 indicators for assessing ecosystem services was developed (Staub und Ott, 2011). It is currently being modified for the natural capital TEEB project for Germany (Naturkapital – TEEB DE, 2012) and applied for mapping ESS at the national scale.</w:t>
      </w:r>
    </w:p>
    <w:p w:rsidR="001C55F3" w:rsidRPr="00653FF9" w:rsidRDefault="001C55F3" w:rsidP="00D1100D">
      <w:pPr>
        <w:autoSpaceDE w:val="0"/>
        <w:autoSpaceDN w:val="0"/>
        <w:adjustRightInd w:val="0"/>
        <w:spacing w:after="0" w:line="240" w:lineRule="auto"/>
        <w:rPr>
          <w:rFonts w:eastAsia="Malgun Gothic" w:cs="Malgun Gothic"/>
          <w:color w:val="000000"/>
        </w:rPr>
      </w:pPr>
    </w:p>
    <w:p w:rsidR="001C55F3" w:rsidRDefault="001C55F3" w:rsidP="00D1100D">
      <w:pPr>
        <w:autoSpaceDE w:val="0"/>
        <w:autoSpaceDN w:val="0"/>
        <w:adjustRightInd w:val="0"/>
        <w:spacing w:after="0" w:line="240" w:lineRule="auto"/>
        <w:jc w:val="center"/>
        <w:rPr>
          <w:rFonts w:eastAsia="Malgun Gothic" w:cs="Malgun Gothic"/>
          <w:b/>
          <w:color w:val="000000"/>
          <w:lang w:val="nl-NL"/>
        </w:rPr>
      </w:pPr>
      <w:r>
        <w:rPr>
          <w:rFonts w:eastAsia="Malgun Gothic" w:cs="Malgun Gothic"/>
          <w:b/>
          <w:noProof/>
          <w:color w:val="000000"/>
          <w:lang w:val="fr-BE" w:eastAsia="fr-BE"/>
        </w:rPr>
        <w:drawing>
          <wp:inline distT="0" distB="0" distL="0" distR="0">
            <wp:extent cx="4899660" cy="1478280"/>
            <wp:effectExtent l="0" t="0" r="0" b="7620"/>
            <wp:docPr id="440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9660" cy="1478280"/>
                    </a:xfrm>
                    <a:prstGeom prst="rect">
                      <a:avLst/>
                    </a:prstGeom>
                    <a:noFill/>
                    <a:ln>
                      <a:noFill/>
                    </a:ln>
                  </pic:spPr>
                </pic:pic>
              </a:graphicData>
            </a:graphic>
          </wp:inline>
        </w:drawing>
      </w:r>
    </w:p>
    <w:p w:rsidR="001C55F3" w:rsidRDefault="001C55F3" w:rsidP="00D1100D">
      <w:pPr>
        <w:autoSpaceDE w:val="0"/>
        <w:autoSpaceDN w:val="0"/>
        <w:adjustRightInd w:val="0"/>
        <w:spacing w:after="0" w:line="240" w:lineRule="auto"/>
        <w:rPr>
          <w:rFonts w:eastAsia="Malgun Gothic" w:cs="Malgun Gothic"/>
          <w:b/>
          <w:color w:val="000000"/>
          <w:lang w:val="nl-NL"/>
        </w:rPr>
      </w:pPr>
    </w:p>
    <w:p w:rsidR="001C55F3" w:rsidRPr="00F93F56" w:rsidRDefault="001C55F3" w:rsidP="00D1100D">
      <w:pPr>
        <w:autoSpaceDE w:val="0"/>
        <w:autoSpaceDN w:val="0"/>
        <w:adjustRightInd w:val="0"/>
        <w:spacing w:after="0" w:line="240" w:lineRule="auto"/>
        <w:rPr>
          <w:rFonts w:eastAsia="Malgun Gothic" w:cs="Malgun Gothic"/>
          <w:color w:val="000000"/>
        </w:rPr>
      </w:pPr>
      <w:r w:rsidRPr="00F93F56">
        <w:rPr>
          <w:rFonts w:eastAsia="Malgun Gothic" w:cs="Malgun Gothic"/>
          <w:b/>
          <w:color w:val="000000"/>
        </w:rPr>
        <w:t>Example</w:t>
      </w:r>
      <w:r w:rsidRPr="00F93F56">
        <w:rPr>
          <w:rFonts w:eastAsia="Malgun Gothic" w:cs="Malgun Gothic"/>
          <w:color w:val="000000"/>
        </w:rPr>
        <w:t xml:space="preserve"> (see above)</w:t>
      </w:r>
    </w:p>
    <w:p w:rsidR="001C55F3" w:rsidRPr="009552BF" w:rsidRDefault="001C55F3" w:rsidP="00D1100D">
      <w:pPr>
        <w:autoSpaceDE w:val="0"/>
        <w:autoSpaceDN w:val="0"/>
        <w:adjustRightInd w:val="0"/>
        <w:spacing w:after="0" w:line="240" w:lineRule="auto"/>
        <w:rPr>
          <w:rFonts w:eastAsia="Malgun Gothic" w:cs="Malgun Gothic"/>
          <w:color w:val="000000"/>
          <w:lang w:val="nl-NL"/>
        </w:rPr>
      </w:pPr>
      <w:r w:rsidRPr="009552BF">
        <w:rPr>
          <w:rFonts w:eastAsia="Malgun Gothic" w:cs="Malgun Gothic"/>
          <w:color w:val="000000"/>
        </w:rPr>
        <w:t xml:space="preserve">Marzelli, S. et al. </w:t>
      </w:r>
      <w:r w:rsidRPr="009552BF">
        <w:rPr>
          <w:rFonts w:eastAsia="Malgun Gothic" w:cs="Malgun Gothic"/>
          <w:color w:val="000000"/>
          <w:lang w:val="nl-NL"/>
        </w:rPr>
        <w:t>(2013): Die Bundesweite (Deutschland) Erfassungvon</w:t>
      </w:r>
      <w:r w:rsidRPr="009552BF">
        <w:rPr>
          <w:rFonts w:eastAsia="Malgun Gothic" w:cs="Calibri"/>
          <w:color w:val="000000"/>
          <w:lang w:val="nl-NL"/>
        </w:rPr>
        <w:t>2</w:t>
      </w:r>
      <w:r w:rsidRPr="009552BF">
        <w:rPr>
          <w:rFonts w:eastAsia="Malgun Gothic" w:cs="Malgun Gothic"/>
          <w:color w:val="000000"/>
          <w:lang w:val="nl-NL"/>
        </w:rPr>
        <w:t xml:space="preserve">Ökosystemleistungen – konzeptionelleÜberlegungen, Naturund Landschaft (accepted). </w:t>
      </w:r>
    </w:p>
    <w:p w:rsidR="001C55F3" w:rsidRDefault="001C55F3" w:rsidP="00D1100D">
      <w:pPr>
        <w:autoSpaceDE w:val="0"/>
        <w:autoSpaceDN w:val="0"/>
        <w:adjustRightInd w:val="0"/>
        <w:spacing w:after="0" w:line="240" w:lineRule="auto"/>
        <w:rPr>
          <w:rFonts w:eastAsia="Malgun Gothic" w:cs="Malgun Gothic"/>
          <w:color w:val="000000"/>
          <w:lang w:val="nl-NL"/>
        </w:rPr>
      </w:pPr>
    </w:p>
    <w:p w:rsidR="001C55F3" w:rsidRPr="009552BF" w:rsidRDefault="001C55F3" w:rsidP="00D1100D">
      <w:pPr>
        <w:autoSpaceDE w:val="0"/>
        <w:autoSpaceDN w:val="0"/>
        <w:adjustRightInd w:val="0"/>
        <w:spacing w:after="0" w:line="240" w:lineRule="auto"/>
        <w:rPr>
          <w:rFonts w:eastAsia="Malgun Gothic" w:cs="Malgun Gothic"/>
          <w:color w:val="000000"/>
          <w:u w:val="single"/>
          <w:lang w:val="nl-NL"/>
        </w:rPr>
      </w:pPr>
      <w:r w:rsidRPr="009552BF">
        <w:rPr>
          <w:rFonts w:eastAsia="Malgun Gothic" w:cs="Malgun Gothic"/>
          <w:color w:val="000000"/>
          <w:u w:val="single"/>
          <w:lang w:val="nl-NL"/>
        </w:rPr>
        <w:t>References</w:t>
      </w:r>
    </w:p>
    <w:p w:rsidR="001C55F3" w:rsidRPr="00DC2369" w:rsidRDefault="001C55F3" w:rsidP="00D1100D">
      <w:pPr>
        <w:autoSpaceDE w:val="0"/>
        <w:autoSpaceDN w:val="0"/>
        <w:adjustRightInd w:val="0"/>
        <w:spacing w:after="0" w:line="240" w:lineRule="auto"/>
        <w:rPr>
          <w:rFonts w:eastAsia="Malgun Gothic" w:cs="Malgun Gothic"/>
          <w:color w:val="000000"/>
          <w:sz w:val="20"/>
          <w:szCs w:val="20"/>
          <w:lang w:val="nl-NL"/>
        </w:rPr>
      </w:pPr>
      <w:r w:rsidRPr="00DC2369">
        <w:rPr>
          <w:rFonts w:eastAsia="Malgun Gothic" w:cs="Malgun Gothic"/>
          <w:color w:val="000000"/>
          <w:sz w:val="20"/>
          <w:szCs w:val="20"/>
          <w:lang w:val="nl-NL"/>
        </w:rPr>
        <w:lastRenderedPageBreak/>
        <w:t>Naturkapital Deutschland – TEEB DE (2012): Der Wert der NaturfürWirtschaftundGesellschaft – EineEinführung. München, ifuplan; Leipzig, Helmholtz-ZentrumfürUmweltforschung – UFZ; Bonn, BundesamtfürNaturschutz</w:t>
      </w:r>
    </w:p>
    <w:p w:rsidR="001C55F3" w:rsidRPr="00653FF9" w:rsidRDefault="001C55F3" w:rsidP="00D1100D">
      <w:pPr>
        <w:spacing w:line="240" w:lineRule="auto"/>
        <w:rPr>
          <w:rFonts w:ascii="Malgun Gothic" w:eastAsia="Malgun Gothic" w:hAnsi="Calibri" w:cs="Malgun Gothic"/>
          <w:color w:val="000000"/>
          <w:lang w:val="nl-NL"/>
        </w:rPr>
      </w:pPr>
      <w:r w:rsidRPr="00DC2369">
        <w:rPr>
          <w:rFonts w:eastAsia="Malgun Gothic" w:cs="Malgun Gothic"/>
          <w:color w:val="000000"/>
          <w:sz w:val="20"/>
          <w:szCs w:val="20"/>
          <w:lang w:val="nl-NL"/>
        </w:rPr>
        <w:t>Staub C.; Ott W. (2011) : IndikatorenfürÖkosystemleistungen: Systematik, MethodikundUmsetzungsempfehlungenfüreinewohlfahrtsbezogeneUmweltberichterstattung</w:t>
      </w:r>
      <w:r w:rsidRPr="00653FF9">
        <w:rPr>
          <w:rFonts w:eastAsia="Malgun Gothic" w:cs="Malgun Gothic"/>
          <w:color w:val="000000"/>
          <w:lang w:val="nl-NL"/>
        </w:rPr>
        <w:t>.</w:t>
      </w:r>
    </w:p>
    <w:p w:rsidR="001C55F3" w:rsidRPr="009552BF" w:rsidRDefault="001C55F3" w:rsidP="00D1100D">
      <w:pPr>
        <w:autoSpaceDE w:val="0"/>
        <w:autoSpaceDN w:val="0"/>
        <w:adjustRightInd w:val="0"/>
        <w:spacing w:after="0" w:line="240" w:lineRule="auto"/>
        <w:rPr>
          <w:rFonts w:eastAsia="Malgun Gothic" w:cs="Malgun Gothic"/>
          <w:b/>
          <w:color w:val="000000"/>
        </w:rPr>
      </w:pPr>
      <w:r w:rsidRPr="009552BF">
        <w:rPr>
          <w:rFonts w:eastAsia="Malgun Gothic" w:cs="Malgun Gothic"/>
          <w:b/>
          <w:color w:val="000000"/>
        </w:rPr>
        <w:t xml:space="preserve">Tier 2 ES mapping linking different indicators with land use data </w:t>
      </w:r>
    </w:p>
    <w:p w:rsidR="001C55F3" w:rsidRDefault="001C55F3" w:rsidP="00D1100D">
      <w:pPr>
        <w:autoSpaceDE w:val="0"/>
        <w:autoSpaceDN w:val="0"/>
        <w:adjustRightInd w:val="0"/>
        <w:spacing w:after="0" w:line="240" w:lineRule="auto"/>
        <w:rPr>
          <w:rFonts w:eastAsia="Malgun Gothic" w:cs="Malgun Gothic"/>
          <w:color w:val="000000"/>
        </w:rPr>
      </w:pPr>
      <w:r w:rsidRPr="009552BF">
        <w:rPr>
          <w:rFonts w:eastAsia="Malgun Gothic" w:cs="Malgun Gothic"/>
          <w:color w:val="000000"/>
        </w:rPr>
        <w:t>The Tier 1 approach can be further improved if data at the EU level are used as a base to derive more complex indicators, which are combined to estimate ecosystem services. Land use data is linked to different datasets according to known relationships between land use, locational-based information and ecosystem services provision from the literature. Based on these relationships, the capacities of different land uses to provide ecosystem services can be quantified at different locations and aggregated at different scales. For example, in order to estimate timber production, literature data on timber production at a certain elevation can be linked to a Digital Elevation Model and mapped at the country scale. Or in order to refine the percentage of green space in a city as an indicator for micro-climate-regulation, the green area can be assessed in higher precision using remote sensing data. The output maps provide ecosystem services quantities or values per area (for example timber production per hectare and year or cooling effect in cubic meters per hectare).</w:t>
      </w:r>
    </w:p>
    <w:p w:rsidR="001C55F3" w:rsidRDefault="001C55F3" w:rsidP="00D1100D">
      <w:pPr>
        <w:autoSpaceDE w:val="0"/>
        <w:autoSpaceDN w:val="0"/>
        <w:adjustRightInd w:val="0"/>
        <w:spacing w:after="0" w:line="240" w:lineRule="auto"/>
        <w:rPr>
          <w:rFonts w:ascii="Malgun Gothic" w:eastAsia="Malgun Gothic" w:cs="Malgun Gothic"/>
          <w:color w:val="000000"/>
        </w:rPr>
      </w:pPr>
    </w:p>
    <w:p w:rsidR="001C55F3" w:rsidRDefault="001C55F3" w:rsidP="00D1100D">
      <w:pPr>
        <w:autoSpaceDE w:val="0"/>
        <w:autoSpaceDN w:val="0"/>
        <w:adjustRightInd w:val="0"/>
        <w:spacing w:after="0" w:line="240" w:lineRule="auto"/>
        <w:jc w:val="center"/>
        <w:rPr>
          <w:rFonts w:ascii="Malgun Gothic" w:eastAsia="Malgun Gothic" w:cs="Malgun Gothic"/>
          <w:color w:val="000000"/>
          <w:u w:val="single"/>
        </w:rPr>
      </w:pPr>
      <w:r>
        <w:rPr>
          <w:rFonts w:ascii="Malgun Gothic" w:eastAsia="Malgun Gothic" w:cs="Malgun Gothic"/>
          <w:noProof/>
          <w:color w:val="000000"/>
          <w:u w:val="single"/>
          <w:lang w:val="fr-BE" w:eastAsia="fr-BE"/>
        </w:rPr>
        <w:drawing>
          <wp:inline distT="0" distB="0" distL="0" distR="0">
            <wp:extent cx="4899660" cy="1516380"/>
            <wp:effectExtent l="0" t="0" r="0" b="7620"/>
            <wp:docPr id="440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9660" cy="1516380"/>
                    </a:xfrm>
                    <a:prstGeom prst="rect">
                      <a:avLst/>
                    </a:prstGeom>
                    <a:noFill/>
                    <a:ln>
                      <a:noFill/>
                    </a:ln>
                  </pic:spPr>
                </pic:pic>
              </a:graphicData>
            </a:graphic>
          </wp:inline>
        </w:drawing>
      </w:r>
    </w:p>
    <w:p w:rsidR="001C55F3" w:rsidRPr="009552BF" w:rsidRDefault="001C55F3" w:rsidP="00D1100D">
      <w:pPr>
        <w:autoSpaceDE w:val="0"/>
        <w:autoSpaceDN w:val="0"/>
        <w:adjustRightInd w:val="0"/>
        <w:spacing w:after="0" w:line="240" w:lineRule="auto"/>
        <w:rPr>
          <w:rFonts w:eastAsia="Malgun Gothic" w:cs="Malgun Gothic"/>
          <w:b/>
          <w:color w:val="000000"/>
        </w:rPr>
      </w:pPr>
      <w:r w:rsidRPr="009552BF">
        <w:rPr>
          <w:rFonts w:eastAsia="Malgun Gothic" w:cs="Malgun Gothic"/>
          <w:b/>
          <w:color w:val="000000"/>
        </w:rPr>
        <w:t xml:space="preserve">Examples </w:t>
      </w:r>
      <w:r>
        <w:rPr>
          <w:rFonts w:eastAsia="Malgun Gothic" w:cs="Malgun Gothic"/>
          <w:b/>
          <w:color w:val="000000"/>
        </w:rPr>
        <w:t>(see above)</w:t>
      </w:r>
    </w:p>
    <w:p w:rsidR="001C55F3" w:rsidRPr="00DC2369" w:rsidRDefault="001C55F3" w:rsidP="00D1100D">
      <w:pPr>
        <w:autoSpaceDE w:val="0"/>
        <w:autoSpaceDN w:val="0"/>
        <w:adjustRightInd w:val="0"/>
        <w:spacing w:after="0" w:line="240" w:lineRule="auto"/>
        <w:rPr>
          <w:rFonts w:eastAsia="Malgun Gothic" w:cs="Malgun Gothic"/>
          <w:color w:val="000000"/>
          <w:sz w:val="20"/>
          <w:szCs w:val="20"/>
        </w:rPr>
      </w:pPr>
      <w:r w:rsidRPr="00DC2369">
        <w:rPr>
          <w:rFonts w:eastAsia="Malgun Gothic" w:cs="Malgun Gothic"/>
          <w:color w:val="000000"/>
          <w:sz w:val="20"/>
          <w:szCs w:val="20"/>
        </w:rPr>
        <w:t xml:space="preserve">Grêt-Regamey, A., Bebi, P., Bishop, I.D., Schmid, W. (2008): Linking GIS-based models to value ecosystem services in an Alpine region. Journal of Environmental Management 89:197-208 </w:t>
      </w:r>
    </w:p>
    <w:p w:rsidR="001C55F3" w:rsidRPr="00DC2369" w:rsidRDefault="001C55F3" w:rsidP="00D1100D">
      <w:pPr>
        <w:autoSpaceDE w:val="0"/>
        <w:autoSpaceDN w:val="0"/>
        <w:adjustRightInd w:val="0"/>
        <w:spacing w:after="0" w:line="240" w:lineRule="auto"/>
        <w:rPr>
          <w:rFonts w:eastAsia="Malgun Gothic" w:cs="Malgun Gothic"/>
          <w:color w:val="000000"/>
          <w:sz w:val="20"/>
          <w:szCs w:val="20"/>
        </w:rPr>
      </w:pPr>
      <w:r w:rsidRPr="00DC2369">
        <w:rPr>
          <w:rFonts w:eastAsia="Malgun Gothic" w:cs="Malgun Gothic"/>
          <w:color w:val="000000"/>
          <w:sz w:val="20"/>
          <w:szCs w:val="20"/>
        </w:rPr>
        <w:t xml:space="preserve">Altwegg, J.; Grêt-Regamey, A. (2011): Challenges in integrating ecosystem services in sustainable land management. In REAL CORP 2011 Proceedings. Editors: Manfred SCHRENK, Vasily V. POPOVICH, Peter Zeile. Essen </w:t>
      </w:r>
    </w:p>
    <w:p w:rsidR="001C55F3" w:rsidRPr="00DC2369" w:rsidRDefault="001C55F3" w:rsidP="00D1100D">
      <w:pPr>
        <w:autoSpaceDE w:val="0"/>
        <w:autoSpaceDN w:val="0"/>
        <w:adjustRightInd w:val="0"/>
        <w:spacing w:after="0" w:line="240" w:lineRule="auto"/>
        <w:rPr>
          <w:rFonts w:eastAsia="Malgun Gothic" w:cs="Malgun Gothic"/>
          <w:color w:val="000000"/>
          <w:sz w:val="20"/>
          <w:szCs w:val="20"/>
        </w:rPr>
      </w:pPr>
      <w:r w:rsidRPr="00DC2369">
        <w:rPr>
          <w:rFonts w:eastAsia="Malgun Gothic" w:cs="Malgun Gothic"/>
          <w:color w:val="000000"/>
          <w:sz w:val="20"/>
          <w:szCs w:val="20"/>
        </w:rPr>
        <w:t xml:space="preserve">Grêt-Regamey, A., Wissen Hayek, U. (2012): Multi-criteria decision analysis for planning and design of sustainable energy landscapes. In: van den Dobbelsteen, A., Stremke, S. (Eds.), Sustainable Energy Landscapes: Designing, Planning and Development. CRC/Taylor &amp; Francis </w:t>
      </w:r>
    </w:p>
    <w:p w:rsidR="001C55F3" w:rsidRPr="00DC2369" w:rsidRDefault="001C55F3" w:rsidP="00D1100D">
      <w:pPr>
        <w:autoSpaceDE w:val="0"/>
        <w:autoSpaceDN w:val="0"/>
        <w:adjustRightInd w:val="0"/>
        <w:spacing w:after="0" w:line="240" w:lineRule="auto"/>
        <w:rPr>
          <w:rFonts w:eastAsia="Malgun Gothic" w:cs="Malgun Gothic"/>
          <w:color w:val="000000"/>
          <w:sz w:val="20"/>
          <w:szCs w:val="20"/>
        </w:rPr>
      </w:pPr>
      <w:r w:rsidRPr="00DC2369">
        <w:rPr>
          <w:rFonts w:eastAsia="Malgun Gothic" w:cs="Malgun Gothic"/>
          <w:color w:val="000000"/>
          <w:sz w:val="20"/>
          <w:szCs w:val="20"/>
          <w:lang w:val="nl-NL"/>
        </w:rPr>
        <w:t xml:space="preserve">Grêt-Regamey, A., Rabe, S.E., Crespo, R., Ryffel A. (2012): Der Wert der Biodiversität, gemessenanÖkosystemleistungenvonextensivbewirtschaftetemGrünland. </w:t>
      </w:r>
      <w:r w:rsidRPr="00DC2369">
        <w:rPr>
          <w:rFonts w:eastAsia="Malgun Gothic" w:cs="Malgun Gothic"/>
          <w:color w:val="000000"/>
          <w:sz w:val="20"/>
          <w:szCs w:val="20"/>
        </w:rPr>
        <w:t>BerichtimAuftrag des BundesamtfürUmwelt, BAFU, Bern.</w:t>
      </w:r>
    </w:p>
    <w:p w:rsidR="001C55F3" w:rsidRDefault="001C55F3" w:rsidP="00D1100D">
      <w:pPr>
        <w:autoSpaceDE w:val="0"/>
        <w:autoSpaceDN w:val="0"/>
        <w:adjustRightInd w:val="0"/>
        <w:spacing w:after="0" w:line="240" w:lineRule="auto"/>
        <w:rPr>
          <w:rFonts w:eastAsia="Malgun Gothic" w:cs="Malgun Gothic"/>
          <w:color w:val="000000"/>
        </w:rPr>
      </w:pPr>
    </w:p>
    <w:p w:rsidR="001C55F3" w:rsidRPr="0060527B" w:rsidRDefault="001C55F3" w:rsidP="00D1100D">
      <w:pPr>
        <w:autoSpaceDE w:val="0"/>
        <w:autoSpaceDN w:val="0"/>
        <w:adjustRightInd w:val="0"/>
        <w:spacing w:after="0" w:line="240" w:lineRule="auto"/>
        <w:rPr>
          <w:b/>
          <w:bCs/>
        </w:rPr>
      </w:pPr>
      <w:r w:rsidRPr="0060527B">
        <w:rPr>
          <w:b/>
        </w:rPr>
        <w:t xml:space="preserve">Tier 3 </w:t>
      </w:r>
      <w:r w:rsidRPr="0060527B">
        <w:rPr>
          <w:b/>
          <w:bCs/>
        </w:rPr>
        <w:t xml:space="preserve">Model-based approach </w:t>
      </w:r>
    </w:p>
    <w:p w:rsidR="001C55F3" w:rsidRDefault="001C55F3" w:rsidP="00D1100D">
      <w:pPr>
        <w:autoSpaceDE w:val="0"/>
        <w:autoSpaceDN w:val="0"/>
        <w:adjustRightInd w:val="0"/>
        <w:spacing w:after="0" w:line="240" w:lineRule="auto"/>
        <w:rPr>
          <w:rFonts w:eastAsia="Malgun Gothic" w:cs="Malgun Gothic"/>
          <w:color w:val="000000"/>
        </w:rPr>
      </w:pPr>
      <w:r>
        <w:t xml:space="preserve">The Tier 2 approach can be further refined by modeling biophysical processes in ArcGIS instead of using linking indicator data through simple relationships. For example, timber production is assessed using a forest growth model instead of quantifying production with literature data. This requires more detailed input which might not be available in all European countries. The model calculates automatically ecosystem services and spits out ecosystem services maps for the specified area. Constructing a model is time consuming and requires expert knowledge on modeling. Adjusting an existing model to local conditions on the other hand is much easier. Models can be extended by integrating expert knowledge (for example using Bayesian networks), and can be used to assess uncertainty in quantification and valuation. </w:t>
      </w:r>
    </w:p>
    <w:p w:rsidR="001C55F3" w:rsidRDefault="001C55F3" w:rsidP="00D1100D">
      <w:pPr>
        <w:autoSpaceDE w:val="0"/>
        <w:autoSpaceDN w:val="0"/>
        <w:adjustRightInd w:val="0"/>
        <w:spacing w:after="0" w:line="240" w:lineRule="auto"/>
        <w:rPr>
          <w:rFonts w:eastAsia="Malgun Gothic" w:cs="Malgun Gothic"/>
          <w:color w:val="000000"/>
        </w:rPr>
      </w:pPr>
    </w:p>
    <w:p w:rsidR="001C55F3" w:rsidRPr="00F93F56" w:rsidRDefault="001C55F3" w:rsidP="00D1100D">
      <w:pPr>
        <w:autoSpaceDE w:val="0"/>
        <w:autoSpaceDN w:val="0"/>
        <w:adjustRightInd w:val="0"/>
        <w:spacing w:after="0" w:line="240" w:lineRule="auto"/>
        <w:rPr>
          <w:rFonts w:eastAsia="Malgun Gothic" w:cs="Malgun Gothic"/>
          <w:b/>
          <w:color w:val="000000"/>
        </w:rPr>
      </w:pPr>
      <w:r w:rsidRPr="00F93F56">
        <w:rPr>
          <w:rFonts w:eastAsia="Malgun Gothic" w:cs="Malgun Gothic"/>
          <w:b/>
          <w:color w:val="000000"/>
        </w:rPr>
        <w:lastRenderedPageBreak/>
        <w:t xml:space="preserve">Examples </w:t>
      </w:r>
      <w:r>
        <w:rPr>
          <w:rFonts w:eastAsia="Malgun Gothic" w:cs="Malgun Gothic"/>
          <w:b/>
          <w:color w:val="000000"/>
        </w:rPr>
        <w:t>(see below)</w:t>
      </w:r>
    </w:p>
    <w:p w:rsidR="001C55F3" w:rsidRPr="00DC2369" w:rsidRDefault="001C55F3" w:rsidP="00D1100D">
      <w:pPr>
        <w:autoSpaceDE w:val="0"/>
        <w:autoSpaceDN w:val="0"/>
        <w:adjustRightInd w:val="0"/>
        <w:spacing w:after="0" w:line="240" w:lineRule="auto"/>
        <w:rPr>
          <w:rFonts w:eastAsia="Malgun Gothic" w:cs="Malgun Gothic"/>
          <w:color w:val="000000"/>
          <w:sz w:val="20"/>
          <w:szCs w:val="20"/>
        </w:rPr>
      </w:pPr>
      <w:r w:rsidRPr="00DC2369">
        <w:rPr>
          <w:rFonts w:eastAsia="Malgun Gothic" w:cs="Malgun Gothic"/>
          <w:color w:val="000000"/>
          <w:sz w:val="20"/>
          <w:szCs w:val="20"/>
        </w:rPr>
        <w:t xml:space="preserve">Grêt-Regamey, A., Brunner, S.H., Altwegg, J., Bebi, P. (2012): Facing uncertainty in ecosystem services-based resource management. Journal of Environmental Management: http://dx.doi.org/10.1016/j.jenvman.2012.07.028. </w:t>
      </w:r>
    </w:p>
    <w:p w:rsidR="001C55F3" w:rsidRPr="00DC2369" w:rsidRDefault="001C55F3" w:rsidP="00D1100D">
      <w:pPr>
        <w:autoSpaceDE w:val="0"/>
        <w:autoSpaceDN w:val="0"/>
        <w:adjustRightInd w:val="0"/>
        <w:spacing w:after="0" w:line="240" w:lineRule="auto"/>
        <w:rPr>
          <w:rFonts w:eastAsia="Malgun Gothic" w:cs="Malgun Gothic"/>
          <w:color w:val="000000"/>
          <w:sz w:val="20"/>
          <w:szCs w:val="20"/>
        </w:rPr>
      </w:pPr>
      <w:r w:rsidRPr="00DC2369">
        <w:rPr>
          <w:rFonts w:eastAsia="Malgun Gothic" w:cs="Malgun Gothic"/>
          <w:color w:val="000000"/>
          <w:sz w:val="20"/>
          <w:szCs w:val="20"/>
        </w:rPr>
        <w:t xml:space="preserve">Briner, S., Elkin, C., Huber, R., Grêt-Regamey, A. (2012): Assessing the impacts of economic and climate changes on land-use in mountain regions: A spatial dynamic modeling approach. Agriculture, Ecosystems and Environment 149:50-63 </w:t>
      </w:r>
    </w:p>
    <w:p w:rsidR="001C55F3" w:rsidRDefault="001C55F3" w:rsidP="00D1100D">
      <w:pPr>
        <w:autoSpaceDE w:val="0"/>
        <w:autoSpaceDN w:val="0"/>
        <w:adjustRightInd w:val="0"/>
        <w:spacing w:after="0" w:line="240" w:lineRule="auto"/>
        <w:rPr>
          <w:rFonts w:eastAsia="Malgun Gothic" w:cs="Malgun Gothic"/>
          <w:color w:val="000000"/>
          <w:sz w:val="20"/>
          <w:szCs w:val="20"/>
        </w:rPr>
      </w:pPr>
      <w:r w:rsidRPr="00DC2369">
        <w:rPr>
          <w:rFonts w:eastAsia="Malgun Gothic" w:cs="Malgun Gothic"/>
          <w:color w:val="000000"/>
          <w:sz w:val="20"/>
          <w:szCs w:val="20"/>
        </w:rPr>
        <w:t>Grêt-Regamey, A., Celio, E., Klein, T.M., Wissen Hayek, U. (2013): Understanding ecosystem services trade-offs with interactive procedural modeling for sustainable urban planning. Landscape and Urban Planning 109:107-116</w:t>
      </w:r>
    </w:p>
    <w:p w:rsidR="001C55F3" w:rsidRDefault="001C55F3" w:rsidP="001C55F3">
      <w:pPr>
        <w:autoSpaceDE w:val="0"/>
        <w:autoSpaceDN w:val="0"/>
        <w:adjustRightInd w:val="0"/>
        <w:spacing w:after="0" w:line="240" w:lineRule="auto"/>
        <w:jc w:val="center"/>
        <w:rPr>
          <w:rFonts w:eastAsia="Malgun Gothic" w:cs="Malgun Gothic"/>
          <w:b/>
          <w:color w:val="000000"/>
        </w:rPr>
      </w:pPr>
      <w:r>
        <w:rPr>
          <w:rFonts w:eastAsia="Malgun Gothic" w:cs="Malgun Gothic"/>
          <w:b/>
          <w:noProof/>
          <w:color w:val="000000"/>
          <w:lang w:val="fr-BE" w:eastAsia="fr-BE"/>
        </w:rPr>
        <w:lastRenderedPageBreak/>
        <w:drawing>
          <wp:inline distT="0" distB="0" distL="0" distR="0">
            <wp:extent cx="4854633" cy="7422713"/>
            <wp:effectExtent l="0" t="0" r="3175" b="6985"/>
            <wp:docPr id="440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2225" cy="7419031"/>
                    </a:xfrm>
                    <a:prstGeom prst="rect">
                      <a:avLst/>
                    </a:prstGeom>
                    <a:noFill/>
                    <a:ln>
                      <a:noFill/>
                    </a:ln>
                  </pic:spPr>
                </pic:pic>
              </a:graphicData>
            </a:graphic>
          </wp:inline>
        </w:drawing>
      </w:r>
    </w:p>
    <w:p w:rsidR="001C55F3" w:rsidRPr="009552BF" w:rsidRDefault="001C55F3" w:rsidP="00D1100D">
      <w:pPr>
        <w:autoSpaceDE w:val="0"/>
        <w:autoSpaceDN w:val="0"/>
        <w:adjustRightInd w:val="0"/>
        <w:spacing w:after="0" w:line="240" w:lineRule="auto"/>
        <w:rPr>
          <w:rFonts w:eastAsia="Malgun Gothic" w:cs="Malgun Gothic"/>
          <w:color w:val="000000"/>
        </w:rPr>
      </w:pPr>
    </w:p>
    <w:p w:rsidR="001C55F3" w:rsidRDefault="001C55F3">
      <w:pPr>
        <w:rPr>
          <w:rFonts w:asciiTheme="majorHAnsi" w:eastAsiaTheme="majorEastAsia" w:hAnsiTheme="majorHAnsi" w:cstheme="majorBidi"/>
          <w:b/>
          <w:bCs/>
          <w:color w:val="365F91" w:themeColor="accent1" w:themeShade="BF"/>
          <w:sz w:val="40"/>
          <w:szCs w:val="40"/>
        </w:rPr>
      </w:pPr>
      <w:r>
        <w:rPr>
          <w:rFonts w:asciiTheme="majorHAnsi" w:eastAsiaTheme="majorEastAsia" w:hAnsiTheme="majorHAnsi" w:cstheme="majorBidi"/>
          <w:b/>
          <w:bCs/>
          <w:color w:val="365F91" w:themeColor="accent1" w:themeShade="BF"/>
          <w:sz w:val="40"/>
          <w:szCs w:val="40"/>
        </w:rPr>
        <w:br w:type="page"/>
      </w:r>
    </w:p>
    <w:p w:rsidR="001C55F3" w:rsidRPr="007709BD" w:rsidRDefault="001C55F3" w:rsidP="001C55F3">
      <w:pPr>
        <w:pStyle w:val="Titre1"/>
        <w:rPr>
          <w:sz w:val="36"/>
          <w:szCs w:val="36"/>
        </w:rPr>
      </w:pPr>
      <w:r w:rsidRPr="007709BD">
        <w:rPr>
          <w:sz w:val="36"/>
          <w:szCs w:val="36"/>
        </w:rPr>
        <w:lastRenderedPageBreak/>
        <w:t xml:space="preserve">REFERENCES </w:t>
      </w:r>
    </w:p>
    <w:p w:rsidR="001C55F3" w:rsidRDefault="001C55F3" w:rsidP="001C55F3">
      <w:pPr>
        <w:autoSpaceDE w:val="0"/>
        <w:autoSpaceDN w:val="0"/>
        <w:adjustRightInd w:val="0"/>
        <w:spacing w:after="0" w:line="240" w:lineRule="auto"/>
        <w:jc w:val="both"/>
        <w:rPr>
          <w:rFonts w:cs="Cambria"/>
          <w:sz w:val="24"/>
          <w:szCs w:val="24"/>
        </w:rPr>
      </w:pPr>
    </w:p>
    <w:p w:rsidR="001C55F3" w:rsidRDefault="001C55F3" w:rsidP="001C55F3">
      <w:pPr>
        <w:autoSpaceDE w:val="0"/>
        <w:autoSpaceDN w:val="0"/>
        <w:adjustRightInd w:val="0"/>
        <w:spacing w:after="0" w:line="240" w:lineRule="auto"/>
        <w:rPr>
          <w:rFonts w:cs="Univers"/>
        </w:rPr>
      </w:pPr>
      <w:r>
        <w:rPr>
          <w:rFonts w:cs="Univers"/>
        </w:rPr>
        <w:t xml:space="preserve">Bagstad, K.J.  , G.W. Johnson , B. Voigt and F. Villa (2013) </w:t>
      </w:r>
      <w:r>
        <w:rPr>
          <w:rFonts w:cs="Univers"/>
          <w:b/>
        </w:rPr>
        <w:t>Spatial dynamics of ecosystem service flows: A comprehensive approach to quantifying actual services.</w:t>
      </w:r>
      <w:r>
        <w:rPr>
          <w:rFonts w:cs="Univers"/>
        </w:rPr>
        <w:t xml:space="preserve"> Ecosystem Services, Vol 4, June 2013:117-125</w:t>
      </w:r>
    </w:p>
    <w:p w:rsidR="001C55F3" w:rsidRDefault="001C55F3" w:rsidP="001C55F3">
      <w:pPr>
        <w:autoSpaceDE w:val="0"/>
        <w:autoSpaceDN w:val="0"/>
        <w:adjustRightInd w:val="0"/>
        <w:spacing w:after="0" w:line="240" w:lineRule="auto"/>
        <w:rPr>
          <w:rFonts w:cs="Cambria"/>
        </w:rPr>
      </w:pPr>
    </w:p>
    <w:p w:rsidR="001C55F3" w:rsidRDefault="001C55F3" w:rsidP="001C55F3">
      <w:pPr>
        <w:autoSpaceDE w:val="0"/>
        <w:autoSpaceDN w:val="0"/>
        <w:adjustRightInd w:val="0"/>
        <w:spacing w:after="0" w:line="240" w:lineRule="auto"/>
        <w:rPr>
          <w:rFonts w:cs="Univers"/>
        </w:rPr>
      </w:pPr>
      <w:r>
        <w:rPr>
          <w:rFonts w:cs="Univers"/>
        </w:rPr>
        <w:t xml:space="preserve">Bastian, O. , R.-U. Syrbe , M. Rosenberg , D. Rahe and K. Grunewald (2013) </w:t>
      </w:r>
      <w:r>
        <w:rPr>
          <w:rFonts w:cs="Univers"/>
          <w:b/>
        </w:rPr>
        <w:t>The five pillar EPPS framework for quantifying, mapping and managing ecosystem services.</w:t>
      </w:r>
      <w:r>
        <w:rPr>
          <w:rFonts w:cs="Univers"/>
        </w:rPr>
        <w:t xml:space="preserve"> Ecosystem Services, Vol 4, June 2013:15-24</w:t>
      </w:r>
    </w:p>
    <w:p w:rsidR="001C55F3" w:rsidRDefault="001C55F3" w:rsidP="001C55F3">
      <w:pPr>
        <w:autoSpaceDE w:val="0"/>
        <w:autoSpaceDN w:val="0"/>
        <w:adjustRightInd w:val="0"/>
        <w:spacing w:after="0" w:line="240" w:lineRule="auto"/>
        <w:jc w:val="both"/>
        <w:rPr>
          <w:rFonts w:cstheme="minorHAnsi"/>
        </w:rPr>
      </w:pPr>
    </w:p>
    <w:p w:rsidR="001C55F3" w:rsidRPr="003C7951" w:rsidRDefault="001C55F3" w:rsidP="001C55F3">
      <w:pPr>
        <w:autoSpaceDE w:val="0"/>
        <w:autoSpaceDN w:val="0"/>
        <w:adjustRightInd w:val="0"/>
        <w:spacing w:after="0" w:line="240" w:lineRule="auto"/>
        <w:jc w:val="both"/>
        <w:rPr>
          <w:rFonts w:cstheme="minorHAnsi"/>
        </w:rPr>
      </w:pPr>
      <w:r w:rsidRPr="003C7951">
        <w:rPr>
          <w:rFonts w:cstheme="minorHAnsi"/>
        </w:rPr>
        <w:t xml:space="preserve">Braat L.C. &amp; R. de Groot (2012) </w:t>
      </w:r>
      <w:r w:rsidRPr="003C7951">
        <w:rPr>
          <w:rFonts w:cstheme="minorHAnsi"/>
          <w:b/>
        </w:rPr>
        <w:t>The ecosystem services agenda</w:t>
      </w:r>
      <w:r w:rsidRPr="003C7951">
        <w:rPr>
          <w:rFonts w:cstheme="minorHAnsi"/>
        </w:rPr>
        <w:t>: bridging the worlds of natural science and economics, conservation and development, and public and private policy. Ecosystem Services: Volume 1,  Issue 1 , July 2012, p 4-15. Elsevier publ. Amsterdam.</w:t>
      </w:r>
    </w:p>
    <w:p w:rsidR="001C55F3" w:rsidRDefault="001C55F3" w:rsidP="001C55F3">
      <w:pPr>
        <w:autoSpaceDE w:val="0"/>
        <w:autoSpaceDN w:val="0"/>
        <w:adjustRightInd w:val="0"/>
        <w:spacing w:after="0" w:line="240" w:lineRule="auto"/>
        <w:rPr>
          <w:rFonts w:cs="Univers"/>
        </w:rPr>
      </w:pPr>
    </w:p>
    <w:p w:rsidR="001C55F3" w:rsidRDefault="001C55F3" w:rsidP="001C55F3">
      <w:pPr>
        <w:pStyle w:val="Paragraphedeliste"/>
        <w:autoSpaceDE w:val="0"/>
        <w:autoSpaceDN w:val="0"/>
        <w:adjustRightInd w:val="0"/>
        <w:spacing w:after="0" w:line="240" w:lineRule="auto"/>
        <w:ind w:left="0"/>
        <w:jc w:val="both"/>
        <w:rPr>
          <w:bCs/>
        </w:rPr>
      </w:pPr>
      <w:r w:rsidRPr="005C2FEB">
        <w:rPr>
          <w:bCs/>
        </w:rPr>
        <w:t xml:space="preserve">Burkhard, B., F. Kroll, F. Muller &amp; W. Windhorst (2009) </w:t>
      </w:r>
      <w:r w:rsidRPr="005C2FEB">
        <w:rPr>
          <w:b/>
          <w:bCs/>
        </w:rPr>
        <w:t>Landscapes’ capcities to provide ecosystem services – a conccept for land-cover based assessments.</w:t>
      </w:r>
      <w:r>
        <w:rPr>
          <w:bCs/>
        </w:rPr>
        <w:t xml:space="preserve"> Landscape Online 15, 1-22.</w:t>
      </w:r>
    </w:p>
    <w:p w:rsidR="001C55F3" w:rsidRPr="005C2FEB" w:rsidRDefault="001C55F3" w:rsidP="001C55F3">
      <w:pPr>
        <w:pStyle w:val="Paragraphedeliste"/>
        <w:autoSpaceDE w:val="0"/>
        <w:autoSpaceDN w:val="0"/>
        <w:adjustRightInd w:val="0"/>
        <w:spacing w:after="0" w:line="240" w:lineRule="auto"/>
        <w:ind w:left="0"/>
        <w:jc w:val="both"/>
        <w:rPr>
          <w:bCs/>
        </w:rPr>
      </w:pPr>
    </w:p>
    <w:p w:rsidR="001C55F3" w:rsidRPr="00295D0C" w:rsidRDefault="001C55F3" w:rsidP="001C55F3">
      <w:pPr>
        <w:pStyle w:val="Paragraphedeliste"/>
        <w:autoSpaceDE w:val="0"/>
        <w:autoSpaceDN w:val="0"/>
        <w:adjustRightInd w:val="0"/>
        <w:spacing w:after="0" w:line="240" w:lineRule="auto"/>
        <w:ind w:left="0"/>
        <w:jc w:val="both"/>
        <w:rPr>
          <w:b/>
          <w:bCs/>
        </w:rPr>
      </w:pPr>
      <w:r w:rsidRPr="004C0F61">
        <w:rPr>
          <w:bCs/>
        </w:rPr>
        <w:t>Burkhard B</w:t>
      </w:r>
      <w:r>
        <w:rPr>
          <w:bCs/>
        </w:rPr>
        <w:t>.</w:t>
      </w:r>
      <w:r w:rsidRPr="004C0F61">
        <w:rPr>
          <w:bCs/>
        </w:rPr>
        <w:t>, Kroll F, Nedkov S, Müller F. (2012).</w:t>
      </w:r>
      <w:r w:rsidRPr="005C21C9">
        <w:rPr>
          <w:b/>
          <w:bCs/>
        </w:rPr>
        <w:t xml:space="preserve"> Mapping ecosystem service supply, demand and budgets. </w:t>
      </w:r>
      <w:r w:rsidRPr="004C0F61">
        <w:rPr>
          <w:bCs/>
        </w:rPr>
        <w:t>Ecological Indicators 21: 17-29</w:t>
      </w:r>
      <w:r w:rsidRPr="00295D0C">
        <w:rPr>
          <w:b/>
          <w:bCs/>
        </w:rPr>
        <w:t>.</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rPr>
      </w:pPr>
      <w:r>
        <w:rPr>
          <w:rFonts w:cs="Univers"/>
        </w:rPr>
        <w:t xml:space="preserve">Burkhard, B. , N. Crossman , S. Nedkov , K. Petz and R. Alkemade (2013) </w:t>
      </w:r>
      <w:r>
        <w:rPr>
          <w:rFonts w:cs="Univers"/>
          <w:b/>
        </w:rPr>
        <w:t>Mapping and modelling ecosystem services for science, policy and practice.</w:t>
      </w:r>
      <w:r>
        <w:rPr>
          <w:rFonts w:cs="Univers"/>
        </w:rPr>
        <w:t xml:space="preserve"> Ecosystem Services, Vol 4, June 2013:1-3</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b/>
        </w:rPr>
      </w:pPr>
      <w:r>
        <w:rPr>
          <w:rFonts w:cs="Univers"/>
        </w:rPr>
        <w:t xml:space="preserve">Crossman, N.D.  , B. Burkhard , S. Nedkov , L. Willemen , K. Petz , I. Palomo , E.G. Drakou , B. Martín-Lopez , T. McPhearson , K. Boyanova, R. Alkemade , B. Egoh , M.B. Dunbar and J. Maes (2013) </w:t>
      </w:r>
      <w:r>
        <w:rPr>
          <w:rFonts w:cs="Univers"/>
          <w:b/>
        </w:rPr>
        <w:t xml:space="preserve">A blueprint for mapping and modelling ecosystem services. </w:t>
      </w:r>
      <w:r>
        <w:rPr>
          <w:rFonts w:cs="Univers"/>
        </w:rPr>
        <w:t>Ecosystem Services, Vol 4, June 2013: 4-14</w:t>
      </w:r>
    </w:p>
    <w:p w:rsidR="001C55F3" w:rsidRDefault="001C55F3" w:rsidP="001C55F3">
      <w:pPr>
        <w:autoSpaceDE w:val="0"/>
        <w:autoSpaceDN w:val="0"/>
        <w:adjustRightInd w:val="0"/>
        <w:spacing w:after="0" w:line="240" w:lineRule="auto"/>
        <w:rPr>
          <w:rFonts w:cs="Univers"/>
        </w:rPr>
      </w:pPr>
      <w:r>
        <w:rPr>
          <w:rFonts w:cs="Univers"/>
          <w:b/>
        </w:rPr>
        <w:t>Ecosystem Services.</w:t>
      </w:r>
      <w:r>
        <w:rPr>
          <w:rFonts w:cs="Univers"/>
        </w:rPr>
        <w:t>Vol 4, June 2013:82-94</w:t>
      </w:r>
    </w:p>
    <w:p w:rsidR="001C55F3" w:rsidRDefault="001C55F3" w:rsidP="001C55F3">
      <w:pPr>
        <w:autoSpaceDE w:val="0"/>
        <w:autoSpaceDN w:val="0"/>
        <w:adjustRightInd w:val="0"/>
        <w:spacing w:after="0" w:line="240" w:lineRule="auto"/>
        <w:rPr>
          <w:rFonts w:cs="Univers"/>
        </w:rPr>
      </w:pPr>
    </w:p>
    <w:p w:rsidR="001C55F3" w:rsidRPr="00602CEA" w:rsidRDefault="001C55F3" w:rsidP="001C55F3">
      <w:pPr>
        <w:pStyle w:val="Titre1"/>
        <w:spacing w:before="0"/>
        <w:rPr>
          <w:rFonts w:asciiTheme="minorHAnsi" w:hAnsiTheme="minorHAnsi"/>
          <w:i/>
          <w:color w:val="auto"/>
          <w:sz w:val="22"/>
          <w:szCs w:val="22"/>
        </w:rPr>
      </w:pPr>
      <w:r w:rsidRPr="002D440C">
        <w:rPr>
          <w:rFonts w:asciiTheme="minorHAnsi" w:hAnsiTheme="minorHAnsi"/>
          <w:b w:val="0"/>
          <w:color w:val="auto"/>
          <w:sz w:val="22"/>
          <w:szCs w:val="22"/>
        </w:rPr>
        <w:t xml:space="preserve">DG ENV (2011) </w:t>
      </w:r>
      <w:r w:rsidRPr="002D440C">
        <w:rPr>
          <w:rFonts w:asciiTheme="minorHAnsi" w:hAnsiTheme="minorHAnsi"/>
          <w:color w:val="auto"/>
          <w:sz w:val="22"/>
          <w:szCs w:val="22"/>
        </w:rPr>
        <w:t>EC guidance on undertaking non-energy extractive activities in accordance with Natura 2000 requirements (July 2010).</w:t>
      </w:r>
      <w:r w:rsidRPr="002D440C">
        <w:rPr>
          <w:rFonts w:asciiTheme="minorHAnsi" w:hAnsiTheme="minorHAnsi"/>
          <w:b w:val="0"/>
          <w:color w:val="auto"/>
          <w:sz w:val="22"/>
          <w:szCs w:val="22"/>
        </w:rPr>
        <w:t xml:space="preserve">EU, Brussels. </w:t>
      </w:r>
    </w:p>
    <w:p w:rsidR="001C55F3" w:rsidRDefault="001C55F3" w:rsidP="001C55F3">
      <w:pPr>
        <w:autoSpaceDE w:val="0"/>
        <w:autoSpaceDN w:val="0"/>
        <w:adjustRightInd w:val="0"/>
        <w:spacing w:after="0" w:line="240" w:lineRule="auto"/>
        <w:rPr>
          <w:rFonts w:cs="Univers"/>
        </w:rPr>
      </w:pPr>
    </w:p>
    <w:p w:rsidR="001C55F3" w:rsidRPr="00B90646" w:rsidRDefault="001C55F3" w:rsidP="001C55F3">
      <w:pPr>
        <w:autoSpaceDE w:val="0"/>
        <w:autoSpaceDN w:val="0"/>
        <w:adjustRightInd w:val="0"/>
        <w:spacing w:after="0" w:line="240" w:lineRule="auto"/>
        <w:rPr>
          <w:rFonts w:cs="Univers"/>
        </w:rPr>
      </w:pPr>
      <w:r w:rsidRPr="00B90646">
        <w:rPr>
          <w:rFonts w:cs="Univers"/>
        </w:rPr>
        <w:t xml:space="preserve">Egoh, B., E.G. Drakou, M.B. Dunbar, J. Maes, L. Willemen (2012) </w:t>
      </w:r>
      <w:r w:rsidRPr="00B90646">
        <w:rPr>
          <w:rFonts w:cs="Univers"/>
          <w:b/>
        </w:rPr>
        <w:t>Indicators for mapping ecosystem services: a review.</w:t>
      </w:r>
      <w:r w:rsidRPr="00B27036">
        <w:t>Report EUR 25456 EN. Publications Office of the European Union, Luxembourg</w:t>
      </w:r>
      <w:r>
        <w:rPr>
          <w:rFonts w:cs="Univers"/>
        </w:rPr>
        <w:t>.</w:t>
      </w:r>
    </w:p>
    <w:p w:rsidR="001C55F3" w:rsidRPr="00B90646"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rPr>
      </w:pPr>
      <w:r>
        <w:rPr>
          <w:rFonts w:cs="Univers"/>
        </w:rPr>
        <w:t xml:space="preserve">García-Nieto, A.P.  , M. García-Llorente , I. Iniesta-Arandia and B. Martín-López (2013) </w:t>
      </w:r>
      <w:r>
        <w:rPr>
          <w:rFonts w:cs="Univers"/>
          <w:b/>
        </w:rPr>
        <w:t>Mapping forest ecosystem services: From providing units to beneficiaries</w:t>
      </w:r>
      <w:r>
        <w:rPr>
          <w:rFonts w:cs="Univers"/>
        </w:rPr>
        <w:t>. Ecosystem Services, Vol 4, June 2013:126-138</w:t>
      </w:r>
    </w:p>
    <w:p w:rsidR="001C55F3" w:rsidRDefault="001C55F3" w:rsidP="001C55F3">
      <w:pPr>
        <w:autoSpaceDE w:val="0"/>
        <w:autoSpaceDN w:val="0"/>
        <w:adjustRightInd w:val="0"/>
        <w:spacing w:after="0" w:line="240" w:lineRule="auto"/>
        <w:rPr>
          <w:rFonts w:cs="Gravur-CondensedBold"/>
          <w:b/>
          <w:bCs/>
        </w:rPr>
      </w:pPr>
    </w:p>
    <w:p w:rsidR="001C55F3" w:rsidRPr="000C359F" w:rsidRDefault="001C55F3" w:rsidP="001C55F3">
      <w:pPr>
        <w:autoSpaceDE w:val="0"/>
        <w:autoSpaceDN w:val="0"/>
        <w:adjustRightInd w:val="0"/>
        <w:spacing w:after="0" w:line="240" w:lineRule="auto"/>
        <w:rPr>
          <w:rFonts w:cs="Gravur-CondensedLight"/>
          <w:color w:val="616265"/>
        </w:rPr>
      </w:pPr>
      <w:r w:rsidRPr="000C359F">
        <w:rPr>
          <w:rFonts w:cs="Gravur-CondensedBold"/>
          <w:bCs/>
        </w:rPr>
        <w:t>GIZ (2012)</w:t>
      </w:r>
      <w:r w:rsidRPr="00FD5DFD">
        <w:rPr>
          <w:rFonts w:cs="Gravur-CondensedBold"/>
          <w:b/>
          <w:bCs/>
        </w:rPr>
        <w:t>Integrating Ecosystem Services into Development Planning</w:t>
      </w:r>
      <w:r w:rsidRPr="00FD5DFD">
        <w:rPr>
          <w:rFonts w:cs="Gravur-Condensed"/>
          <w:b/>
        </w:rPr>
        <w:t xml:space="preserve"> A stepwise approach for practitioners based on the TEEB approach. </w:t>
      </w:r>
      <w:r w:rsidRPr="000C359F">
        <w:rPr>
          <w:rFonts w:cs="Gravur-CondensedLight"/>
        </w:rPr>
        <w:t>Deutsche GesellschaftfürInternationaleZusammenarbeit (GIZ) GmbH</w:t>
      </w:r>
      <w:r w:rsidRPr="000C359F">
        <w:t xml:space="preserve"> (2012)</w:t>
      </w:r>
      <w:r>
        <w:t>, Bonn.</w:t>
      </w:r>
    </w:p>
    <w:p w:rsidR="001C55F3" w:rsidRDefault="001C55F3" w:rsidP="001C55F3">
      <w:pPr>
        <w:autoSpaceDE w:val="0"/>
        <w:autoSpaceDN w:val="0"/>
        <w:adjustRightInd w:val="0"/>
        <w:spacing w:after="0" w:line="240" w:lineRule="auto"/>
        <w:jc w:val="both"/>
        <w:rPr>
          <w:b/>
        </w:rPr>
      </w:pPr>
    </w:p>
    <w:p w:rsidR="001C55F3" w:rsidRPr="00DA79A8" w:rsidRDefault="001C55F3" w:rsidP="001C55F3">
      <w:pPr>
        <w:autoSpaceDE w:val="0"/>
        <w:autoSpaceDN w:val="0"/>
        <w:adjustRightInd w:val="0"/>
        <w:spacing w:after="0" w:line="240" w:lineRule="auto"/>
        <w:jc w:val="both"/>
      </w:pPr>
      <w:r w:rsidRPr="00B90646">
        <w:t xml:space="preserve">Gotzl, M., M. Tiefenbach, P. Tramberend (2012) </w:t>
      </w:r>
      <w:r w:rsidRPr="00B90646">
        <w:rPr>
          <w:b/>
        </w:rPr>
        <w:t>Review of recent literature on mapping ecosystem services ananlysis of ethods used.</w:t>
      </w:r>
      <w:r w:rsidRPr="00DA79A8">
        <w:t>EAA/ Umweltbundesambt,Vienna.</w:t>
      </w:r>
    </w:p>
    <w:p w:rsidR="001C55F3" w:rsidRPr="00DA79A8" w:rsidRDefault="001C55F3" w:rsidP="001C55F3">
      <w:pPr>
        <w:autoSpaceDE w:val="0"/>
        <w:autoSpaceDN w:val="0"/>
        <w:adjustRightInd w:val="0"/>
        <w:spacing w:after="0" w:line="240" w:lineRule="auto"/>
        <w:jc w:val="both"/>
      </w:pPr>
    </w:p>
    <w:p w:rsidR="001C55F3" w:rsidRPr="00295D0C" w:rsidRDefault="001C55F3" w:rsidP="001C55F3">
      <w:pPr>
        <w:autoSpaceDE w:val="0"/>
        <w:autoSpaceDN w:val="0"/>
        <w:adjustRightInd w:val="0"/>
        <w:spacing w:after="0" w:line="240" w:lineRule="auto"/>
        <w:jc w:val="both"/>
        <w:rPr>
          <w:b/>
          <w:lang w:val="de-CH"/>
        </w:rPr>
      </w:pPr>
      <w:r w:rsidRPr="007741E5">
        <w:t>Groot, R, S. de; Wilson, M; Boumans, R, M. (2002):</w:t>
      </w:r>
      <w:r w:rsidRPr="005C21C9">
        <w:rPr>
          <w:b/>
        </w:rPr>
        <w:t>A typology for the classification, description and valuation of ecosystem functions, goods and services.</w:t>
      </w:r>
      <w:r w:rsidRPr="007741E5">
        <w:rPr>
          <w:lang w:val="de-CH"/>
        </w:rPr>
        <w:t>In: Ecological Economics 41 (3), S. 393 - 408.</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rPr>
      </w:pPr>
      <w:r>
        <w:rPr>
          <w:rFonts w:cs="Univers"/>
        </w:rPr>
        <w:lastRenderedPageBreak/>
        <w:t xml:space="preserve">Hauck, J. , C. Görg , R. Varjopuro , O. Ratamäki , J. Maes , H. Wittmer and K. Jax (2013) </w:t>
      </w:r>
      <w:r>
        <w:rPr>
          <w:rFonts w:cs="Univers"/>
          <w:b/>
        </w:rPr>
        <w:t xml:space="preserve">“ Maps have an air of authority ” : Potential benefits and challenges of ecosystem service maps at different levelsof decision making. </w:t>
      </w:r>
      <w:r>
        <w:rPr>
          <w:rFonts w:cs="Univers"/>
        </w:rPr>
        <w:t>Ecosystem Services, Vol 4, June 2013: 25-32</w:t>
      </w:r>
    </w:p>
    <w:p w:rsidR="001C55F3" w:rsidRDefault="001C55F3" w:rsidP="001C55F3">
      <w:pPr>
        <w:autoSpaceDE w:val="0"/>
        <w:autoSpaceDN w:val="0"/>
        <w:adjustRightInd w:val="0"/>
        <w:spacing w:after="0" w:line="240" w:lineRule="auto"/>
        <w:jc w:val="both"/>
        <w:rPr>
          <w:rFonts w:cs="Cambria"/>
        </w:rPr>
      </w:pPr>
    </w:p>
    <w:p w:rsidR="001C55F3" w:rsidRPr="003C7951" w:rsidRDefault="001C55F3" w:rsidP="001C55F3">
      <w:pPr>
        <w:autoSpaceDE w:val="0"/>
        <w:autoSpaceDN w:val="0"/>
        <w:adjustRightInd w:val="0"/>
        <w:spacing w:after="0" w:line="240" w:lineRule="auto"/>
        <w:jc w:val="both"/>
        <w:rPr>
          <w:rFonts w:cstheme="minorHAnsi"/>
          <w:color w:val="000000"/>
        </w:rPr>
      </w:pPr>
      <w:r w:rsidRPr="003C7951">
        <w:rPr>
          <w:rFonts w:cstheme="minorHAnsi"/>
          <w:iCs/>
          <w:color w:val="000000"/>
        </w:rPr>
        <w:t xml:space="preserve">Hedden-Dunkhorst, Bettina, Leon Braat, Bernd Hansjürgens, ChristophSchröter-Schlaack, BurkhardSchweppe-Kraft, Florian Carius, Kees Hendriks, Cristina Marta-Pedroso, Iva Honigova, Sander Jacobs, AsadNaqvi, Jana </w:t>
      </w:r>
      <w:r w:rsidRPr="005C21C9">
        <w:rPr>
          <w:rFonts w:cstheme="minorHAnsi"/>
          <w:iCs/>
          <w:color w:val="000000"/>
        </w:rPr>
        <w:t>Špulerová (2012)</w:t>
      </w:r>
      <w:r w:rsidRPr="003C7951">
        <w:rPr>
          <w:rFonts w:cstheme="minorHAnsi"/>
          <w:b/>
          <w:bCs/>
          <w:color w:val="000000"/>
        </w:rPr>
        <w:t xml:space="preserve">Policy Brief TEEB Processes in European Countries: Results and Recommendations from an Expert Workshop held 11-14 October 2011 at the International Academy for Nature Conservation Isle of Vilm, Germany; </w:t>
      </w:r>
      <w:r w:rsidRPr="003C7951">
        <w:rPr>
          <w:rFonts w:cstheme="minorHAnsi"/>
          <w:bCs/>
          <w:color w:val="000000"/>
        </w:rPr>
        <w:t xml:space="preserve">Bonn </w:t>
      </w:r>
    </w:p>
    <w:p w:rsidR="001C55F3" w:rsidRDefault="001C55F3" w:rsidP="001C55F3">
      <w:pPr>
        <w:autoSpaceDE w:val="0"/>
        <w:autoSpaceDN w:val="0"/>
        <w:adjustRightInd w:val="0"/>
        <w:spacing w:after="0" w:line="240" w:lineRule="auto"/>
        <w:jc w:val="both"/>
        <w:rPr>
          <w:rFonts w:cstheme="minorHAnsi"/>
          <w:color w:val="000000"/>
        </w:rPr>
      </w:pPr>
    </w:p>
    <w:p w:rsidR="001C55F3" w:rsidRDefault="001C55F3" w:rsidP="001C55F3">
      <w:pPr>
        <w:autoSpaceDE w:val="0"/>
        <w:autoSpaceDN w:val="0"/>
        <w:adjustRightInd w:val="0"/>
        <w:spacing w:after="0" w:line="240" w:lineRule="auto"/>
        <w:rPr>
          <w:rFonts w:cs="Univers"/>
        </w:rPr>
      </w:pPr>
      <w:r>
        <w:rPr>
          <w:rFonts w:cs="Univers"/>
        </w:rPr>
        <w:t xml:space="preserve">Kandziora, M.  , B. Burkhard and F. Müller (2013) </w:t>
      </w:r>
      <w:r>
        <w:rPr>
          <w:rFonts w:cs="Univers"/>
          <w:b/>
        </w:rPr>
        <w:t xml:space="preserve">Mapping provisioning ecosystem services at the local scale using data of varying spatial and temporal resolution. </w:t>
      </w:r>
      <w:r>
        <w:rPr>
          <w:rFonts w:cs="Univers"/>
        </w:rPr>
        <w:t>Ecosystem Services, Vol 4, June 2013:47-59</w:t>
      </w:r>
    </w:p>
    <w:p w:rsidR="001C55F3" w:rsidRDefault="001C55F3" w:rsidP="001C55F3">
      <w:pPr>
        <w:pStyle w:val="Paragraphedeliste"/>
        <w:autoSpaceDE w:val="0"/>
        <w:autoSpaceDN w:val="0"/>
        <w:adjustRightInd w:val="0"/>
        <w:spacing w:after="0" w:line="240" w:lineRule="auto"/>
        <w:ind w:left="0"/>
        <w:jc w:val="both"/>
        <w:rPr>
          <w:b/>
          <w:bCs/>
        </w:rPr>
      </w:pPr>
    </w:p>
    <w:p w:rsidR="001C55F3" w:rsidRPr="00295D0C" w:rsidRDefault="001C55F3" w:rsidP="001C55F3">
      <w:pPr>
        <w:pStyle w:val="Paragraphedeliste"/>
        <w:autoSpaceDE w:val="0"/>
        <w:autoSpaceDN w:val="0"/>
        <w:adjustRightInd w:val="0"/>
        <w:spacing w:after="0" w:line="240" w:lineRule="auto"/>
        <w:ind w:left="0"/>
        <w:jc w:val="both"/>
        <w:rPr>
          <w:b/>
          <w:bCs/>
        </w:rPr>
      </w:pPr>
      <w:r w:rsidRPr="007741E5">
        <w:rPr>
          <w:bCs/>
        </w:rPr>
        <w:t>Kienast F, Bolliger J, Potschin M, de Groot RS, Verburg PH, Heller I, Wascher D, Haines-Young R. (2009).</w:t>
      </w:r>
      <w:r w:rsidRPr="005C21C9">
        <w:rPr>
          <w:b/>
          <w:bCs/>
        </w:rPr>
        <w:t>Assessing landscape functions with broad-scale environmental data: Insights gained from a prototype development for Europe.</w:t>
      </w:r>
      <w:r w:rsidRPr="007741E5">
        <w:rPr>
          <w:bCs/>
        </w:rPr>
        <w:t>Environmental Management 44:1099–1120.</w:t>
      </w:r>
    </w:p>
    <w:p w:rsidR="001C55F3" w:rsidRDefault="001C55F3" w:rsidP="001C55F3">
      <w:pPr>
        <w:autoSpaceDE w:val="0"/>
        <w:autoSpaceDN w:val="0"/>
        <w:adjustRightInd w:val="0"/>
        <w:spacing w:after="0" w:line="240" w:lineRule="auto"/>
        <w:jc w:val="both"/>
      </w:pPr>
    </w:p>
    <w:p w:rsidR="001C55F3" w:rsidRPr="003C7951" w:rsidRDefault="001C55F3" w:rsidP="001C55F3">
      <w:pPr>
        <w:autoSpaceDE w:val="0"/>
        <w:autoSpaceDN w:val="0"/>
        <w:adjustRightInd w:val="0"/>
        <w:spacing w:after="0" w:line="240" w:lineRule="auto"/>
        <w:jc w:val="both"/>
        <w:rPr>
          <w:rFonts w:cstheme="minorHAnsi"/>
        </w:rPr>
      </w:pPr>
      <w:r w:rsidRPr="003C7951">
        <w:t xml:space="preserve">Maes, Joachim, Benis Egoh , Louise Willemen, Camino Liquete, PetteriVihervaara, Jan Philipp Schagner , BrunaGrizzetti , EvangeliaG.Drakou , Alessandra LaNotte , GraziaZulian , FaycalBouraoui, Maria Luisa Paracchini , Leon Braat , Giovanni Bidoglio  </w:t>
      </w:r>
      <w:r w:rsidRPr="003C7951">
        <w:rPr>
          <w:b/>
        </w:rPr>
        <w:t xml:space="preserve">Mapping ecosystem services for policy support and decision making in the European Union. </w:t>
      </w:r>
      <w:r w:rsidRPr="003C7951">
        <w:rPr>
          <w:rFonts w:cstheme="minorHAnsi"/>
        </w:rPr>
        <w:t>Ecosystem Services: Volume 1,  Issue 1 , July 2012, p 31-39. Elsevier publ. Amsterdam.</w:t>
      </w:r>
    </w:p>
    <w:p w:rsidR="001C55F3" w:rsidRDefault="001C55F3" w:rsidP="001C55F3">
      <w:pPr>
        <w:autoSpaceDE w:val="0"/>
        <w:autoSpaceDN w:val="0"/>
        <w:adjustRightInd w:val="0"/>
        <w:spacing w:after="0" w:line="240" w:lineRule="auto"/>
        <w:jc w:val="both"/>
        <w:rPr>
          <w:rFonts w:cs="Calibri"/>
          <w:color w:val="000000"/>
        </w:rPr>
      </w:pPr>
    </w:p>
    <w:p w:rsidR="001C55F3" w:rsidRPr="000C359F" w:rsidRDefault="001C55F3" w:rsidP="001C55F3">
      <w:pPr>
        <w:pStyle w:val="Default"/>
        <w:jc w:val="both"/>
        <w:rPr>
          <w:rFonts w:asciiTheme="minorHAnsi" w:hAnsiTheme="minorHAnsi" w:cstheme="minorHAnsi"/>
          <w:bCs/>
          <w:sz w:val="22"/>
          <w:szCs w:val="22"/>
        </w:rPr>
      </w:pPr>
      <w:r w:rsidRPr="000C359F">
        <w:rPr>
          <w:rFonts w:asciiTheme="minorHAnsi" w:hAnsiTheme="minorHAnsi" w:cs="EC Square Sans Cond Pro"/>
          <w:sz w:val="22"/>
          <w:szCs w:val="22"/>
        </w:rPr>
        <w:t xml:space="preserve">Maes J, Teller A, Erhard M, Liquete C, Braat L, Berry P, Egoh B, Puydarrieux P, Fiorina C, Santos F, Paracchini ML, Keune H, Wittmer H, Hauck J, Fiala I, Verburg PH, Condé S, Schägner JP, San Miguel J, Estreguil C, Ostermann O, Barredo JI, Pereira HM, Stott A, Laporte V, Meiner A, Olah B, RoyoGelabert E, Spyropoulou R, Petersen JE, Maguire C, Zal N, Achilleos E, Rubin A, Ledoux L, Brown C, Raes C, Jacobs S, Vandewalle M, Connor D, Bidoglio G (2013) </w:t>
      </w:r>
      <w:r w:rsidRPr="000C359F">
        <w:rPr>
          <w:rFonts w:asciiTheme="minorHAnsi" w:hAnsiTheme="minorHAnsi" w:cs="EC Square Sans Cond Pro"/>
          <w:b/>
          <w:sz w:val="22"/>
          <w:szCs w:val="22"/>
        </w:rPr>
        <w:t>Mapping and Assessment of Ecosystems and their Services. An analytical framework for ecosystem assessments under action 5 of the EU biodiversity strategy to 2020</w:t>
      </w:r>
      <w:r w:rsidRPr="000C359F">
        <w:rPr>
          <w:rFonts w:asciiTheme="minorHAnsi" w:hAnsiTheme="minorHAnsi" w:cs="EC Square Sans Cond Pro"/>
          <w:sz w:val="22"/>
          <w:szCs w:val="22"/>
        </w:rPr>
        <w:t>. Publications office of the European Union, Luxembourg.</w:t>
      </w:r>
    </w:p>
    <w:p w:rsidR="001C55F3" w:rsidRDefault="001C55F3" w:rsidP="001C55F3">
      <w:pPr>
        <w:pStyle w:val="Default"/>
        <w:jc w:val="both"/>
        <w:rPr>
          <w:rFonts w:asciiTheme="minorHAnsi" w:hAnsiTheme="minorHAnsi" w:cstheme="minorHAnsi"/>
          <w:bCs/>
          <w:sz w:val="22"/>
          <w:szCs w:val="22"/>
        </w:rPr>
      </w:pPr>
    </w:p>
    <w:p w:rsidR="001C55F3" w:rsidRPr="003C7951" w:rsidRDefault="001C55F3" w:rsidP="001C55F3">
      <w:pPr>
        <w:autoSpaceDE w:val="0"/>
        <w:autoSpaceDN w:val="0"/>
        <w:adjustRightInd w:val="0"/>
        <w:spacing w:after="0" w:line="240" w:lineRule="auto"/>
        <w:jc w:val="both"/>
        <w:rPr>
          <w:rFonts w:cstheme="minorHAnsi"/>
        </w:rPr>
      </w:pPr>
      <w:r w:rsidRPr="003C7951">
        <w:rPr>
          <w:rFonts w:cstheme="minorHAnsi"/>
        </w:rPr>
        <w:t>Maes, Joachim, Leon Braat, Kurt Jax, Mike Hutchins, Eeva Furman, Mette Termansen, Sandra Luque, Maria Luisa Paracchini, Christophe Chauvin, Richard Williams, Martin Volk, Sven Lautenbach, LeenaKopperoinen, Mart-Jan Schelhaas, Jens Weinert, Martin Goossen, Egon Dumont, Michael Strauch,</w:t>
      </w:r>
    </w:p>
    <w:p w:rsidR="001C55F3" w:rsidRPr="003C7951" w:rsidRDefault="001C55F3" w:rsidP="001C55F3">
      <w:pPr>
        <w:autoSpaceDE w:val="0"/>
        <w:autoSpaceDN w:val="0"/>
        <w:adjustRightInd w:val="0"/>
        <w:spacing w:after="0" w:line="240" w:lineRule="auto"/>
        <w:jc w:val="both"/>
        <w:rPr>
          <w:rFonts w:cstheme="minorHAnsi"/>
        </w:rPr>
      </w:pPr>
      <w:r w:rsidRPr="003C7951">
        <w:rPr>
          <w:rFonts w:cstheme="minorHAnsi"/>
        </w:rPr>
        <w:t>ChristophGörg, CarstenDormann, Mira Katwinkel, GraziaZulian, RikuVarjopuro, OutiRatamäki, Jennifer Hauck, Martin Forsius, GeertenHengeveld, Marta Perez-Soba, FaycalBouraoui, Mathias Scholz, Christiane Schulz-Zunkel, AhtiLepistö, YulianaPolishchuk, Giovanni Bidoglio (</w:t>
      </w:r>
      <w:r w:rsidRPr="003C7951">
        <w:rPr>
          <w:rFonts w:cstheme="minorHAnsi"/>
          <w:b/>
        </w:rPr>
        <w:t>2011a</w:t>
      </w:r>
      <w:r w:rsidRPr="003C7951">
        <w:rPr>
          <w:rFonts w:cstheme="minorHAnsi"/>
        </w:rPr>
        <w:t xml:space="preserve">). </w:t>
      </w:r>
      <w:r w:rsidRPr="003C7951">
        <w:rPr>
          <w:rFonts w:cstheme="minorHAnsi"/>
          <w:b/>
          <w:iCs/>
        </w:rPr>
        <w:t>A spatial assessment of ecosystem services in Europe: methods,case studies and policy analysis - phase 1</w:t>
      </w:r>
      <w:r w:rsidRPr="003C7951">
        <w:rPr>
          <w:rFonts w:cstheme="minorHAnsi"/>
          <w:b/>
          <w:i/>
          <w:iCs/>
        </w:rPr>
        <w:t>.</w:t>
      </w:r>
      <w:r w:rsidRPr="003C7951">
        <w:rPr>
          <w:rFonts w:cstheme="minorHAnsi"/>
        </w:rPr>
        <w:t>PEER Report No 3. Ispra: Partnership for European Environmental Research.</w:t>
      </w:r>
      <w:r w:rsidRPr="003C7951">
        <w:rPr>
          <w:rFonts w:cstheme="minorHAnsi"/>
          <w:color w:val="000000"/>
        </w:rPr>
        <w:t xml:space="preserve"> Online at </w:t>
      </w:r>
      <w:hyperlink r:id="rId57" w:history="1">
        <w:r w:rsidRPr="003C7951">
          <w:rPr>
            <w:rStyle w:val="Lienhypertexte"/>
            <w:rFonts w:cstheme="minorHAnsi"/>
          </w:rPr>
          <w:t>http://www.peer.eu/projects/press/</w:t>
        </w:r>
      </w:hyperlink>
    </w:p>
    <w:p w:rsidR="001C55F3" w:rsidRDefault="001C55F3" w:rsidP="001C55F3">
      <w:pPr>
        <w:pStyle w:val="Default"/>
        <w:jc w:val="both"/>
        <w:rPr>
          <w:rFonts w:asciiTheme="minorHAnsi" w:hAnsiTheme="minorHAnsi" w:cstheme="minorHAnsi"/>
          <w:bCs/>
          <w:sz w:val="22"/>
          <w:szCs w:val="22"/>
        </w:rPr>
      </w:pPr>
    </w:p>
    <w:p w:rsidR="001C55F3" w:rsidRPr="00ED3767" w:rsidRDefault="001C55F3" w:rsidP="001C55F3">
      <w:pPr>
        <w:autoSpaceDE w:val="0"/>
        <w:autoSpaceDN w:val="0"/>
        <w:adjustRightInd w:val="0"/>
        <w:spacing w:after="0" w:line="240" w:lineRule="auto"/>
        <w:jc w:val="both"/>
        <w:rPr>
          <w:rFonts w:cstheme="minorHAnsi"/>
          <w:color w:val="0000FF"/>
        </w:rPr>
      </w:pPr>
      <w:r w:rsidRPr="003C7951">
        <w:rPr>
          <w:rFonts w:cs="Calibri"/>
          <w:color w:val="000000"/>
        </w:rPr>
        <w:t xml:space="preserve">Maes, Joachim, Jennifer Hauck, Maria Luisa Paracchini, OutiRatamäki, MetteTermansen, Marta Perez-Soba, LeenaKopperoinen, KatriRankinen, Jan Philipp Schägner, Peter Henrys, IwonaCisowska, Marianne Zandersen, Kurt Jax, Alessandra La Notte, NikoLeikola, EijaPouta, Simon Smart, BeritHasler, TuikaLankia, Hans Estrup Andersen, Carlo Lavalle, TommerVermaas, Mohammed HussenAlemu, Paul Scholefield, Filipe Batista, Richard Pywell, Mike Hutchins, Morten Blemmer, Anders Fonnesbech-Wulff, Adam J. Vanbergen, Bernd Münier, Claudia Baranzelli, David Roy, Vincent Thieu, GraziaZulian, MikkoKuussaari, Hans Thodsen, Eeva-LiisaAlanen, BenisEgoh, Peter BorgenSørensen, Leon Braat, </w:t>
      </w:r>
      <w:r w:rsidRPr="003C7951">
        <w:rPr>
          <w:rFonts w:cs="Calibri"/>
          <w:color w:val="000000"/>
        </w:rPr>
        <w:lastRenderedPageBreak/>
        <w:t>Giovanni Bidoglio (</w:t>
      </w:r>
      <w:r w:rsidRPr="003C7951">
        <w:rPr>
          <w:rFonts w:cs="Calibri"/>
          <w:b/>
          <w:color w:val="000000"/>
        </w:rPr>
        <w:t>2012a)A spatial assessment of ecosystem services in Europe: methods, case studies and policy analysis. The Phase 2 Synthesis report</w:t>
      </w:r>
      <w:r w:rsidRPr="003C7951">
        <w:rPr>
          <w:rFonts w:cs="Calibri"/>
          <w:color w:val="000000"/>
        </w:rPr>
        <w:t>.. PEER report no 4. Ispra.</w:t>
      </w:r>
    </w:p>
    <w:p w:rsidR="001C55F3" w:rsidRDefault="001C55F3" w:rsidP="001C55F3">
      <w:pPr>
        <w:pStyle w:val="Default"/>
        <w:jc w:val="both"/>
        <w:rPr>
          <w:rFonts w:asciiTheme="minorHAnsi" w:hAnsiTheme="minorHAnsi" w:cstheme="minorHAnsi"/>
          <w:bCs/>
          <w:sz w:val="22"/>
          <w:szCs w:val="22"/>
        </w:rPr>
      </w:pPr>
    </w:p>
    <w:p w:rsidR="001C55F3" w:rsidRPr="003C7951" w:rsidRDefault="001C55F3" w:rsidP="001C55F3">
      <w:pPr>
        <w:pStyle w:val="Default"/>
        <w:jc w:val="both"/>
        <w:rPr>
          <w:rFonts w:asciiTheme="minorHAnsi" w:hAnsiTheme="minorHAnsi" w:cstheme="minorHAnsi"/>
          <w:sz w:val="22"/>
          <w:szCs w:val="22"/>
        </w:rPr>
      </w:pPr>
      <w:r w:rsidRPr="003C7951">
        <w:rPr>
          <w:rFonts w:asciiTheme="minorHAnsi" w:hAnsiTheme="minorHAnsi" w:cstheme="minorHAnsi"/>
          <w:bCs/>
          <w:sz w:val="22"/>
          <w:szCs w:val="22"/>
        </w:rPr>
        <w:t>Maes, Joachim, Maria Luisa Paracchini, GraziaZulian (</w:t>
      </w:r>
      <w:r w:rsidRPr="003C7951">
        <w:rPr>
          <w:rFonts w:asciiTheme="minorHAnsi" w:hAnsiTheme="minorHAnsi" w:cstheme="minorHAnsi"/>
          <w:b/>
          <w:bCs/>
          <w:sz w:val="22"/>
          <w:szCs w:val="22"/>
        </w:rPr>
        <w:t xml:space="preserve">2011b) </w:t>
      </w:r>
      <w:r w:rsidRPr="003C7951">
        <w:rPr>
          <w:rFonts w:asciiTheme="minorHAnsi" w:hAnsiTheme="minorHAnsi" w:cstheme="minorHAnsi"/>
          <w:b/>
          <w:sz w:val="22"/>
          <w:szCs w:val="22"/>
        </w:rPr>
        <w:t xml:space="preserve">Towards an atlas of ecosystem services: </w:t>
      </w:r>
      <w:r w:rsidRPr="003C7951">
        <w:rPr>
          <w:rFonts w:asciiTheme="minorHAnsi" w:hAnsiTheme="minorHAnsi" w:cstheme="minorHAnsi"/>
          <w:b/>
          <w:bCs/>
          <w:sz w:val="22"/>
          <w:szCs w:val="22"/>
        </w:rPr>
        <w:t>A European assessment of the provision of ecosystem services</w:t>
      </w:r>
      <w:r w:rsidRPr="003C7951">
        <w:rPr>
          <w:rFonts w:asciiTheme="minorHAnsi" w:hAnsiTheme="minorHAnsi" w:cstheme="minorHAnsi"/>
          <w:bCs/>
          <w:sz w:val="22"/>
          <w:szCs w:val="22"/>
        </w:rPr>
        <w:t>.</w:t>
      </w:r>
      <w:r w:rsidRPr="003C7951">
        <w:rPr>
          <w:rFonts w:asciiTheme="minorHAnsi" w:hAnsiTheme="minorHAnsi" w:cstheme="minorHAnsi"/>
          <w:sz w:val="22"/>
          <w:szCs w:val="22"/>
        </w:rPr>
        <w:t xml:space="preserve"> European Commission </w:t>
      </w:r>
    </w:p>
    <w:p w:rsidR="001C55F3" w:rsidRDefault="001C55F3" w:rsidP="001C55F3">
      <w:pPr>
        <w:autoSpaceDE w:val="0"/>
        <w:autoSpaceDN w:val="0"/>
        <w:adjustRightInd w:val="0"/>
        <w:spacing w:after="0" w:line="240" w:lineRule="auto"/>
        <w:jc w:val="both"/>
        <w:rPr>
          <w:rFonts w:cstheme="minorHAnsi"/>
          <w:color w:val="0000FF"/>
        </w:rPr>
      </w:pPr>
      <w:r w:rsidRPr="003C7951">
        <w:rPr>
          <w:rFonts w:cstheme="minorHAnsi"/>
          <w:color w:val="000000"/>
        </w:rPr>
        <w:t>Joint Research Centre, Institute for Environment and Sustainability, Ispra.</w:t>
      </w:r>
    </w:p>
    <w:p w:rsidR="001C55F3" w:rsidRPr="003C7951" w:rsidRDefault="001C55F3" w:rsidP="001C55F3">
      <w:pPr>
        <w:autoSpaceDE w:val="0"/>
        <w:autoSpaceDN w:val="0"/>
        <w:adjustRightInd w:val="0"/>
        <w:spacing w:after="0" w:line="240" w:lineRule="auto"/>
        <w:jc w:val="both"/>
        <w:rPr>
          <w:rFonts w:cstheme="minorHAnsi"/>
          <w:color w:val="0000FF"/>
        </w:rPr>
      </w:pPr>
      <w:r w:rsidRPr="003C7951">
        <w:rPr>
          <w:rFonts w:cstheme="minorHAnsi"/>
          <w:color w:val="0000FF"/>
        </w:rPr>
        <w:t>http://publications.jrc.ec.europa.eu/repository/handle/111111111/16103</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rPr>
      </w:pPr>
      <w:r>
        <w:rPr>
          <w:lang w:val="de-CH"/>
        </w:rPr>
        <w:t>MilleniumEcosystem Assessment</w:t>
      </w:r>
      <w:r w:rsidRPr="007741E5">
        <w:rPr>
          <w:lang w:val="en-US"/>
        </w:rPr>
        <w:t>(2005).</w:t>
      </w:r>
      <w:r w:rsidRPr="005C21C9">
        <w:rPr>
          <w:b/>
        </w:rPr>
        <w:t xml:space="preserve">Ecosystems and Human Well-Being: Current State and Trends. </w:t>
      </w:r>
      <w:r w:rsidRPr="007741E5">
        <w:t>Washington, DC: Island Press</w:t>
      </w:r>
    </w:p>
    <w:p w:rsidR="001C55F3" w:rsidRDefault="001C55F3" w:rsidP="001C55F3">
      <w:pPr>
        <w:autoSpaceDE w:val="0"/>
        <w:autoSpaceDN w:val="0"/>
        <w:adjustRightInd w:val="0"/>
        <w:spacing w:after="0" w:line="240" w:lineRule="auto"/>
        <w:rPr>
          <w:rFonts w:cs="Univers"/>
        </w:rPr>
      </w:pPr>
    </w:p>
    <w:p w:rsidR="001C55F3" w:rsidRPr="00916914" w:rsidRDefault="001C55F3" w:rsidP="001C55F3">
      <w:pPr>
        <w:autoSpaceDE w:val="0"/>
        <w:autoSpaceDN w:val="0"/>
        <w:adjustRightInd w:val="0"/>
        <w:spacing w:after="0" w:line="240" w:lineRule="auto"/>
        <w:rPr>
          <w:rFonts w:cs="Univers"/>
        </w:rPr>
      </w:pPr>
      <w:r w:rsidRPr="00916914">
        <w:rPr>
          <w:rFonts w:cs="Univers"/>
        </w:rPr>
        <w:t xml:space="preserve">Millennium Ecosystem Assessment (2010) </w:t>
      </w:r>
      <w:r w:rsidRPr="00916914">
        <w:rPr>
          <w:rFonts w:cs="Univers"/>
          <w:b/>
        </w:rPr>
        <w:t>Ecosystems and Human Well-Being: A Manual for Assessment Practitioners.</w:t>
      </w:r>
      <w:r w:rsidRPr="00916914">
        <w:rPr>
          <w:rFonts w:cs="Univers"/>
        </w:rPr>
        <w:t xml:space="preserve"> UNEP, Nairobi.</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rPr>
      </w:pPr>
      <w:r>
        <w:rPr>
          <w:rFonts w:cs="Univers"/>
        </w:rPr>
        <w:t xml:space="preserve">Palomo, I.  , B. Martín-López , M. Potschin , R. Haines-Young and C. Montes (2013) </w:t>
      </w:r>
      <w:r>
        <w:rPr>
          <w:rFonts w:cs="Univers"/>
          <w:b/>
        </w:rPr>
        <w:t>National Parks, buffer zones and surrounding lands: Mapping ecosystem service flows.</w:t>
      </w:r>
      <w:r>
        <w:rPr>
          <w:rFonts w:cs="Univers"/>
        </w:rPr>
        <w:t xml:space="preserve"> Ecosystem Services, Vol 4, June 2013:104-116</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rPr>
      </w:pPr>
      <w:r>
        <w:rPr>
          <w:rFonts w:cs="Univers"/>
        </w:rPr>
        <w:t xml:space="preserve">Tardieu, L.  , S. Roussel and J.-M. Salles (2013) </w:t>
      </w:r>
      <w:r>
        <w:rPr>
          <w:rFonts w:cs="Univers"/>
          <w:b/>
        </w:rPr>
        <w:t xml:space="preserve">Assessing and mapping global climate regulation service loss induced by Terrestrial Transport Infrastructure construction. </w:t>
      </w:r>
      <w:r>
        <w:rPr>
          <w:rFonts w:cs="Univers"/>
        </w:rPr>
        <w:t>Ecosystem Services, Vol 4, June 2013:73-81</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rPr>
      </w:pPr>
      <w:r>
        <w:rPr>
          <w:rFonts w:cs="Univers"/>
        </w:rPr>
        <w:t xml:space="preserve">TEEB-The Economics of Ecosystems and Biodiversity (2013) </w:t>
      </w:r>
      <w:r w:rsidRPr="00FD299A">
        <w:rPr>
          <w:rFonts w:cs="Univers"/>
          <w:b/>
        </w:rPr>
        <w:t>Guidance Manual for TEEB Country Studies. Version 1.0</w:t>
      </w:r>
      <w:r>
        <w:rPr>
          <w:rFonts w:cs="Univers"/>
        </w:rPr>
        <w:t>. UNEP, Geneva.</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rPr>
      </w:pPr>
      <w:r>
        <w:rPr>
          <w:rFonts w:cs="Univers"/>
        </w:rPr>
        <w:t xml:space="preserve">Willemen, L.  , E.G. Drakou , M.B. Dunbar , P. Mayaux and B.N. Egoh (2013) </w:t>
      </w:r>
      <w:r>
        <w:rPr>
          <w:rFonts w:cs="Univers"/>
          <w:b/>
        </w:rPr>
        <w:t xml:space="preserve">Safeguarding ecosystem services and livelihoods: Understanding the impact of conservation strategies on benefit flows to society. </w:t>
      </w:r>
      <w:r>
        <w:rPr>
          <w:rFonts w:cs="Univers"/>
        </w:rPr>
        <w:t>Ecosystem Services, Vol 4, June 2013:95-103</w:t>
      </w:r>
    </w:p>
    <w:p w:rsidR="001C55F3" w:rsidRPr="004C0F61" w:rsidRDefault="001C55F3" w:rsidP="001C55F3">
      <w:pPr>
        <w:spacing w:line="240" w:lineRule="auto"/>
        <w:rPr>
          <w:rFonts w:eastAsia="Times New Roman" w:cs="Arial"/>
          <w:b/>
          <w:color w:val="0F0F0F"/>
          <w:lang w:eastAsia="es-ES"/>
        </w:rPr>
      </w:pPr>
    </w:p>
    <w:p w:rsidR="001C55F3" w:rsidRDefault="001C55F3" w:rsidP="001C55F3">
      <w:pPr>
        <w:rPr>
          <w:rFonts w:eastAsia="Times New Roman" w:cs="Arial"/>
          <w:b/>
          <w:color w:val="0F0F0F"/>
          <w:lang w:val="en-US" w:eastAsia="es-ES"/>
        </w:rPr>
      </w:pPr>
      <w:r>
        <w:rPr>
          <w:rFonts w:eastAsia="Times New Roman" w:cs="Arial"/>
          <w:b/>
          <w:color w:val="0F0F0F"/>
          <w:lang w:val="en-US" w:eastAsia="es-ES"/>
        </w:rPr>
        <w:br w:type="page"/>
      </w:r>
    </w:p>
    <w:p w:rsidR="001C55F3" w:rsidRPr="004B301E" w:rsidRDefault="001C55F3" w:rsidP="001C55F3">
      <w:pPr>
        <w:pStyle w:val="Titre1"/>
        <w:rPr>
          <w:rFonts w:eastAsia="Times New Roman" w:cs="Arial"/>
          <w:color w:val="0F0F0F"/>
          <w:sz w:val="36"/>
          <w:szCs w:val="36"/>
          <w:lang w:val="en-US" w:eastAsia="es-ES"/>
        </w:rPr>
      </w:pPr>
      <w:r w:rsidRPr="004B301E">
        <w:rPr>
          <w:sz w:val="36"/>
          <w:szCs w:val="36"/>
        </w:rPr>
        <w:lastRenderedPageBreak/>
        <w:t>SOURCES OF INFORMATION FOR COU</w:t>
      </w:r>
      <w:r>
        <w:rPr>
          <w:sz w:val="36"/>
          <w:szCs w:val="36"/>
        </w:rPr>
        <w:t>N</w:t>
      </w:r>
      <w:r w:rsidRPr="004B301E">
        <w:rPr>
          <w:sz w:val="36"/>
          <w:szCs w:val="36"/>
        </w:rPr>
        <w:t>TRY CASES</w:t>
      </w:r>
    </w:p>
    <w:p w:rsidR="001C55F3" w:rsidRDefault="001C55F3" w:rsidP="001C55F3">
      <w:pPr>
        <w:autoSpaceDE w:val="0"/>
        <w:autoSpaceDN w:val="0"/>
        <w:adjustRightInd w:val="0"/>
        <w:spacing w:after="0" w:line="240" w:lineRule="auto"/>
        <w:jc w:val="both"/>
        <w:rPr>
          <w:rFonts w:eastAsia="Times New Roman" w:cs="Arial"/>
          <w:b/>
          <w:color w:val="0F0F0F"/>
          <w:sz w:val="40"/>
          <w:szCs w:val="40"/>
          <w:lang w:val="en-US" w:eastAsia="es-ES"/>
        </w:rPr>
      </w:pPr>
    </w:p>
    <w:p w:rsidR="001C55F3" w:rsidRDefault="001C55F3" w:rsidP="001C55F3">
      <w:pPr>
        <w:autoSpaceDE w:val="0"/>
        <w:autoSpaceDN w:val="0"/>
        <w:adjustRightInd w:val="0"/>
        <w:spacing w:after="0" w:line="240" w:lineRule="auto"/>
        <w:jc w:val="both"/>
        <w:rPr>
          <w:rFonts w:eastAsia="Times New Roman" w:cs="Arial"/>
          <w:b/>
          <w:color w:val="0F0F0F"/>
          <w:sz w:val="40"/>
          <w:szCs w:val="40"/>
          <w:lang w:val="en-US" w:eastAsia="es-ES"/>
        </w:rPr>
      </w:pPr>
      <w:r>
        <w:rPr>
          <w:rFonts w:eastAsia="Times New Roman" w:cs="Arial"/>
          <w:b/>
          <w:color w:val="0F0F0F"/>
          <w:sz w:val="40"/>
          <w:szCs w:val="40"/>
          <w:lang w:val="en-US" w:eastAsia="es-ES"/>
        </w:rPr>
        <w:t>UK</w:t>
      </w:r>
    </w:p>
    <w:p w:rsidR="001C55F3" w:rsidRDefault="001C55F3" w:rsidP="001C55F3">
      <w:pPr>
        <w:autoSpaceDE w:val="0"/>
        <w:autoSpaceDN w:val="0"/>
        <w:adjustRightInd w:val="0"/>
        <w:spacing w:after="0" w:line="240" w:lineRule="auto"/>
        <w:jc w:val="both"/>
        <w:rPr>
          <w:rFonts w:eastAsia="Times New Roman" w:cs="Arial"/>
          <w:b/>
          <w:color w:val="0F0F0F"/>
          <w:lang w:val="en-US" w:eastAsia="es-ES"/>
        </w:rPr>
      </w:pPr>
    </w:p>
    <w:p w:rsidR="001C55F3" w:rsidRPr="00295D0C" w:rsidRDefault="001C55F3" w:rsidP="001C55F3">
      <w:pPr>
        <w:autoSpaceDE w:val="0"/>
        <w:autoSpaceDN w:val="0"/>
        <w:adjustRightInd w:val="0"/>
        <w:spacing w:after="0" w:line="240" w:lineRule="auto"/>
        <w:jc w:val="both"/>
        <w:rPr>
          <w:rFonts w:eastAsia="Times New Roman" w:cs="Arial"/>
          <w:b/>
          <w:color w:val="0F0F0F"/>
          <w:lang w:val="en-US" w:eastAsia="es-ES"/>
        </w:rPr>
      </w:pPr>
      <w:r>
        <w:rPr>
          <w:rFonts w:eastAsia="Times New Roman" w:cs="Arial"/>
          <w:b/>
          <w:color w:val="0F0F0F"/>
          <w:lang w:val="en-US" w:eastAsia="es-ES"/>
        </w:rPr>
        <w:t>UK National Ecosystem Assessment</w:t>
      </w:r>
    </w:p>
    <w:p w:rsidR="001C55F3" w:rsidRDefault="001C55F3" w:rsidP="001C55F3">
      <w:pPr>
        <w:autoSpaceDE w:val="0"/>
        <w:autoSpaceDN w:val="0"/>
        <w:adjustRightInd w:val="0"/>
        <w:spacing w:after="0" w:line="240" w:lineRule="auto"/>
        <w:jc w:val="both"/>
        <w:rPr>
          <w:rFonts w:eastAsia="Times New Roman" w:cs="Arial"/>
          <w:b/>
          <w:color w:val="0F0F0F"/>
          <w:sz w:val="40"/>
          <w:szCs w:val="40"/>
          <w:lang w:val="en-US" w:eastAsia="es-ES"/>
        </w:rPr>
      </w:pPr>
    </w:p>
    <w:p w:rsidR="001C55F3" w:rsidRPr="00295D0C" w:rsidRDefault="001C55F3" w:rsidP="001C55F3">
      <w:pPr>
        <w:autoSpaceDE w:val="0"/>
        <w:autoSpaceDN w:val="0"/>
        <w:adjustRightInd w:val="0"/>
        <w:spacing w:after="0" w:line="240" w:lineRule="auto"/>
        <w:jc w:val="both"/>
        <w:rPr>
          <w:rFonts w:eastAsia="Times New Roman" w:cs="Arial"/>
          <w:b/>
          <w:color w:val="0F0F0F"/>
          <w:sz w:val="40"/>
          <w:szCs w:val="40"/>
          <w:lang w:val="en-US" w:eastAsia="es-ES"/>
        </w:rPr>
      </w:pPr>
      <w:r w:rsidRPr="00295D0C">
        <w:rPr>
          <w:rFonts w:eastAsia="Times New Roman" w:cs="Arial"/>
          <w:b/>
          <w:color w:val="0F0F0F"/>
          <w:sz w:val="40"/>
          <w:szCs w:val="40"/>
          <w:lang w:val="en-US" w:eastAsia="es-ES"/>
        </w:rPr>
        <w:t>Spain</w:t>
      </w:r>
    </w:p>
    <w:p w:rsidR="001C55F3" w:rsidRPr="003C7951" w:rsidRDefault="001C55F3" w:rsidP="001C55F3">
      <w:pPr>
        <w:autoSpaceDE w:val="0"/>
        <w:autoSpaceDN w:val="0"/>
        <w:adjustRightInd w:val="0"/>
        <w:spacing w:after="0" w:line="240" w:lineRule="auto"/>
        <w:jc w:val="both"/>
        <w:rPr>
          <w:rFonts w:eastAsia="Times New Roman" w:cs="Arial"/>
          <w:b/>
          <w:color w:val="0F0F0F"/>
          <w:u w:val="single"/>
          <w:lang w:val="en-US" w:eastAsia="es-ES"/>
        </w:rPr>
      </w:pP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r w:rsidRPr="003C7951">
        <w:rPr>
          <w:rFonts w:eastAsia="Times New Roman" w:cs="Arial"/>
          <w:b/>
          <w:color w:val="0F0F0F"/>
          <w:u w:val="single"/>
          <w:lang w:val="en-US" w:eastAsia="es-ES"/>
        </w:rPr>
        <w:t>Reports (S</w:t>
      </w:r>
      <w:r w:rsidRPr="003C7951">
        <w:rPr>
          <w:rFonts w:eastAsia="Times New Roman" w:cs="Arial"/>
          <w:b/>
          <w:color w:val="0F0F0F"/>
          <w:lang w:val="en-US" w:eastAsia="es-ES"/>
        </w:rPr>
        <w:t xml:space="preserve">panish version): </w:t>
      </w:r>
      <w:r w:rsidRPr="003C7951">
        <w:rPr>
          <w:rFonts w:eastAsia="Times New Roman" w:cs="Arial"/>
          <w:color w:val="0F0F0F"/>
          <w:lang w:val="en-US" w:eastAsia="es-ES"/>
        </w:rPr>
        <w:t>Synthesis of Results (2011)</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58" w:history="1">
        <w:r w:rsidRPr="003C7951">
          <w:rPr>
            <w:rFonts w:eastAsia="Times New Roman" w:cs="Arial"/>
            <w:color w:val="0000FF"/>
            <w:u w:val="single"/>
            <w:lang w:val="en-US" w:eastAsia="es-ES"/>
          </w:rPr>
          <w:t>http://www.ecomilenio.es/informe-sintesis-eme/2321</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 xml:space="preserve">Characterization of ecosystems types in Spain: </w:t>
      </w:r>
    </w:p>
    <w:p w:rsidR="001C55F3" w:rsidRPr="003C7951" w:rsidRDefault="001C55F3" w:rsidP="001C55F3">
      <w:pPr>
        <w:autoSpaceDE w:val="0"/>
        <w:autoSpaceDN w:val="0"/>
        <w:adjustRightInd w:val="0"/>
        <w:spacing w:after="0" w:line="240" w:lineRule="auto"/>
        <w:jc w:val="both"/>
        <w:rPr>
          <w:rFonts w:eastAsia="Calibri" w:cs="Times New Roman"/>
          <w:color w:val="0000FF"/>
          <w:u w:val="single"/>
          <w:lang w:val="en-US" w:eastAsia="es-ES"/>
        </w:rPr>
      </w:pPr>
      <w:r w:rsidRPr="003C7951">
        <w:rPr>
          <w:rFonts w:eastAsia="Calibri" w:cs="Times New Roman"/>
          <w:color w:val="0000FF"/>
          <w:u w:val="single"/>
          <w:lang w:val="en-US" w:eastAsia="es-ES"/>
        </w:rPr>
        <w:t>http://www.ecomilenio.es/wp-content/uploads/2012/03/03-Caracterizaci%C3%B3n-de-los-TOE-web.pdf</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 xml:space="preserve">Biodiversity assessment: </w:t>
      </w:r>
    </w:p>
    <w:p w:rsidR="001C55F3" w:rsidRPr="003C7951" w:rsidRDefault="001C55F3" w:rsidP="001C55F3">
      <w:pPr>
        <w:autoSpaceDE w:val="0"/>
        <w:autoSpaceDN w:val="0"/>
        <w:adjustRightInd w:val="0"/>
        <w:spacing w:after="0" w:line="240" w:lineRule="auto"/>
        <w:jc w:val="both"/>
        <w:rPr>
          <w:rFonts w:eastAsia="Calibri" w:cs="Times New Roman"/>
          <w:color w:val="0000FF"/>
          <w:u w:val="single"/>
          <w:lang w:val="en-US" w:eastAsia="es-ES"/>
        </w:rPr>
      </w:pPr>
      <w:r w:rsidRPr="003C7951">
        <w:rPr>
          <w:rFonts w:eastAsia="Calibri" w:cs="Times New Roman"/>
          <w:color w:val="0000FF"/>
          <w:u w:val="single"/>
          <w:lang w:val="en-US" w:eastAsia="es-ES"/>
        </w:rPr>
        <w:t>http://www.ecomilenio.es/wp-content/uploads/2012/03/04-Biodiversidad-web.pdf</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u w:val="single"/>
          <w:lang w:val="en-US" w:eastAsia="es-ES"/>
        </w:rPr>
      </w:pPr>
      <w:r w:rsidRPr="003C7951">
        <w:rPr>
          <w:rFonts w:eastAsia="Times New Roman" w:cs="Arial"/>
          <w:b/>
          <w:color w:val="0F0F0F"/>
          <w:u w:val="single"/>
          <w:lang w:val="en-US" w:eastAsia="es-ES"/>
        </w:rPr>
        <w:t>Ecosystem assessment:</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r w:rsidRPr="003C7951">
        <w:rPr>
          <w:rFonts w:eastAsia="Times New Roman" w:cs="Arial"/>
          <w:color w:val="0F0F0F"/>
          <w:lang w:val="en-US" w:eastAsia="es-ES"/>
        </w:rPr>
        <w:t xml:space="preserve">Mediterranean forest: </w:t>
      </w:r>
    </w:p>
    <w:p w:rsidR="001C55F3" w:rsidRPr="003C7951" w:rsidRDefault="001C55F3" w:rsidP="001C55F3">
      <w:pPr>
        <w:autoSpaceDE w:val="0"/>
        <w:autoSpaceDN w:val="0"/>
        <w:adjustRightInd w:val="0"/>
        <w:spacing w:after="0" w:line="240" w:lineRule="auto"/>
        <w:jc w:val="both"/>
        <w:rPr>
          <w:rFonts w:eastAsia="Calibri" w:cs="Times New Roman"/>
          <w:color w:val="0000FF"/>
          <w:u w:val="single"/>
          <w:lang w:val="en-US" w:eastAsia="es-ES"/>
        </w:rPr>
      </w:pPr>
      <w:hyperlink r:id="rId59" w:history="1">
        <w:r w:rsidRPr="003C7951">
          <w:rPr>
            <w:rStyle w:val="Lienhypertexte"/>
            <w:rFonts w:eastAsia="Calibri" w:cs="Times New Roman"/>
            <w:lang w:val="en-US" w:eastAsia="es-ES"/>
          </w:rPr>
          <w:t>http://www.ecomilenio.es/wp-content/uploads/2012/03/05-Bosque-y-matorral-escler%C3%B3filo-web.pdf</w:t>
        </w:r>
      </w:hyperlink>
    </w:p>
    <w:p w:rsidR="001C55F3" w:rsidRPr="001C55F3" w:rsidRDefault="001C55F3" w:rsidP="001C55F3">
      <w:pPr>
        <w:autoSpaceDE w:val="0"/>
        <w:autoSpaceDN w:val="0"/>
        <w:adjustRightInd w:val="0"/>
        <w:spacing w:after="0" w:line="240" w:lineRule="auto"/>
        <w:jc w:val="both"/>
        <w:rPr>
          <w:rFonts w:eastAsia="Times New Roman" w:cs="Arial"/>
          <w:color w:val="0F0F0F"/>
          <w:lang w:val="fr-BE" w:eastAsia="es-ES"/>
        </w:rPr>
      </w:pPr>
      <w:r w:rsidRPr="001C55F3">
        <w:rPr>
          <w:rFonts w:eastAsia="Times New Roman" w:cs="Arial"/>
          <w:color w:val="0F0F0F"/>
          <w:lang w:val="fr-BE" w:eastAsia="es-ES"/>
        </w:rPr>
        <w:t>Continental forest:</w:t>
      </w:r>
    </w:p>
    <w:p w:rsidR="001C55F3" w:rsidRPr="001C55F3" w:rsidRDefault="001C55F3" w:rsidP="001C55F3">
      <w:pPr>
        <w:autoSpaceDE w:val="0"/>
        <w:autoSpaceDN w:val="0"/>
        <w:adjustRightInd w:val="0"/>
        <w:spacing w:after="0" w:line="240" w:lineRule="auto"/>
        <w:jc w:val="both"/>
        <w:rPr>
          <w:rFonts w:eastAsia="Calibri" w:cs="Times New Roman"/>
          <w:color w:val="0000FF" w:themeColor="hyperlink"/>
          <w:u w:val="single"/>
          <w:lang w:val="fr-BE" w:eastAsia="es-ES"/>
        </w:rPr>
      </w:pPr>
      <w:r w:rsidRPr="001C55F3">
        <w:rPr>
          <w:rStyle w:val="Lienhypertexte"/>
          <w:rFonts w:eastAsia="Calibri" w:cs="Times New Roman"/>
          <w:lang w:val="fr-BE" w:eastAsia="es-ES"/>
        </w:rPr>
        <w:t>http://www.ecomilenio.es/wp-content/uploads/2012/03/06-Bosque-y-matorral-mediterr%C3%A1neo-continental-web.pdf</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r w:rsidRPr="003C7951">
        <w:rPr>
          <w:rFonts w:eastAsia="Times New Roman" w:cs="Arial"/>
          <w:color w:val="0F0F0F"/>
          <w:lang w:val="en-US" w:eastAsia="es-ES"/>
        </w:rPr>
        <w:t>Atlantic forest:</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60" w:history="1">
        <w:r w:rsidRPr="003C7951">
          <w:rPr>
            <w:rStyle w:val="Lienhypertexte"/>
            <w:rFonts w:eastAsia="Times New Roman" w:cs="Arial"/>
            <w:lang w:val="en-US" w:eastAsia="es-ES"/>
          </w:rPr>
          <w:t>http://www.ecomilenio.es/wp-content/uploads/2012/03/07-Bosques-atlanticos-web.pdf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r w:rsidRPr="003C7951">
        <w:rPr>
          <w:rFonts w:eastAsia="Times New Roman" w:cs="Arial"/>
          <w:color w:val="0F0F0F"/>
          <w:lang w:val="it-IT" w:eastAsia="es-ES"/>
        </w:rPr>
        <w:t>Alpine mountain</w:t>
      </w:r>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hyperlink r:id="rId61" w:history="1">
        <w:r w:rsidRPr="003C7951">
          <w:rPr>
            <w:rStyle w:val="Lienhypertexte"/>
            <w:rFonts w:eastAsia="Times New Roman" w:cs="Arial"/>
            <w:lang w:val="it-IT" w:eastAsia="es-ES"/>
          </w:rPr>
          <w:t>http://www.ecomilenio.es/wp-content/uploads/2012/03/08-Monta%C3%B1a-alpina-web.pdf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r w:rsidRPr="003C7951">
        <w:rPr>
          <w:rFonts w:eastAsia="Times New Roman" w:cs="Arial"/>
          <w:color w:val="0F0F0F"/>
          <w:lang w:val="it-IT" w:eastAsia="es-ES"/>
        </w:rPr>
        <w:t>Mediterranean mountain:</w:t>
      </w:r>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hyperlink r:id="rId62" w:history="1">
        <w:r w:rsidRPr="003C7951">
          <w:rPr>
            <w:rStyle w:val="Lienhypertexte"/>
            <w:rFonts w:eastAsia="Times New Roman" w:cs="Arial"/>
            <w:lang w:val="it-IT" w:eastAsia="es-ES"/>
          </w:rPr>
          <w:t>http://www.ecomilenio.es/wp-content/uploads/2012/03/09-Monta%C3%B1a-mediterr%C3%A1nea-web.pdf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r w:rsidRPr="003C7951">
        <w:rPr>
          <w:rFonts w:eastAsia="Times New Roman" w:cs="Arial"/>
          <w:color w:val="0F0F0F"/>
          <w:lang w:val="it-IT" w:eastAsia="es-ES"/>
        </w:rPr>
        <w:t xml:space="preserve">Rivers: </w:t>
      </w:r>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hyperlink r:id="rId63" w:history="1">
        <w:r w:rsidRPr="003C7951">
          <w:rPr>
            <w:rStyle w:val="Lienhypertexte"/>
            <w:rFonts w:eastAsia="Times New Roman" w:cs="Arial"/>
            <w:lang w:val="it-IT" w:eastAsia="es-ES"/>
          </w:rPr>
          <w:t>http://www.ecomilenio.es/wp-content/uploads/2012/03/10-R%C3%ADos-y-riberas-web.pdf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r w:rsidRPr="003C7951">
        <w:rPr>
          <w:rFonts w:eastAsia="Times New Roman" w:cs="Arial"/>
          <w:color w:val="0F0F0F"/>
          <w:lang w:val="it-IT" w:eastAsia="es-ES"/>
        </w:rPr>
        <w:t>Wetlands</w:t>
      </w:r>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hyperlink r:id="rId64" w:history="1">
        <w:r w:rsidRPr="003C7951">
          <w:rPr>
            <w:rStyle w:val="Lienhypertexte"/>
            <w:rFonts w:eastAsia="Times New Roman" w:cs="Arial"/>
            <w:lang w:val="it-IT" w:eastAsia="es-ES"/>
          </w:rPr>
          <w:t>http://www.ecomilenio.es/wp-content/uploads/2012/03/11-Lagos-y-humedales-web.pdf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r w:rsidRPr="003C7951">
        <w:rPr>
          <w:rFonts w:eastAsia="Times New Roman" w:cs="Arial"/>
          <w:color w:val="0F0F0F"/>
          <w:lang w:val="it-IT" w:eastAsia="es-ES"/>
        </w:rPr>
        <w:t>Acuifers</w:t>
      </w:r>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hyperlink r:id="rId65" w:history="1">
        <w:r w:rsidRPr="003C7951">
          <w:rPr>
            <w:rStyle w:val="Lienhypertexte"/>
            <w:rFonts w:eastAsia="Times New Roman" w:cs="Arial"/>
            <w:lang w:val="it-IT" w:eastAsia="es-ES"/>
          </w:rPr>
          <w:t>http://www.ecomilenio.es/wp-content/uploads/2012/03/12-Acu%C3%ADferos-web.pdf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r w:rsidRPr="003C7951">
        <w:rPr>
          <w:rFonts w:eastAsia="Times New Roman" w:cs="Arial"/>
          <w:color w:val="0F0F0F"/>
          <w:lang w:val="it-IT" w:eastAsia="es-ES"/>
        </w:rPr>
        <w:t>Costal:</w:t>
      </w:r>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hyperlink r:id="rId66" w:history="1">
        <w:r w:rsidRPr="003C7951">
          <w:rPr>
            <w:rStyle w:val="Lienhypertexte"/>
            <w:rFonts w:eastAsia="Times New Roman" w:cs="Arial"/>
            <w:lang w:val="it-IT" w:eastAsia="es-ES"/>
          </w:rPr>
          <w:t>http://www.ecomilenio.es/wp-content/uploads/2012/03/15-Insulares-macaron%C3%A9sicos-web.pdf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r w:rsidRPr="003C7951">
        <w:rPr>
          <w:rFonts w:eastAsia="Times New Roman" w:cs="Arial"/>
          <w:color w:val="0F0F0F"/>
          <w:lang w:val="it-IT" w:eastAsia="es-ES"/>
        </w:rPr>
        <w:t>Marine:</w:t>
      </w:r>
    </w:p>
    <w:p w:rsidR="001C55F3" w:rsidRPr="003C7951" w:rsidRDefault="001C55F3" w:rsidP="001C55F3">
      <w:pPr>
        <w:autoSpaceDE w:val="0"/>
        <w:autoSpaceDN w:val="0"/>
        <w:adjustRightInd w:val="0"/>
        <w:spacing w:after="0" w:line="240" w:lineRule="auto"/>
        <w:jc w:val="both"/>
        <w:rPr>
          <w:rFonts w:eastAsia="Times New Roman" w:cs="Arial"/>
          <w:color w:val="0F0F0F"/>
          <w:lang w:val="it-IT" w:eastAsia="es-ES"/>
        </w:rPr>
      </w:pPr>
      <w:hyperlink r:id="rId67" w:history="1">
        <w:r w:rsidRPr="003C7951">
          <w:rPr>
            <w:rStyle w:val="Lienhypertexte"/>
            <w:rFonts w:eastAsia="Times New Roman" w:cs="Arial"/>
            <w:lang w:val="it-IT" w:eastAsia="es-ES"/>
          </w:rPr>
          <w:t>http://www.ecomilenio.es/wp-content/uploads/2012/03/14-Marinos-web.pdf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pt-PT" w:eastAsia="es-ES"/>
        </w:rPr>
      </w:pPr>
      <w:r w:rsidRPr="003C7951">
        <w:rPr>
          <w:rFonts w:eastAsia="Times New Roman" w:cs="Arial"/>
          <w:color w:val="0F0F0F"/>
          <w:lang w:val="pt-PT" w:eastAsia="es-ES"/>
        </w:rPr>
        <w:t xml:space="preserve">Insular: </w:t>
      </w:r>
    </w:p>
    <w:p w:rsidR="001C55F3" w:rsidRPr="003C7951" w:rsidRDefault="001C55F3" w:rsidP="001C55F3">
      <w:pPr>
        <w:autoSpaceDE w:val="0"/>
        <w:autoSpaceDN w:val="0"/>
        <w:adjustRightInd w:val="0"/>
        <w:spacing w:after="0" w:line="240" w:lineRule="auto"/>
        <w:jc w:val="both"/>
        <w:rPr>
          <w:rFonts w:eastAsia="Times New Roman" w:cs="Arial"/>
          <w:color w:val="0F0F0F"/>
          <w:lang w:val="pt-PT" w:eastAsia="es-ES"/>
        </w:rPr>
      </w:pPr>
      <w:hyperlink r:id="rId68" w:history="1">
        <w:r w:rsidRPr="003C7951">
          <w:rPr>
            <w:rStyle w:val="Lienhypertexte"/>
            <w:rFonts w:eastAsia="Times New Roman" w:cs="Arial"/>
            <w:lang w:val="pt-PT" w:eastAsia="es-ES"/>
          </w:rPr>
          <w:t>http://www.ecomilenio.es/wp-content/uploads/2012/03/15-Insulares-macaron%C3%A9sicos-web.pdf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pt-PT" w:eastAsia="es-ES"/>
        </w:rPr>
      </w:pPr>
      <w:r w:rsidRPr="003C7951">
        <w:rPr>
          <w:rFonts w:eastAsia="Times New Roman" w:cs="Arial"/>
          <w:color w:val="0F0F0F"/>
          <w:lang w:val="pt-PT" w:eastAsia="es-ES"/>
        </w:rPr>
        <w:lastRenderedPageBreak/>
        <w:t>Arid zones:</w:t>
      </w:r>
    </w:p>
    <w:p w:rsidR="001C55F3" w:rsidRPr="003C7951" w:rsidRDefault="001C55F3" w:rsidP="001C55F3">
      <w:pPr>
        <w:autoSpaceDE w:val="0"/>
        <w:autoSpaceDN w:val="0"/>
        <w:adjustRightInd w:val="0"/>
        <w:spacing w:after="0" w:line="240" w:lineRule="auto"/>
        <w:jc w:val="both"/>
        <w:rPr>
          <w:rFonts w:eastAsia="Times New Roman" w:cs="Arial"/>
          <w:color w:val="0F0F0F"/>
          <w:lang w:val="pt-PT" w:eastAsia="es-ES"/>
        </w:rPr>
      </w:pPr>
      <w:hyperlink r:id="rId69" w:history="1">
        <w:r w:rsidRPr="003C7951">
          <w:rPr>
            <w:rStyle w:val="Lienhypertexte"/>
            <w:rFonts w:eastAsia="Times New Roman" w:cs="Arial"/>
            <w:lang w:val="pt-PT" w:eastAsia="es-ES"/>
          </w:rPr>
          <w:t>http://www.ecomilenio.es/wp-content/uploads/2012/03/16-Zonas-%C3%A1ridas-web.pdf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pt-PT" w:eastAsia="es-ES"/>
        </w:rPr>
      </w:pPr>
      <w:r w:rsidRPr="003C7951">
        <w:rPr>
          <w:rFonts w:eastAsia="Times New Roman" w:cs="Arial"/>
          <w:color w:val="0F0F0F"/>
          <w:lang w:val="pt-PT" w:eastAsia="es-ES"/>
        </w:rPr>
        <w:t>Agroecosistems:</w:t>
      </w:r>
    </w:p>
    <w:p w:rsidR="001C55F3" w:rsidRPr="003C7951" w:rsidRDefault="001C55F3" w:rsidP="001C55F3">
      <w:pPr>
        <w:autoSpaceDE w:val="0"/>
        <w:autoSpaceDN w:val="0"/>
        <w:adjustRightInd w:val="0"/>
        <w:spacing w:after="0" w:line="240" w:lineRule="auto"/>
        <w:jc w:val="both"/>
        <w:rPr>
          <w:rFonts w:eastAsia="Times New Roman" w:cs="Arial"/>
          <w:color w:val="0F0F0F"/>
          <w:lang w:val="pt-PT" w:eastAsia="es-ES"/>
        </w:rPr>
      </w:pPr>
      <w:hyperlink r:id="rId70" w:history="1">
        <w:r w:rsidRPr="003C7951">
          <w:rPr>
            <w:rStyle w:val="Lienhypertexte"/>
            <w:rFonts w:eastAsia="Times New Roman" w:cs="Arial"/>
            <w:lang w:val="pt-PT" w:eastAsia="es-ES"/>
          </w:rPr>
          <w:t>http://www.ecomilenio.es/wp-content/uploads/2012/03/17-Agroecosistemas-web.pdf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pt-PT" w:eastAsia="es-ES"/>
        </w:rPr>
      </w:pPr>
      <w:r w:rsidRPr="003C7951">
        <w:rPr>
          <w:rFonts w:eastAsia="Times New Roman" w:cs="Arial"/>
          <w:color w:val="0F0F0F"/>
          <w:lang w:val="pt-PT" w:eastAsia="es-ES"/>
        </w:rPr>
        <w:t>Urban:</w:t>
      </w:r>
    </w:p>
    <w:p w:rsidR="001C55F3" w:rsidRPr="003C7951" w:rsidRDefault="001C55F3" w:rsidP="001C55F3">
      <w:pPr>
        <w:autoSpaceDE w:val="0"/>
        <w:autoSpaceDN w:val="0"/>
        <w:adjustRightInd w:val="0"/>
        <w:spacing w:after="0" w:line="240" w:lineRule="auto"/>
        <w:jc w:val="both"/>
        <w:rPr>
          <w:rFonts w:eastAsia="Times New Roman" w:cs="Arial"/>
          <w:color w:val="0F0F0F"/>
          <w:lang w:val="pt-PT" w:eastAsia="es-ES"/>
        </w:rPr>
      </w:pPr>
      <w:hyperlink r:id="rId71" w:history="1">
        <w:r w:rsidRPr="003C7951">
          <w:rPr>
            <w:rStyle w:val="Lienhypertexte"/>
            <w:rFonts w:eastAsia="Times New Roman" w:cs="Arial"/>
            <w:lang w:val="pt-PT" w:eastAsia="es-ES"/>
          </w:rPr>
          <w:t>http://www.ecomilenio.es/wp-content/uploads/2012/03/18-Urbanos-web.pdf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pt-PT"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lang w:eastAsia="es-ES"/>
        </w:rPr>
      </w:pPr>
      <w:r w:rsidRPr="003C7951">
        <w:rPr>
          <w:rFonts w:eastAsia="Times New Roman" w:cs="Arial"/>
          <w:b/>
          <w:color w:val="0F0F0F"/>
          <w:lang w:eastAsia="es-ES"/>
        </w:rPr>
        <w:t>Drivers of Change:</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r w:rsidRPr="003C7951">
        <w:rPr>
          <w:rFonts w:eastAsia="Times New Roman" w:cs="Arial"/>
          <w:color w:val="0F0F0F"/>
          <w:lang w:val="en-US" w:eastAsia="es-ES"/>
        </w:rPr>
        <w:t xml:space="preserve">Economic drivers: </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72" w:history="1">
        <w:r w:rsidRPr="003C7951">
          <w:rPr>
            <w:rStyle w:val="Lienhypertexte"/>
            <w:rFonts w:eastAsia="Times New Roman" w:cs="Arial"/>
            <w:lang w:val="en-US" w:eastAsia="es-ES"/>
          </w:rPr>
          <w:t>http://www.ecomilenio.es/wp-content/uploads/2012/03/19-Impulsores-econ%C3%B3micos-web.pdf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nl-NL" w:eastAsia="es-ES"/>
        </w:rPr>
      </w:pPr>
      <w:r w:rsidRPr="003C7951">
        <w:rPr>
          <w:rFonts w:eastAsia="Times New Roman" w:cs="Arial"/>
          <w:color w:val="0F0F0F"/>
          <w:lang w:val="nl-NL" w:eastAsia="es-ES"/>
        </w:rPr>
        <w:t>Demografic drivers</w:t>
      </w:r>
    </w:p>
    <w:p w:rsidR="001C55F3" w:rsidRPr="003C7951" w:rsidRDefault="001C55F3" w:rsidP="001C55F3">
      <w:pPr>
        <w:autoSpaceDE w:val="0"/>
        <w:autoSpaceDN w:val="0"/>
        <w:adjustRightInd w:val="0"/>
        <w:spacing w:after="0" w:line="240" w:lineRule="auto"/>
        <w:jc w:val="both"/>
        <w:rPr>
          <w:rFonts w:eastAsia="Times New Roman" w:cs="Arial"/>
          <w:color w:val="0F0F0F"/>
          <w:lang w:val="nl-NL" w:eastAsia="es-ES"/>
        </w:rPr>
      </w:pPr>
      <w:hyperlink r:id="rId73" w:history="1">
        <w:r w:rsidRPr="003C7951">
          <w:rPr>
            <w:rStyle w:val="Lienhypertexte"/>
            <w:rFonts w:eastAsia="Times New Roman" w:cs="Arial"/>
            <w:lang w:val="nl-NL" w:eastAsia="es-ES"/>
          </w:rPr>
          <w:t>http://www.ecomilenio.es/wp-content/uploads/2012/03/20-Impulsores-demogr%C3%A1ficos-web.pdf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nl-NL" w:eastAsia="es-ES"/>
        </w:rPr>
      </w:pPr>
      <w:r w:rsidRPr="003C7951">
        <w:rPr>
          <w:rFonts w:eastAsia="Times New Roman" w:cs="Arial"/>
          <w:color w:val="0F0F0F"/>
          <w:lang w:val="nl-NL" w:eastAsia="es-ES"/>
        </w:rPr>
        <w:t>Gender drivers</w:t>
      </w:r>
    </w:p>
    <w:p w:rsidR="001C55F3" w:rsidRPr="003C7951" w:rsidRDefault="001C55F3" w:rsidP="001C55F3">
      <w:pPr>
        <w:autoSpaceDE w:val="0"/>
        <w:autoSpaceDN w:val="0"/>
        <w:adjustRightInd w:val="0"/>
        <w:spacing w:after="0" w:line="240" w:lineRule="auto"/>
        <w:jc w:val="both"/>
        <w:rPr>
          <w:rFonts w:eastAsia="Times New Roman" w:cs="Arial"/>
          <w:color w:val="0F0F0F"/>
          <w:lang w:val="nl-NL" w:eastAsia="es-ES"/>
        </w:rPr>
      </w:pPr>
      <w:hyperlink r:id="rId74" w:history="1">
        <w:r w:rsidRPr="003C7951">
          <w:rPr>
            <w:rStyle w:val="Lienhypertexte"/>
            <w:rFonts w:eastAsia="Times New Roman" w:cs="Arial"/>
            <w:lang w:val="nl-NL" w:eastAsia="es-ES"/>
          </w:rPr>
          <w:t>http://www.ecomilenio.es/wp-content/uploads/2012/03/21-G%C3%A9nero-web.pdf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nl-NL" w:eastAsia="es-ES"/>
        </w:rPr>
      </w:pPr>
      <w:r w:rsidRPr="003C7951">
        <w:rPr>
          <w:rFonts w:eastAsia="Times New Roman" w:cs="Arial"/>
          <w:color w:val="0F0F0F"/>
          <w:lang w:val="nl-NL" w:eastAsia="es-ES"/>
        </w:rPr>
        <w:t>Technolgy drivers</w:t>
      </w:r>
    </w:p>
    <w:p w:rsidR="001C55F3" w:rsidRPr="003C7951" w:rsidRDefault="001C55F3" w:rsidP="001C55F3">
      <w:pPr>
        <w:autoSpaceDE w:val="0"/>
        <w:autoSpaceDN w:val="0"/>
        <w:adjustRightInd w:val="0"/>
        <w:spacing w:after="0" w:line="240" w:lineRule="auto"/>
        <w:jc w:val="both"/>
        <w:rPr>
          <w:rFonts w:eastAsia="Times New Roman" w:cs="Arial"/>
          <w:color w:val="0F0F0F"/>
          <w:lang w:val="nl-NL" w:eastAsia="es-ES"/>
        </w:rPr>
      </w:pPr>
      <w:hyperlink r:id="rId75" w:history="1">
        <w:r w:rsidRPr="003C7951">
          <w:rPr>
            <w:rStyle w:val="Lienhypertexte"/>
            <w:rFonts w:eastAsia="Times New Roman" w:cs="Arial"/>
            <w:lang w:val="nl-NL" w:eastAsia="es-ES"/>
          </w:rPr>
          <w:t>http://www.ecomilenio.es/wp-content/uploads/2012/03/22-Ciencia-y-tecnolog%C3%ADa-web.pdf</w:t>
        </w:r>
      </w:hyperlink>
    </w:p>
    <w:p w:rsidR="001C55F3" w:rsidRPr="001C55F3" w:rsidRDefault="001C55F3" w:rsidP="001C55F3">
      <w:pPr>
        <w:autoSpaceDE w:val="0"/>
        <w:autoSpaceDN w:val="0"/>
        <w:adjustRightInd w:val="0"/>
        <w:spacing w:after="0" w:line="240" w:lineRule="auto"/>
        <w:jc w:val="both"/>
        <w:rPr>
          <w:rFonts w:eastAsia="Times New Roman" w:cs="Arial"/>
          <w:color w:val="0F0F0F"/>
          <w:lang w:val="fr-BE" w:eastAsia="es-ES"/>
        </w:rPr>
      </w:pPr>
      <w:r w:rsidRPr="001C55F3">
        <w:rPr>
          <w:rFonts w:eastAsia="Times New Roman" w:cs="Arial"/>
          <w:color w:val="0F0F0F"/>
          <w:lang w:val="fr-BE" w:eastAsia="es-ES"/>
        </w:rPr>
        <w:t>Social drivers</w:t>
      </w:r>
    </w:p>
    <w:p w:rsidR="001C55F3" w:rsidRPr="001C55F3" w:rsidRDefault="001C55F3" w:rsidP="001C55F3">
      <w:pPr>
        <w:autoSpaceDE w:val="0"/>
        <w:autoSpaceDN w:val="0"/>
        <w:adjustRightInd w:val="0"/>
        <w:spacing w:after="0" w:line="240" w:lineRule="auto"/>
        <w:jc w:val="both"/>
        <w:rPr>
          <w:rFonts w:eastAsia="Times New Roman" w:cs="Arial"/>
          <w:color w:val="0F0F0F"/>
          <w:lang w:val="fr-BE" w:eastAsia="es-ES"/>
        </w:rPr>
      </w:pPr>
      <w:hyperlink r:id="rId76" w:history="1">
        <w:r w:rsidRPr="001C55F3">
          <w:rPr>
            <w:rStyle w:val="Lienhypertexte"/>
            <w:rFonts w:eastAsia="Times New Roman" w:cs="Arial"/>
            <w:lang w:val="fr-BE" w:eastAsia="es-ES"/>
          </w:rPr>
          <w:t>http://www.ecomilenio.es/wp-content/uploads/2012/03/23-Sociopol%C3%ADticos-web.pdf</w:t>
        </w:r>
      </w:hyperlink>
    </w:p>
    <w:p w:rsidR="001C55F3" w:rsidRPr="001C55F3" w:rsidRDefault="001C55F3" w:rsidP="001C55F3">
      <w:pPr>
        <w:autoSpaceDE w:val="0"/>
        <w:autoSpaceDN w:val="0"/>
        <w:adjustRightInd w:val="0"/>
        <w:spacing w:after="0" w:line="240" w:lineRule="auto"/>
        <w:jc w:val="both"/>
        <w:rPr>
          <w:rFonts w:eastAsia="Times New Roman" w:cs="Arial"/>
          <w:color w:val="0F0F0F"/>
          <w:lang w:val="fr-BE" w:eastAsia="es-ES"/>
        </w:rPr>
      </w:pPr>
      <w:r w:rsidRPr="001C55F3">
        <w:rPr>
          <w:rFonts w:eastAsia="Times New Roman" w:cs="Arial"/>
          <w:color w:val="0F0F0F"/>
          <w:lang w:val="fr-BE" w:eastAsia="es-ES"/>
        </w:rPr>
        <w:t>Cultural driver</w:t>
      </w:r>
    </w:p>
    <w:p w:rsidR="001C55F3" w:rsidRPr="001C55F3" w:rsidRDefault="001C55F3" w:rsidP="001C55F3">
      <w:pPr>
        <w:autoSpaceDE w:val="0"/>
        <w:autoSpaceDN w:val="0"/>
        <w:adjustRightInd w:val="0"/>
        <w:spacing w:after="0" w:line="240" w:lineRule="auto"/>
        <w:jc w:val="both"/>
        <w:rPr>
          <w:rFonts w:eastAsia="Times New Roman" w:cs="Arial"/>
          <w:color w:val="0F0F0F"/>
          <w:lang w:val="fr-BE" w:eastAsia="es-ES"/>
        </w:rPr>
      </w:pPr>
      <w:hyperlink r:id="rId77" w:history="1">
        <w:r w:rsidRPr="001C55F3">
          <w:rPr>
            <w:rStyle w:val="Lienhypertexte"/>
            <w:rFonts w:eastAsia="Times New Roman" w:cs="Arial"/>
            <w:lang w:val="fr-BE" w:eastAsia="es-ES"/>
          </w:rPr>
          <w:t>http://www.ecomilenio.es/wp-content/uploads/2012/03/24-Impulsores-culturales-web.pdf</w:t>
        </w:r>
      </w:hyperlink>
    </w:p>
    <w:p w:rsidR="001C55F3" w:rsidRPr="001C55F3" w:rsidRDefault="001C55F3" w:rsidP="001C55F3">
      <w:pPr>
        <w:autoSpaceDE w:val="0"/>
        <w:autoSpaceDN w:val="0"/>
        <w:adjustRightInd w:val="0"/>
        <w:spacing w:after="0" w:line="240" w:lineRule="auto"/>
        <w:jc w:val="both"/>
        <w:rPr>
          <w:rFonts w:eastAsia="Times New Roman" w:cs="Arial"/>
          <w:color w:val="0F0F0F"/>
          <w:lang w:val="fr-BE"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Spatial analyasis:</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78" w:history="1">
        <w:r w:rsidRPr="003C7951">
          <w:rPr>
            <w:rStyle w:val="Lienhypertexte"/>
            <w:rFonts w:eastAsia="Times New Roman" w:cs="Arial"/>
            <w:lang w:val="en-US" w:eastAsia="es-ES"/>
          </w:rPr>
          <w:t>http://www.ecomilenio.es/wp-content/uploads/2012/03/25-Analisis-espacial-web.pdf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Future Scenarios:</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79" w:history="1">
        <w:r w:rsidRPr="003C7951">
          <w:rPr>
            <w:rStyle w:val="Lienhypertexte"/>
            <w:rFonts w:eastAsia="Times New Roman" w:cs="Arial"/>
            <w:lang w:val="en-US" w:eastAsia="es-ES"/>
          </w:rPr>
          <w:t>http://www.ecomilenio.es/wp-content/uploads/2012/03/Capitulo-26-Escenarios-de-Futuro-EME_web.pdf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Comunication results</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80" w:history="1">
        <w:r w:rsidRPr="003C7951">
          <w:rPr>
            <w:rStyle w:val="Lienhypertexte"/>
            <w:rFonts w:eastAsia="Times New Roman" w:cs="Arial"/>
            <w:lang w:val="en-US" w:eastAsia="es-ES"/>
          </w:rPr>
          <w:t>http://www.ecomilenio.es/wp-content/uploads/2012/03/27-Comunicaci%C3%B3n-Educaci%C3%B3n-Participaci%C3%B3n-EME-web.pdf</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Maps:</w:t>
      </w:r>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 xml:space="preserve">Ecosystems: </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81" w:history="1">
        <w:r w:rsidRPr="003C7951">
          <w:rPr>
            <w:rStyle w:val="Lienhypertexte"/>
            <w:rFonts w:eastAsia="Times New Roman" w:cs="Arial"/>
            <w:lang w:val="en-US" w:eastAsia="es-ES"/>
          </w:rPr>
          <w:t>http://www.ecomilenio.es/documentos/informacion-cartografica/informacion-cartografica-sobre-ecosistemas</w:t>
        </w:r>
      </w:hyperlink>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Biodiversity:</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82" w:history="1">
        <w:r w:rsidRPr="003C7951">
          <w:rPr>
            <w:rStyle w:val="Lienhypertexte"/>
            <w:rFonts w:eastAsia="Times New Roman" w:cs="Arial"/>
            <w:lang w:val="en-US" w:eastAsia="es-ES"/>
          </w:rPr>
          <w:t>http://www.ecomilenio.es/documentos/informacion-cartografica/mapas-de-biodiversidad</w:t>
        </w:r>
      </w:hyperlink>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Protected areas:</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83" w:history="1">
        <w:r w:rsidRPr="003C7951">
          <w:rPr>
            <w:rStyle w:val="Lienhypertexte"/>
            <w:rFonts w:eastAsia="Times New Roman" w:cs="Arial"/>
            <w:lang w:val="en-US" w:eastAsia="es-ES"/>
          </w:rPr>
          <w:t>http://www.ecomilenio.es/documentos/informacion-cartografica/mapas-de-enp</w:t>
        </w:r>
      </w:hyperlink>
    </w:p>
    <w:p w:rsidR="001C55F3" w:rsidRPr="003C7951" w:rsidRDefault="001C55F3" w:rsidP="001C55F3">
      <w:pPr>
        <w:autoSpaceDE w:val="0"/>
        <w:autoSpaceDN w:val="0"/>
        <w:adjustRightInd w:val="0"/>
        <w:spacing w:after="0" w:line="240" w:lineRule="auto"/>
        <w:jc w:val="both"/>
        <w:rPr>
          <w:rFonts w:eastAsia="Times New Roman" w:cs="Arial"/>
          <w:b/>
          <w:color w:val="0F0F0F"/>
          <w:lang w:val="pl-PL" w:eastAsia="es-ES"/>
        </w:rPr>
      </w:pPr>
      <w:r w:rsidRPr="003C7951">
        <w:rPr>
          <w:rFonts w:eastAsia="Times New Roman" w:cs="Arial"/>
          <w:b/>
          <w:color w:val="0F0F0F"/>
          <w:lang w:val="pl-PL" w:eastAsia="es-ES"/>
        </w:rPr>
        <w:t>Ecosystem services:</w:t>
      </w:r>
    </w:p>
    <w:p w:rsidR="001C55F3" w:rsidRPr="003C7951" w:rsidRDefault="001C55F3" w:rsidP="001C55F3">
      <w:pPr>
        <w:autoSpaceDE w:val="0"/>
        <w:autoSpaceDN w:val="0"/>
        <w:adjustRightInd w:val="0"/>
        <w:spacing w:after="0" w:line="240" w:lineRule="auto"/>
        <w:jc w:val="both"/>
        <w:rPr>
          <w:rFonts w:eastAsia="Times New Roman" w:cs="Arial"/>
          <w:color w:val="0F0F0F"/>
          <w:lang w:val="pl-PL" w:eastAsia="es-ES"/>
        </w:rPr>
      </w:pPr>
      <w:hyperlink r:id="rId84" w:history="1">
        <w:r w:rsidRPr="003C7951">
          <w:rPr>
            <w:rStyle w:val="Lienhypertexte"/>
            <w:rFonts w:eastAsia="Times New Roman" w:cs="Arial"/>
            <w:lang w:val="pl-PL" w:eastAsia="es-ES"/>
          </w:rPr>
          <w:t>http://www.ecomilenio.es/documentos/informacion-cartografica/mapas-de-servicios</w:t>
        </w:r>
      </w:hyperlink>
    </w:p>
    <w:p w:rsidR="001C55F3" w:rsidRPr="003C7951" w:rsidRDefault="001C55F3" w:rsidP="001C55F3">
      <w:pPr>
        <w:autoSpaceDE w:val="0"/>
        <w:autoSpaceDN w:val="0"/>
        <w:adjustRightInd w:val="0"/>
        <w:spacing w:after="0" w:line="240" w:lineRule="auto"/>
        <w:jc w:val="both"/>
        <w:rPr>
          <w:rFonts w:eastAsia="Times New Roman" w:cs="Arial"/>
          <w:b/>
          <w:color w:val="0F0F0F"/>
          <w:lang w:val="pl-PL" w:eastAsia="es-ES"/>
        </w:rPr>
      </w:pPr>
      <w:r w:rsidRPr="003C7951">
        <w:rPr>
          <w:rFonts w:eastAsia="Times New Roman" w:cs="Arial"/>
          <w:b/>
          <w:color w:val="0F0F0F"/>
          <w:lang w:val="pl-PL" w:eastAsia="es-ES"/>
        </w:rPr>
        <w:t>Land use:</w:t>
      </w:r>
    </w:p>
    <w:p w:rsidR="001C55F3" w:rsidRPr="003C7951" w:rsidRDefault="001C55F3" w:rsidP="001C55F3">
      <w:pPr>
        <w:autoSpaceDE w:val="0"/>
        <w:autoSpaceDN w:val="0"/>
        <w:adjustRightInd w:val="0"/>
        <w:spacing w:after="0" w:line="240" w:lineRule="auto"/>
        <w:jc w:val="both"/>
        <w:rPr>
          <w:rFonts w:eastAsia="Times New Roman" w:cs="Arial"/>
          <w:color w:val="0F0F0F"/>
          <w:lang w:val="pl-PL" w:eastAsia="es-ES"/>
        </w:rPr>
      </w:pPr>
      <w:hyperlink r:id="rId85" w:history="1">
        <w:r w:rsidRPr="003C7951">
          <w:rPr>
            <w:rStyle w:val="Lienhypertexte"/>
            <w:rFonts w:eastAsia="Times New Roman" w:cs="Arial"/>
            <w:lang w:val="pl-PL" w:eastAsia="es-ES"/>
          </w:rPr>
          <w:t>http://www.ecomilenio.es/documentos/informacion-cartografica/mapas-de-usos-del-suelo</w:t>
        </w:r>
      </w:hyperlink>
    </w:p>
    <w:p w:rsidR="001C55F3" w:rsidRPr="003C7951" w:rsidRDefault="001C55F3" w:rsidP="001C55F3">
      <w:pPr>
        <w:autoSpaceDE w:val="0"/>
        <w:autoSpaceDN w:val="0"/>
        <w:adjustRightInd w:val="0"/>
        <w:spacing w:after="0" w:line="240" w:lineRule="auto"/>
        <w:jc w:val="both"/>
        <w:rPr>
          <w:rFonts w:eastAsia="Times New Roman" w:cs="Arial"/>
          <w:b/>
          <w:color w:val="0F0F0F"/>
          <w:lang w:val="pl-PL"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lang w:val="pl-PL" w:eastAsia="es-ES"/>
        </w:rPr>
      </w:pPr>
      <w:r w:rsidRPr="003C7951">
        <w:rPr>
          <w:rFonts w:eastAsia="Times New Roman" w:cs="Arial"/>
          <w:b/>
          <w:color w:val="0F0F0F"/>
          <w:lang w:val="pl-PL" w:eastAsia="es-ES"/>
        </w:rPr>
        <w:t>Drivers:</w:t>
      </w:r>
    </w:p>
    <w:p w:rsidR="001C55F3" w:rsidRPr="003C7951" w:rsidRDefault="001C55F3" w:rsidP="001C55F3">
      <w:pPr>
        <w:autoSpaceDE w:val="0"/>
        <w:autoSpaceDN w:val="0"/>
        <w:adjustRightInd w:val="0"/>
        <w:spacing w:after="0" w:line="240" w:lineRule="auto"/>
        <w:jc w:val="both"/>
        <w:rPr>
          <w:rFonts w:eastAsia="Times New Roman" w:cs="Arial"/>
          <w:color w:val="0F0F0F"/>
          <w:lang w:val="pl-PL" w:eastAsia="es-ES"/>
        </w:rPr>
      </w:pPr>
      <w:hyperlink r:id="rId86" w:history="1">
        <w:r w:rsidRPr="003C7951">
          <w:rPr>
            <w:rStyle w:val="Lienhypertexte"/>
            <w:rFonts w:eastAsia="Times New Roman" w:cs="Arial"/>
            <w:lang w:val="pl-PL" w:eastAsia="es-ES"/>
          </w:rPr>
          <w:t>http://www.ecomilenio.es/documentos/informacion-cartografica/mapas-de-impulsores</w:t>
        </w:r>
      </w:hyperlink>
    </w:p>
    <w:p w:rsidR="001C55F3" w:rsidRPr="003C7951" w:rsidRDefault="001C55F3" w:rsidP="001C55F3">
      <w:pPr>
        <w:autoSpaceDE w:val="0"/>
        <w:autoSpaceDN w:val="0"/>
        <w:adjustRightInd w:val="0"/>
        <w:spacing w:after="0" w:line="240" w:lineRule="auto"/>
        <w:jc w:val="both"/>
        <w:rPr>
          <w:rFonts w:eastAsia="Times New Roman" w:cs="Arial"/>
          <w:color w:val="0F0F0F"/>
          <w:lang w:val="pl-PL" w:eastAsia="es-ES"/>
        </w:rPr>
      </w:pPr>
    </w:p>
    <w:p w:rsidR="001C55F3" w:rsidRPr="003C7951" w:rsidRDefault="001C55F3" w:rsidP="001C55F3">
      <w:pPr>
        <w:autoSpaceDE w:val="0"/>
        <w:autoSpaceDN w:val="0"/>
        <w:adjustRightInd w:val="0"/>
        <w:spacing w:after="0" w:line="240" w:lineRule="auto"/>
        <w:jc w:val="both"/>
        <w:rPr>
          <w:rFonts w:eastAsia="Times New Roman" w:cs="Arial"/>
          <w:b/>
          <w:color w:val="0F0F0F"/>
          <w:lang w:val="fr-BE" w:eastAsia="es-ES"/>
        </w:rPr>
      </w:pPr>
      <w:r w:rsidRPr="003C7951">
        <w:rPr>
          <w:rFonts w:eastAsia="Times New Roman" w:cs="Arial"/>
          <w:b/>
          <w:color w:val="0F0F0F"/>
          <w:lang w:val="fr-BE" w:eastAsia="es-ES"/>
        </w:rPr>
        <w:lastRenderedPageBreak/>
        <w:t>Communication materials:</w:t>
      </w:r>
    </w:p>
    <w:p w:rsidR="001C55F3" w:rsidRPr="003C7951" w:rsidRDefault="001C55F3" w:rsidP="001C55F3">
      <w:pPr>
        <w:autoSpaceDE w:val="0"/>
        <w:autoSpaceDN w:val="0"/>
        <w:adjustRightInd w:val="0"/>
        <w:spacing w:after="0" w:line="240" w:lineRule="auto"/>
        <w:jc w:val="both"/>
        <w:rPr>
          <w:rFonts w:eastAsia="Times New Roman" w:cs="Arial"/>
          <w:b/>
          <w:color w:val="0F0F0F"/>
          <w:lang w:val="fr-BE" w:eastAsia="es-ES"/>
        </w:rPr>
      </w:pPr>
      <w:r w:rsidRPr="003C7951">
        <w:rPr>
          <w:rFonts w:eastAsia="Times New Roman" w:cs="Arial"/>
          <w:b/>
          <w:color w:val="0F0F0F"/>
          <w:lang w:val="fr-BE" w:eastAsia="es-ES"/>
        </w:rPr>
        <w:t>Media:</w:t>
      </w:r>
    </w:p>
    <w:p w:rsidR="001C55F3" w:rsidRPr="003C7951" w:rsidRDefault="001C55F3" w:rsidP="001C55F3">
      <w:pPr>
        <w:autoSpaceDE w:val="0"/>
        <w:autoSpaceDN w:val="0"/>
        <w:adjustRightInd w:val="0"/>
        <w:spacing w:after="0" w:line="240" w:lineRule="auto"/>
        <w:jc w:val="both"/>
        <w:rPr>
          <w:rFonts w:eastAsia="Times New Roman" w:cs="Arial"/>
          <w:color w:val="0F0F0F"/>
          <w:lang w:val="fr-BE" w:eastAsia="es-ES"/>
        </w:rPr>
      </w:pPr>
      <w:hyperlink r:id="rId87" w:history="1">
        <w:r w:rsidRPr="003C7951">
          <w:rPr>
            <w:rStyle w:val="Lienhypertexte"/>
            <w:rFonts w:eastAsia="Times New Roman" w:cs="Arial"/>
            <w:lang w:val="fr-BE" w:eastAsia="es-ES"/>
          </w:rPr>
          <w:t>http://www.ecomilenio.es/comunicacion/eme-en-los-medios</w:t>
        </w:r>
      </w:hyperlink>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 xml:space="preserve">Posters and Postal: </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88" w:history="1">
        <w:r w:rsidRPr="003C7951">
          <w:rPr>
            <w:rStyle w:val="Lienhypertexte"/>
            <w:rFonts w:eastAsia="Times New Roman" w:cs="Arial"/>
            <w:lang w:val="en-US" w:eastAsia="es-ES"/>
          </w:rPr>
          <w:t>http://www.ecomilenio.es/comunicacion/recursos</w:t>
        </w:r>
      </w:hyperlink>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Newsletters:</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89" w:history="1">
        <w:r w:rsidRPr="003C7951">
          <w:rPr>
            <w:rStyle w:val="Lienhypertexte"/>
            <w:rFonts w:eastAsia="Times New Roman" w:cs="Arial"/>
            <w:lang w:val="en-US" w:eastAsia="es-ES"/>
          </w:rPr>
          <w:t>http://www.ecomilenio.es/comunicacion/el-boletin</w:t>
        </w:r>
      </w:hyperlink>
    </w:p>
    <w:p w:rsidR="001C55F3" w:rsidRPr="003C7951" w:rsidRDefault="001C55F3" w:rsidP="001C55F3">
      <w:pPr>
        <w:autoSpaceDE w:val="0"/>
        <w:autoSpaceDN w:val="0"/>
        <w:adjustRightInd w:val="0"/>
        <w:spacing w:after="0" w:line="240" w:lineRule="auto"/>
        <w:jc w:val="both"/>
        <w:rPr>
          <w:rFonts w:eastAsia="Times New Roman" w:cs="Arial"/>
          <w:b/>
          <w:color w:val="0F0F0F"/>
          <w:lang w:val="en-US" w:eastAsia="es-ES"/>
        </w:rPr>
      </w:pPr>
      <w:r w:rsidRPr="003C7951">
        <w:rPr>
          <w:rFonts w:eastAsia="Times New Roman" w:cs="Arial"/>
          <w:b/>
          <w:color w:val="0F0F0F"/>
          <w:lang w:val="en-US" w:eastAsia="es-ES"/>
        </w:rPr>
        <w:t>Videos:</w:t>
      </w:r>
    </w:p>
    <w:p w:rsidR="001C55F3" w:rsidRPr="003C7951" w:rsidRDefault="001C55F3" w:rsidP="001C55F3">
      <w:pPr>
        <w:autoSpaceDE w:val="0"/>
        <w:autoSpaceDN w:val="0"/>
        <w:adjustRightInd w:val="0"/>
        <w:spacing w:after="0" w:line="240" w:lineRule="auto"/>
        <w:jc w:val="both"/>
        <w:rPr>
          <w:rFonts w:eastAsia="Times New Roman" w:cs="Arial"/>
          <w:color w:val="0F0F0F"/>
          <w:lang w:val="en-US" w:eastAsia="es-ES"/>
        </w:rPr>
      </w:pPr>
      <w:hyperlink r:id="rId90" w:history="1">
        <w:r w:rsidRPr="003C7951">
          <w:rPr>
            <w:rStyle w:val="Lienhypertexte"/>
            <w:rFonts w:eastAsia="Times New Roman" w:cs="Arial"/>
            <w:lang w:val="en-US" w:eastAsia="es-ES"/>
          </w:rPr>
          <w:t>http://www.ecomilenio.es/comunicacion/videos</w:t>
        </w:r>
      </w:hyperlink>
    </w:p>
    <w:p w:rsidR="001C55F3" w:rsidRPr="003C7951" w:rsidRDefault="001C55F3" w:rsidP="001C55F3">
      <w:pPr>
        <w:spacing w:line="240" w:lineRule="auto"/>
        <w:rPr>
          <w:rFonts w:cstheme="minorHAnsi"/>
          <w:b/>
          <w:lang w:val="en-US"/>
        </w:rPr>
      </w:pPr>
    </w:p>
    <w:p w:rsidR="001C55F3" w:rsidRPr="00295D0C" w:rsidRDefault="001C55F3" w:rsidP="001C55F3">
      <w:pPr>
        <w:pStyle w:val="Titre1"/>
        <w:spacing w:after="240" w:line="240" w:lineRule="auto"/>
        <w:jc w:val="both"/>
        <w:rPr>
          <w:rFonts w:asciiTheme="minorHAnsi" w:hAnsiTheme="minorHAnsi" w:cs="Times New Roman"/>
          <w:color w:val="auto"/>
          <w:sz w:val="40"/>
          <w:szCs w:val="40"/>
        </w:rPr>
      </w:pPr>
      <w:r w:rsidRPr="00295D0C">
        <w:rPr>
          <w:rFonts w:asciiTheme="minorHAnsi" w:hAnsiTheme="minorHAnsi" w:cs="Times New Roman"/>
          <w:color w:val="auto"/>
          <w:sz w:val="40"/>
          <w:szCs w:val="40"/>
        </w:rPr>
        <w:t>Belgium</w:t>
      </w:r>
    </w:p>
    <w:p w:rsidR="001C55F3" w:rsidRPr="00295D0C" w:rsidRDefault="001C55F3" w:rsidP="001C55F3">
      <w:pPr>
        <w:pStyle w:val="Paragraphedeliste"/>
        <w:spacing w:after="240" w:line="240" w:lineRule="auto"/>
        <w:ind w:left="0"/>
        <w:jc w:val="both"/>
        <w:rPr>
          <w:rFonts w:cs="Times New Roman"/>
          <w:b/>
        </w:rPr>
      </w:pPr>
      <w:r w:rsidRPr="003C7951">
        <w:rPr>
          <w:rFonts w:cs="Times New Roman"/>
          <w:b/>
        </w:rPr>
        <w:t>BEES:Belgium’s Ecosystem Services</w:t>
      </w:r>
      <w:r w:rsidRPr="00295D0C">
        <w:rPr>
          <w:rFonts w:cs="Times New Roman"/>
        </w:rPr>
        <w:t>is a cluster project which stimulated the dialogue between scientists (natural and social sciences), civil servants, NGO’s, international organisations and private sector by means of a series of workshops on ES topics. One of the outputs of this project is the community of practise (BEES community).</w:t>
      </w:r>
    </w:p>
    <w:p w:rsidR="001C55F3" w:rsidRPr="003C7951" w:rsidRDefault="001C55F3" w:rsidP="001C55F3">
      <w:pPr>
        <w:pStyle w:val="Paragraphedeliste"/>
        <w:spacing w:line="240" w:lineRule="auto"/>
        <w:ind w:left="0"/>
        <w:jc w:val="both"/>
        <w:rPr>
          <w:rStyle w:val="Lienhypertexte"/>
          <w:rFonts w:cs="Times New Roman"/>
        </w:rPr>
      </w:pPr>
      <w:hyperlink r:id="rId91" w:history="1">
        <w:r w:rsidRPr="003C7951">
          <w:rPr>
            <w:rStyle w:val="Lienhypertexte"/>
            <w:rFonts w:cs="Times New Roman"/>
          </w:rPr>
          <w:t>www.BEEScommunity.be</w:t>
        </w:r>
      </w:hyperlink>
      <w:r w:rsidRPr="003C7951">
        <w:rPr>
          <w:rFonts w:cs="Times New Roman"/>
        </w:rPr>
        <w:t>(English)</w:t>
      </w:r>
    </w:p>
    <w:p w:rsidR="001C55F3" w:rsidRPr="003C7951" w:rsidRDefault="001C55F3" w:rsidP="001C55F3">
      <w:pPr>
        <w:pStyle w:val="Paragraphedeliste"/>
        <w:spacing w:line="240" w:lineRule="auto"/>
        <w:ind w:left="0"/>
        <w:jc w:val="both"/>
        <w:rPr>
          <w:rFonts w:cs="Times New Roman"/>
        </w:rPr>
      </w:pPr>
      <w:hyperlink r:id="rId92" w:history="1">
        <w:r w:rsidRPr="003C7951">
          <w:rPr>
            <w:rStyle w:val="Lienhypertexte"/>
            <w:rFonts w:cs="Times New Roman"/>
          </w:rPr>
          <w:t>www.TEEBelgium.be</w:t>
        </w:r>
      </w:hyperlink>
      <w:r w:rsidRPr="003C7951">
        <w:rPr>
          <w:rFonts w:cs="Times New Roman"/>
        </w:rPr>
        <w:t xml:space="preserve"> (workshop presentations and reports) (English)</w:t>
      </w:r>
    </w:p>
    <w:p w:rsidR="001C55F3" w:rsidRDefault="001C55F3" w:rsidP="001C55F3">
      <w:pPr>
        <w:pStyle w:val="Paragraphedeliste"/>
        <w:spacing w:line="240" w:lineRule="auto"/>
        <w:ind w:left="0"/>
        <w:jc w:val="both"/>
        <w:rPr>
          <w:rFonts w:cs="Times New Roman"/>
          <w:b/>
        </w:rPr>
      </w:pPr>
    </w:p>
    <w:p w:rsidR="001C55F3" w:rsidRPr="00295D0C" w:rsidRDefault="001C55F3" w:rsidP="001C55F3">
      <w:pPr>
        <w:pStyle w:val="Paragraphedeliste"/>
        <w:spacing w:line="240" w:lineRule="auto"/>
        <w:ind w:left="0"/>
        <w:jc w:val="both"/>
        <w:rPr>
          <w:rFonts w:cs="Times New Roman"/>
          <w:b/>
        </w:rPr>
      </w:pPr>
      <w:r w:rsidRPr="003C7951">
        <w:rPr>
          <w:rFonts w:cs="Times New Roman"/>
          <w:b/>
        </w:rPr>
        <w:t>Ecoplan: Planning for ecosystem services</w:t>
      </w:r>
      <w:r w:rsidRPr="003C7951">
        <w:rPr>
          <w:rFonts w:cs="Times New Roman"/>
        </w:rPr>
        <w:t xml:space="preserve">is a trans disciplinary project involving stakeholder-supported research on multiple aspects of ES in Flanders. Ecoplan aims to develop information and tools for the assessment of ecosystem services. </w:t>
      </w:r>
    </w:p>
    <w:p w:rsidR="001C55F3" w:rsidRPr="003C7951" w:rsidRDefault="001C55F3" w:rsidP="001C55F3">
      <w:pPr>
        <w:pStyle w:val="Paragraphedeliste"/>
        <w:spacing w:line="240" w:lineRule="auto"/>
        <w:ind w:left="0"/>
        <w:rPr>
          <w:rFonts w:cs="Times New Roman"/>
        </w:rPr>
      </w:pPr>
      <w:r w:rsidRPr="003C7951">
        <w:rPr>
          <w:rFonts w:cs="Times New Roman"/>
        </w:rPr>
        <w:t xml:space="preserve">Staes, Jan; Vrebos, Dirk; Meire, Patrick - A framework for ecosystem services planning - In: Achieving environmental security: ecosystem services and human welfare / Liotta, P.H. [edit.]; et al. [edit.] .Amsterdam : IOS Press, 2010 . - 978-1-60750-578-5 . - p. 53-71. </w:t>
      </w:r>
      <w:hyperlink r:id="rId93" w:history="1">
        <w:r w:rsidRPr="003C7951">
          <w:rPr>
            <w:rStyle w:val="Lienhypertexte"/>
            <w:rFonts w:cs="Times New Roman"/>
          </w:rPr>
          <w:t>http://hdl.handle.net/10067/841230151162165141</w:t>
        </w:r>
      </w:hyperlink>
    </w:p>
    <w:p w:rsidR="001C55F3" w:rsidRPr="003C7951" w:rsidRDefault="001C55F3" w:rsidP="001C55F3">
      <w:pPr>
        <w:pStyle w:val="Paragraphedeliste"/>
        <w:spacing w:line="240" w:lineRule="auto"/>
        <w:ind w:left="0"/>
        <w:jc w:val="both"/>
        <w:rPr>
          <w:rFonts w:cs="Times New Roman"/>
        </w:rPr>
      </w:pPr>
    </w:p>
    <w:p w:rsidR="001C55F3" w:rsidRPr="003C7951" w:rsidRDefault="001C55F3" w:rsidP="001C55F3">
      <w:pPr>
        <w:pStyle w:val="Paragraphedeliste"/>
        <w:spacing w:line="240" w:lineRule="auto"/>
        <w:ind w:left="0"/>
        <w:jc w:val="both"/>
        <w:rPr>
          <w:rFonts w:cs="Times New Roman"/>
          <w:b/>
        </w:rPr>
      </w:pPr>
      <w:r w:rsidRPr="003C7951">
        <w:rPr>
          <w:rFonts w:cs="Times New Roman"/>
          <w:b/>
        </w:rPr>
        <w:t>Quantification and valuation of ecosystem services for social cost-benefit assessments (SCBA)</w:t>
      </w:r>
    </w:p>
    <w:p w:rsidR="001C55F3" w:rsidRPr="003C7951" w:rsidRDefault="001C55F3" w:rsidP="001C55F3">
      <w:pPr>
        <w:pStyle w:val="Paragraphedeliste"/>
        <w:spacing w:line="240" w:lineRule="auto"/>
        <w:ind w:left="0"/>
        <w:jc w:val="both"/>
        <w:rPr>
          <w:rFonts w:cs="Times New Roman"/>
          <w:b/>
        </w:rPr>
      </w:pPr>
      <w:r w:rsidRPr="003C7951">
        <w:rPr>
          <w:rFonts w:cs="Times New Roman"/>
        </w:rPr>
        <w:t>Economic assessment frameworks are increasingly important to support policy decisions. A standardised methodology has been elaborated for social cost-benefit assessment for large infrastructure projects. The quantification and valuation functions for the most relevant ecosystem services are built in a publicly available webtool.</w:t>
      </w:r>
    </w:p>
    <w:p w:rsidR="001C55F3" w:rsidRPr="003C7951" w:rsidRDefault="001C55F3" w:rsidP="001C55F3">
      <w:pPr>
        <w:pStyle w:val="Paragraphedeliste"/>
        <w:spacing w:line="240" w:lineRule="auto"/>
        <w:ind w:left="0"/>
        <w:jc w:val="both"/>
        <w:rPr>
          <w:rFonts w:cs="Times New Roman"/>
        </w:rPr>
      </w:pPr>
      <w:hyperlink r:id="rId94" w:history="1">
        <w:r w:rsidRPr="003C7951">
          <w:rPr>
            <w:rStyle w:val="Lienhypertexte"/>
            <w:rFonts w:cs="Times New Roman"/>
          </w:rPr>
          <w:t>http://www.lne.be/themas/beleid/milieueconomie/linken/publicaties/Brochure%20ESD.pdf</w:t>
        </w:r>
      </w:hyperlink>
      <w:r w:rsidRPr="003C7951">
        <w:rPr>
          <w:rFonts w:cs="Times New Roman"/>
        </w:rPr>
        <w:t xml:space="preserve"> (English)</w:t>
      </w:r>
    </w:p>
    <w:p w:rsidR="001C55F3" w:rsidRDefault="001C55F3" w:rsidP="001C55F3">
      <w:pPr>
        <w:pStyle w:val="Paragraphedeliste"/>
        <w:spacing w:line="240" w:lineRule="auto"/>
        <w:ind w:left="0"/>
        <w:jc w:val="both"/>
        <w:rPr>
          <w:rFonts w:cs="Times New Roman"/>
          <w:lang w:val="nl-NL"/>
        </w:rPr>
      </w:pPr>
      <w:r w:rsidRPr="003C7951">
        <w:rPr>
          <w:rFonts w:cs="Times New Roman"/>
          <w:lang w:val="nl-NL"/>
        </w:rPr>
        <w:t xml:space="preserve">Liekens I., Schaafsma M., Staes J., De Nocker L., Brouwer R., Meire P., 2009. Economische waarderingsstudie van ecosysteemdiensten voor MKBA. Studie in opdracht van LNE, afdeling milieu-, natuur- en energiebeleid, VITO, 2009/RMA/R308. </w:t>
      </w:r>
    </w:p>
    <w:p w:rsidR="001C55F3" w:rsidRPr="003C7951" w:rsidRDefault="001C55F3" w:rsidP="001C55F3">
      <w:pPr>
        <w:pStyle w:val="Paragraphedeliste"/>
        <w:spacing w:line="240" w:lineRule="auto"/>
        <w:ind w:left="0"/>
        <w:jc w:val="both"/>
        <w:rPr>
          <w:rFonts w:cs="Times New Roman"/>
          <w:lang w:val="nl-NL"/>
        </w:rPr>
      </w:pPr>
      <w:r w:rsidRPr="003C7951">
        <w:rPr>
          <w:rFonts w:cs="Times New Roman"/>
          <w:lang w:val="nl-NL"/>
        </w:rPr>
        <w:t>(</w:t>
      </w:r>
      <w:hyperlink r:id="rId95" w:history="1">
        <w:r w:rsidRPr="003C7951">
          <w:rPr>
            <w:rStyle w:val="Lienhypertexte"/>
            <w:rFonts w:cs="Times New Roman"/>
            <w:lang w:val="nl-NL"/>
          </w:rPr>
          <w:t>http://www.lne.be/themas/beleid/milieueconomie/waardering-van-baten-enschaden/economische-waardering-van-ecosysteemdiensten-voor-mkba</w:t>
        </w:r>
      </w:hyperlink>
      <w:r w:rsidRPr="003C7951">
        <w:rPr>
          <w:rFonts w:cs="Times New Roman"/>
          <w:lang w:val="nl-NL"/>
        </w:rPr>
        <w:t>)</w:t>
      </w:r>
    </w:p>
    <w:p w:rsidR="001C55F3" w:rsidRDefault="001C55F3" w:rsidP="001C55F3">
      <w:pPr>
        <w:pStyle w:val="Paragraphedeliste"/>
        <w:spacing w:line="240" w:lineRule="auto"/>
        <w:ind w:left="0"/>
        <w:jc w:val="both"/>
        <w:rPr>
          <w:rFonts w:cs="Times New Roman"/>
          <w:lang w:val="nl-NL"/>
        </w:rPr>
      </w:pPr>
      <w:r w:rsidRPr="003C7951">
        <w:rPr>
          <w:rFonts w:cs="Times New Roman"/>
          <w:lang w:val="nl-NL"/>
        </w:rPr>
        <w:t>Liekens I., Schaafsma M., Staes J., Brouwer R., De Nocker L., Meire P. (2010). Economische waardering van ecosysteemdiensten, een handleiding. Studie in opdracht van LNE, afdeling milieu-, natuu</w:t>
      </w:r>
      <w:r>
        <w:rPr>
          <w:rFonts w:cs="Times New Roman"/>
          <w:lang w:val="nl-NL"/>
        </w:rPr>
        <w:t>r- en energiebeleid, maart 2010</w:t>
      </w:r>
    </w:p>
    <w:p w:rsidR="001C55F3" w:rsidRPr="003C7951" w:rsidRDefault="001C55F3" w:rsidP="001C55F3">
      <w:pPr>
        <w:pStyle w:val="Paragraphedeliste"/>
        <w:spacing w:line="240" w:lineRule="auto"/>
        <w:ind w:left="0"/>
        <w:jc w:val="both"/>
        <w:rPr>
          <w:rFonts w:cs="Times New Roman"/>
          <w:lang w:val="nl-NL"/>
        </w:rPr>
      </w:pPr>
      <w:r w:rsidRPr="003C7951">
        <w:rPr>
          <w:rFonts w:cs="Times New Roman"/>
          <w:lang w:val="nl-NL"/>
        </w:rPr>
        <w:t>(</w:t>
      </w:r>
      <w:hyperlink r:id="rId96" w:history="1">
        <w:r w:rsidRPr="003C7951">
          <w:rPr>
            <w:rStyle w:val="Lienhypertexte"/>
            <w:rFonts w:cs="Times New Roman"/>
            <w:lang w:val="nl-NL"/>
          </w:rPr>
          <w:t>http://www.lne.be/themas/beleid/milieueconomie/waardering-van-baten-enschaden/handleiding-waardering-ecosysteemdiensten</w:t>
        </w:r>
      </w:hyperlink>
      <w:r w:rsidRPr="003C7951">
        <w:rPr>
          <w:rFonts w:cs="Times New Roman"/>
          <w:lang w:val="nl-NL"/>
        </w:rPr>
        <w:t>)</w:t>
      </w:r>
    </w:p>
    <w:p w:rsidR="001C55F3" w:rsidRPr="00295D0C" w:rsidRDefault="001C55F3" w:rsidP="001C55F3">
      <w:pPr>
        <w:pStyle w:val="Paragraphedeliste"/>
        <w:spacing w:line="240" w:lineRule="auto"/>
        <w:ind w:left="0"/>
        <w:jc w:val="both"/>
        <w:rPr>
          <w:rStyle w:val="Lienhypertexte"/>
          <w:rFonts w:cs="Times New Roman"/>
          <w:lang w:val="nl-NL"/>
        </w:rPr>
      </w:pPr>
      <w:hyperlink r:id="rId97" w:history="1">
        <w:r w:rsidRPr="00295D0C">
          <w:rPr>
            <w:rStyle w:val="Lienhypertexte"/>
            <w:rFonts w:cs="Times New Roman"/>
            <w:lang w:val="nl-NL"/>
          </w:rPr>
          <w:t>http://rma.vito.be/natuurwaardeverkenner/</w:t>
        </w:r>
      </w:hyperlink>
    </w:p>
    <w:p w:rsidR="001C55F3" w:rsidRPr="00295D0C" w:rsidRDefault="001C55F3" w:rsidP="001C55F3">
      <w:pPr>
        <w:pStyle w:val="Paragraphedeliste"/>
        <w:spacing w:line="240" w:lineRule="auto"/>
        <w:ind w:left="0"/>
        <w:jc w:val="both"/>
        <w:rPr>
          <w:rFonts w:cs="Times New Roman"/>
          <w:lang w:val="nl-NL"/>
        </w:rPr>
      </w:pPr>
    </w:p>
    <w:p w:rsidR="001C55F3" w:rsidRPr="003C7951" w:rsidRDefault="001C55F3" w:rsidP="001C55F3">
      <w:pPr>
        <w:pStyle w:val="Paragraphedeliste"/>
        <w:spacing w:line="240" w:lineRule="auto"/>
        <w:ind w:left="0"/>
        <w:jc w:val="both"/>
        <w:rPr>
          <w:rFonts w:cs="Times New Roman"/>
        </w:rPr>
      </w:pPr>
      <w:r w:rsidRPr="003C7951">
        <w:rPr>
          <w:rFonts w:cs="Times New Roman"/>
          <w:b/>
        </w:rPr>
        <w:lastRenderedPageBreak/>
        <w:t>Ecosystem services in Flanders: an exploratory inventory of ecosystem services and potential benefits</w:t>
      </w:r>
      <w:r w:rsidRPr="003C7951">
        <w:rPr>
          <w:rFonts w:cs="Times New Roman"/>
        </w:rPr>
        <w:t>This study aimed to introduce the concept of ecosystem services to a broad range of policy makers and institutions. The study provides a general analysis on what ecosystem services are important in Flanders, and what their state is. The study also analysed existing conservation and restoration projects and emphasized how the concept of ecosystem services can improve the planning and communication.</w:t>
      </w:r>
    </w:p>
    <w:p w:rsidR="001C55F3" w:rsidRDefault="001C55F3" w:rsidP="001C55F3">
      <w:pPr>
        <w:pStyle w:val="Paragraphedeliste"/>
        <w:spacing w:line="240" w:lineRule="auto"/>
        <w:ind w:left="0"/>
        <w:jc w:val="both"/>
        <w:rPr>
          <w:rFonts w:cs="Times New Roman"/>
        </w:rPr>
      </w:pPr>
      <w:r w:rsidRPr="003C7951">
        <w:rPr>
          <w:rFonts w:cs="Times New Roman"/>
          <w:lang w:val="fr-BE"/>
        </w:rPr>
        <w:t xml:space="preserve">Jacobs, S.; Staes, J.; De Meulenaer, B.; Schneiders, A.; Vrebos, D.; Stragier, F.; Vandevenne, F.; Simoens, I.; VanDerBiest, K.; Lettens, S.; De Vos, B.; Van der Aa, B.; Turkelboom, F.; Van Daele, T. ; Genar O.; Van Ballaer, B.;Temmerman, S. &amp;Meire, P. 2010. </w:t>
      </w:r>
      <w:r w:rsidRPr="003C7951">
        <w:rPr>
          <w:rFonts w:cs="Times New Roman"/>
          <w:lang w:val="nl-NL"/>
        </w:rPr>
        <w:t xml:space="preserve">Ecosysteemdiensten in Vlaanderen: een verkennende inventarisatie vanecosysteemdiensten en potentiële ecosysteemwinsten. </w:t>
      </w:r>
      <w:r w:rsidRPr="003C7951">
        <w:rPr>
          <w:rFonts w:cs="Times New Roman"/>
        </w:rPr>
        <w:t>University of Antwerp, Ecosystem ManagementResearch Group, ECOBE 010-R 127.</w:t>
      </w:r>
    </w:p>
    <w:p w:rsidR="001C55F3" w:rsidRPr="003C7951" w:rsidRDefault="001C55F3" w:rsidP="001C55F3">
      <w:pPr>
        <w:pStyle w:val="Paragraphedeliste"/>
        <w:spacing w:line="240" w:lineRule="auto"/>
        <w:ind w:left="0"/>
        <w:jc w:val="both"/>
        <w:rPr>
          <w:rFonts w:cs="Times New Roman"/>
        </w:rPr>
      </w:pPr>
      <w:hyperlink r:id="rId98" w:history="1">
        <w:r w:rsidRPr="003C7951">
          <w:rPr>
            <w:rStyle w:val="Lienhypertexte"/>
            <w:rFonts w:cs="Times New Roman"/>
          </w:rPr>
          <w:t>http://www.lne.be/themas/beleid/milieueconomie/waardering-van-baten-enschaden/eindrapport-anb-studie-esd-in-vlaanderen</w:t>
        </w:r>
      </w:hyperlink>
      <w:r w:rsidRPr="003C7951">
        <w:rPr>
          <w:rFonts w:cs="Times New Roman"/>
        </w:rPr>
        <w:t xml:space="preserve"> (dutch)</w:t>
      </w:r>
    </w:p>
    <w:p w:rsidR="001C55F3" w:rsidRPr="007D7B9E" w:rsidRDefault="001C55F3" w:rsidP="001C55F3">
      <w:pPr>
        <w:pStyle w:val="Paragraphedeliste"/>
        <w:spacing w:line="240" w:lineRule="auto"/>
        <w:ind w:left="1440"/>
        <w:jc w:val="both"/>
        <w:rPr>
          <w:rFonts w:ascii="Times New Roman" w:hAnsi="Times New Roman" w:cs="Times New Roman"/>
        </w:rPr>
      </w:pPr>
    </w:p>
    <w:p w:rsidR="001C55F3" w:rsidRPr="00295D0C" w:rsidRDefault="001C55F3" w:rsidP="001C55F3">
      <w:pPr>
        <w:spacing w:line="240" w:lineRule="auto"/>
        <w:rPr>
          <w:rFonts w:cstheme="minorHAnsi"/>
          <w:b/>
          <w:sz w:val="40"/>
          <w:szCs w:val="40"/>
          <w:lang w:val="en-US"/>
        </w:rPr>
      </w:pPr>
      <w:r w:rsidRPr="00295D0C">
        <w:rPr>
          <w:rFonts w:cstheme="minorHAnsi"/>
          <w:b/>
          <w:sz w:val="40"/>
          <w:szCs w:val="40"/>
          <w:lang w:val="en-US"/>
        </w:rPr>
        <w:t>Austria</w:t>
      </w:r>
    </w:p>
    <w:p w:rsidR="001C55F3" w:rsidRPr="00295D0C" w:rsidRDefault="001C55F3" w:rsidP="001C55F3">
      <w:pPr>
        <w:spacing w:line="240" w:lineRule="auto"/>
        <w:rPr>
          <w:rFonts w:cstheme="minorHAnsi"/>
          <w:b/>
          <w:sz w:val="40"/>
          <w:szCs w:val="40"/>
          <w:lang w:val="en-US"/>
        </w:rPr>
      </w:pPr>
      <w:r w:rsidRPr="00295D0C">
        <w:rPr>
          <w:rFonts w:cstheme="minorHAnsi"/>
          <w:b/>
          <w:sz w:val="40"/>
          <w:szCs w:val="40"/>
          <w:lang w:val="en-US"/>
        </w:rPr>
        <w:t>Switzerland</w:t>
      </w:r>
    </w:p>
    <w:p w:rsidR="001C55F3" w:rsidRPr="00295D0C" w:rsidRDefault="001C55F3" w:rsidP="001C55F3">
      <w:pPr>
        <w:autoSpaceDE w:val="0"/>
        <w:autoSpaceDN w:val="0"/>
        <w:adjustRightInd w:val="0"/>
        <w:spacing w:after="0" w:line="240" w:lineRule="auto"/>
        <w:jc w:val="both"/>
        <w:rPr>
          <w:lang w:val="nl-NL"/>
        </w:rPr>
      </w:pPr>
      <w:r w:rsidRPr="00295D0C">
        <w:rPr>
          <w:lang w:val="en-US"/>
        </w:rPr>
        <w:t xml:space="preserve">Altwegg, J.; Grêt-Regamey, A. (2011): </w:t>
      </w:r>
      <w:r w:rsidRPr="00295D0C">
        <w:rPr>
          <w:i/>
          <w:lang w:val="en-US"/>
        </w:rPr>
        <w:t>Challenges in integrating ecosystem services in sustainable land management.</w:t>
      </w:r>
      <w:r w:rsidRPr="00295D0C">
        <w:rPr>
          <w:lang w:val="en-US"/>
        </w:rPr>
        <w:t xml:space="preserve"> In REAL CORP 2011 Proceedings. Editors: Manfred SCHRENK, Vasily V. POPOVICH, Peter Zeile. </w:t>
      </w:r>
      <w:r w:rsidRPr="00295D0C">
        <w:rPr>
          <w:lang w:val="nl-NL"/>
        </w:rPr>
        <w:t>Essen</w:t>
      </w:r>
    </w:p>
    <w:p w:rsidR="001C55F3" w:rsidRPr="00295D0C" w:rsidRDefault="001C55F3" w:rsidP="001C55F3">
      <w:pPr>
        <w:autoSpaceDE w:val="0"/>
        <w:autoSpaceDN w:val="0"/>
        <w:adjustRightInd w:val="0"/>
        <w:spacing w:after="0" w:line="240" w:lineRule="auto"/>
        <w:jc w:val="both"/>
        <w:rPr>
          <w:lang w:val="de-CH"/>
        </w:rPr>
      </w:pPr>
    </w:p>
    <w:p w:rsidR="001C55F3" w:rsidRPr="00295D0C" w:rsidRDefault="001C55F3" w:rsidP="001C55F3">
      <w:pPr>
        <w:autoSpaceDE w:val="0"/>
        <w:autoSpaceDN w:val="0"/>
        <w:adjustRightInd w:val="0"/>
        <w:spacing w:after="0" w:line="240" w:lineRule="auto"/>
        <w:jc w:val="both"/>
        <w:rPr>
          <w:lang w:val="de-CH"/>
        </w:rPr>
      </w:pPr>
      <w:r w:rsidRPr="00295D0C">
        <w:rPr>
          <w:lang w:val="de-CH"/>
        </w:rPr>
        <w:t xml:space="preserve">Bebi, P., Teich, M., Hagedorn, F., Zurbriggen, N. , Brunner, S.H., Grêt-Regamey, A. (2012): </w:t>
      </w:r>
      <w:r w:rsidRPr="00295D0C">
        <w:rPr>
          <w:i/>
          <w:lang w:val="de-CH"/>
        </w:rPr>
        <w:t>Veränderungen von Wald und Waldleistungen in der Landschaft Davos im Zuge des Klimawandels</w:t>
      </w:r>
      <w:r w:rsidRPr="00295D0C">
        <w:rPr>
          <w:lang w:val="de-CH"/>
        </w:rPr>
        <w:t>. Schweizerische Zeitschrift für Forstwesen 163(12):493-501.</w:t>
      </w:r>
    </w:p>
    <w:p w:rsidR="001C55F3" w:rsidRPr="00295D0C" w:rsidRDefault="001C55F3" w:rsidP="001C55F3">
      <w:pPr>
        <w:autoSpaceDE w:val="0"/>
        <w:autoSpaceDN w:val="0"/>
        <w:adjustRightInd w:val="0"/>
        <w:spacing w:after="0" w:line="240" w:lineRule="auto"/>
        <w:jc w:val="both"/>
      </w:pPr>
    </w:p>
    <w:p w:rsidR="001C55F3" w:rsidRPr="00295D0C" w:rsidRDefault="001C55F3" w:rsidP="001C55F3">
      <w:pPr>
        <w:autoSpaceDE w:val="0"/>
        <w:autoSpaceDN w:val="0"/>
        <w:adjustRightInd w:val="0"/>
        <w:spacing w:after="0" w:line="240" w:lineRule="auto"/>
        <w:jc w:val="both"/>
      </w:pPr>
      <w:r w:rsidRPr="00295D0C">
        <w:t xml:space="preserve">Bolliger, J; Kienast, F; Soliva, R; Rutherford, G (2007): </w:t>
      </w:r>
      <w:r w:rsidRPr="00295D0C">
        <w:rPr>
          <w:i/>
        </w:rPr>
        <w:t>Spatial sensitivity of species habitat patterns to scenarios of land use change (Switzerland)</w:t>
      </w:r>
      <w:r w:rsidRPr="00295D0C">
        <w:t>. In: Landscape Ecology 22, S. 773 - 789.</w:t>
      </w:r>
    </w:p>
    <w:p w:rsidR="001C55F3" w:rsidRPr="00295D0C" w:rsidRDefault="001C55F3" w:rsidP="001C55F3">
      <w:pPr>
        <w:autoSpaceDE w:val="0"/>
        <w:autoSpaceDN w:val="0"/>
        <w:adjustRightInd w:val="0"/>
        <w:spacing w:after="0" w:line="240" w:lineRule="auto"/>
        <w:jc w:val="both"/>
      </w:pPr>
    </w:p>
    <w:p w:rsidR="001C55F3" w:rsidRPr="00295D0C" w:rsidRDefault="001C55F3" w:rsidP="001C55F3">
      <w:pPr>
        <w:autoSpaceDE w:val="0"/>
        <w:autoSpaceDN w:val="0"/>
        <w:adjustRightInd w:val="0"/>
        <w:spacing w:after="0" w:line="240" w:lineRule="auto"/>
        <w:jc w:val="both"/>
      </w:pPr>
      <w:r w:rsidRPr="00295D0C">
        <w:t xml:space="preserve">Celio, E., Brunner, S.H., Grêt-Regamey, A. (2012): </w:t>
      </w:r>
      <w:r w:rsidRPr="00295D0C">
        <w:rPr>
          <w:i/>
        </w:rPr>
        <w:t>Participatory land use modeling with Bayesian Networks: a focus on subjective validation.</w:t>
      </w:r>
      <w:r w:rsidRPr="00295D0C">
        <w:t xml:space="preserve"> International Environmental Modelling and Software Society (iEMSs), Proceedings of International Congress on Environmental Modelling and Software, Managing Resources of a Limited Planet, Leipzig, Germany</w:t>
      </w:r>
    </w:p>
    <w:p w:rsidR="001C55F3" w:rsidRPr="00295D0C" w:rsidRDefault="001C55F3" w:rsidP="001C55F3">
      <w:pPr>
        <w:autoSpaceDE w:val="0"/>
        <w:autoSpaceDN w:val="0"/>
        <w:adjustRightInd w:val="0"/>
        <w:spacing w:after="0" w:line="240" w:lineRule="auto"/>
        <w:jc w:val="both"/>
      </w:pPr>
    </w:p>
    <w:p w:rsidR="001C55F3" w:rsidRPr="00295D0C" w:rsidRDefault="001C55F3" w:rsidP="001C55F3">
      <w:pPr>
        <w:autoSpaceDE w:val="0"/>
        <w:autoSpaceDN w:val="0"/>
        <w:adjustRightInd w:val="0"/>
        <w:spacing w:after="0" w:line="240" w:lineRule="auto"/>
        <w:jc w:val="both"/>
      </w:pPr>
      <w:r w:rsidRPr="00295D0C">
        <w:t>Grêt-Regamey A, Brunner SH, Altwegg J, Christen M, Bebi, P. (2013): Integrating expert knowledge into mapping ecosystem services trade-offs for sustainable forest management. Ecology and Society, in press.</w:t>
      </w:r>
    </w:p>
    <w:p w:rsidR="001C55F3" w:rsidRPr="00295D0C" w:rsidRDefault="001C55F3" w:rsidP="001C55F3">
      <w:pPr>
        <w:autoSpaceDE w:val="0"/>
        <w:autoSpaceDN w:val="0"/>
        <w:adjustRightInd w:val="0"/>
        <w:spacing w:after="0" w:line="240" w:lineRule="auto"/>
        <w:jc w:val="both"/>
        <w:rPr>
          <w:rStyle w:val="lev"/>
          <w:b w:val="0"/>
        </w:rPr>
      </w:pPr>
    </w:p>
    <w:p w:rsidR="001C55F3" w:rsidRPr="00295D0C" w:rsidRDefault="001C55F3" w:rsidP="001C55F3">
      <w:pPr>
        <w:autoSpaceDE w:val="0"/>
        <w:autoSpaceDN w:val="0"/>
        <w:adjustRightInd w:val="0"/>
        <w:spacing w:after="0" w:line="240" w:lineRule="auto"/>
        <w:jc w:val="both"/>
        <w:rPr>
          <w:lang w:val="en-US"/>
        </w:rPr>
      </w:pPr>
      <w:r w:rsidRPr="00295D0C">
        <w:rPr>
          <w:rStyle w:val="lev"/>
          <w:b w:val="0"/>
        </w:rPr>
        <w:t>Grêt-Regamey, A.</w:t>
      </w:r>
      <w:r w:rsidRPr="00295D0C">
        <w:t xml:space="preserve">, Bebi, P., Bishop, I.D., Schmid, W. (2008): </w:t>
      </w:r>
      <w:r w:rsidRPr="00295D0C">
        <w:rPr>
          <w:rStyle w:val="Accentuation"/>
        </w:rPr>
        <w:t>Linking GIS-based models to value ecosystem services in an Alpine region</w:t>
      </w:r>
      <w:r w:rsidRPr="00295D0C">
        <w:t xml:space="preserve">. </w:t>
      </w:r>
      <w:r w:rsidRPr="00295D0C">
        <w:rPr>
          <w:rStyle w:val="lev"/>
          <w:b w:val="0"/>
          <w:lang w:val="en-US"/>
        </w:rPr>
        <w:t>Journal of Environmental Management</w:t>
      </w:r>
      <w:r w:rsidRPr="00295D0C">
        <w:rPr>
          <w:lang w:val="en-US"/>
        </w:rPr>
        <w:t xml:space="preserve"> 89:197-208.</w:t>
      </w:r>
    </w:p>
    <w:p w:rsidR="001C55F3" w:rsidRPr="00295D0C" w:rsidRDefault="001C55F3" w:rsidP="001C55F3">
      <w:pPr>
        <w:autoSpaceDE w:val="0"/>
        <w:autoSpaceDN w:val="0"/>
        <w:adjustRightInd w:val="0"/>
        <w:spacing w:after="0" w:line="240" w:lineRule="auto"/>
        <w:jc w:val="both"/>
        <w:rPr>
          <w:rStyle w:val="lev"/>
          <w:b w:val="0"/>
        </w:rPr>
      </w:pPr>
    </w:p>
    <w:p w:rsidR="001C55F3" w:rsidRPr="00295D0C" w:rsidRDefault="001C55F3" w:rsidP="001C55F3">
      <w:pPr>
        <w:autoSpaceDE w:val="0"/>
        <w:autoSpaceDN w:val="0"/>
        <w:adjustRightInd w:val="0"/>
        <w:spacing w:after="0" w:line="240" w:lineRule="auto"/>
        <w:jc w:val="both"/>
      </w:pPr>
      <w:r w:rsidRPr="00295D0C">
        <w:rPr>
          <w:rStyle w:val="lev"/>
          <w:b w:val="0"/>
        </w:rPr>
        <w:t>Grêt-Regamey, A.</w:t>
      </w:r>
      <w:r w:rsidRPr="00295D0C">
        <w:t xml:space="preserve">, Brunner, S.H., Altwegg, J., Bebi, P. (2012): </w:t>
      </w:r>
      <w:r w:rsidRPr="00295D0C">
        <w:rPr>
          <w:rStyle w:val="Accentuation"/>
        </w:rPr>
        <w:t>Facing uncertainty in ecosystem services-based resource management.</w:t>
      </w:r>
      <w:r w:rsidRPr="00295D0C">
        <w:rPr>
          <w:rStyle w:val="lev"/>
          <w:b w:val="0"/>
        </w:rPr>
        <w:t>Journal of Environmental Management</w:t>
      </w:r>
      <w:r w:rsidRPr="00295D0C">
        <w:t xml:space="preserve">: </w:t>
      </w:r>
      <w:hyperlink r:id="rId99" w:history="1">
        <w:r w:rsidRPr="00295D0C">
          <w:rPr>
            <w:rStyle w:val="Lienhypertexte"/>
          </w:rPr>
          <w:t>http://dx.doi.org/10.1016/j.jenvman.2012.07.028</w:t>
        </w:r>
      </w:hyperlink>
      <w:r w:rsidRPr="00295D0C">
        <w:t>.</w:t>
      </w:r>
    </w:p>
    <w:p w:rsidR="001C55F3" w:rsidRPr="00295D0C" w:rsidRDefault="001C55F3" w:rsidP="001C55F3">
      <w:pPr>
        <w:pStyle w:val="Paragraphedeliste"/>
        <w:autoSpaceDE w:val="0"/>
        <w:autoSpaceDN w:val="0"/>
        <w:adjustRightInd w:val="0"/>
        <w:spacing w:after="0" w:line="240" w:lineRule="auto"/>
        <w:ind w:left="0"/>
        <w:rPr>
          <w:bCs/>
        </w:rPr>
      </w:pPr>
    </w:p>
    <w:p w:rsidR="001C55F3" w:rsidRPr="00295D0C" w:rsidRDefault="001C55F3" w:rsidP="001C55F3">
      <w:pPr>
        <w:pStyle w:val="Paragraphedeliste"/>
        <w:autoSpaceDE w:val="0"/>
        <w:autoSpaceDN w:val="0"/>
        <w:adjustRightInd w:val="0"/>
        <w:spacing w:after="0" w:line="240" w:lineRule="auto"/>
        <w:ind w:left="0"/>
        <w:rPr>
          <w:bCs/>
        </w:rPr>
      </w:pPr>
      <w:r w:rsidRPr="00295D0C">
        <w:rPr>
          <w:bCs/>
        </w:rPr>
        <w:t>Grêt-Regamey, A.</w:t>
      </w:r>
      <w:r w:rsidRPr="00295D0C">
        <w:t xml:space="preserve">, Brunner, S.H., Kienast, F. (2012): </w:t>
      </w:r>
      <w:r w:rsidRPr="00295D0C">
        <w:rPr>
          <w:i/>
          <w:iCs/>
        </w:rPr>
        <w:t>Mountain ecosystem services - who cares?</w:t>
      </w:r>
      <w:r w:rsidRPr="00295D0C">
        <w:rPr>
          <w:bCs/>
        </w:rPr>
        <w:t>Mountain Research and Development</w:t>
      </w:r>
      <w:r w:rsidRPr="00295D0C">
        <w:t xml:space="preserve"> 32(S1):3-34 </w:t>
      </w:r>
      <w:hyperlink r:id="rId100" w:history="1">
        <w:r w:rsidRPr="00295D0C">
          <w:rPr>
            <w:rStyle w:val="Lienhypertexte"/>
            <w:bCs/>
          </w:rPr>
          <w:t>http://www.bioone.org/doi/full/10.1659/MRD-JOURNAL-D-10-00115.S1</w:t>
        </w:r>
      </w:hyperlink>
    </w:p>
    <w:p w:rsidR="001C55F3" w:rsidRPr="00295D0C" w:rsidRDefault="001C55F3" w:rsidP="001C55F3">
      <w:pPr>
        <w:autoSpaceDE w:val="0"/>
        <w:autoSpaceDN w:val="0"/>
        <w:adjustRightInd w:val="0"/>
        <w:spacing w:after="0" w:line="240" w:lineRule="auto"/>
        <w:contextualSpacing/>
        <w:jc w:val="both"/>
        <w:rPr>
          <w:rStyle w:val="lev"/>
          <w:b w:val="0"/>
        </w:rPr>
      </w:pPr>
    </w:p>
    <w:p w:rsidR="001C55F3" w:rsidRPr="00295D0C" w:rsidRDefault="001C55F3" w:rsidP="001C55F3">
      <w:pPr>
        <w:autoSpaceDE w:val="0"/>
        <w:autoSpaceDN w:val="0"/>
        <w:adjustRightInd w:val="0"/>
        <w:spacing w:after="0" w:line="240" w:lineRule="auto"/>
        <w:contextualSpacing/>
        <w:jc w:val="both"/>
      </w:pPr>
      <w:r w:rsidRPr="00295D0C">
        <w:rPr>
          <w:rStyle w:val="lev"/>
          <w:b w:val="0"/>
          <w:lang w:val="nl-NL"/>
        </w:rPr>
        <w:t>Grêt-Regamey, A.</w:t>
      </w:r>
      <w:r w:rsidRPr="00295D0C">
        <w:rPr>
          <w:lang w:val="nl-NL"/>
        </w:rPr>
        <w:t xml:space="preserve">, Bugmann, H., Burlando, P., Celio, E., de Buren, G,. </w:t>
      </w:r>
      <w:r w:rsidRPr="00295D0C">
        <w:t xml:space="preserve">Köllner, Th., Knöpfe,l P., Pappas, C., Ryffel, A. (2011): </w:t>
      </w:r>
      <w:r w:rsidRPr="00295D0C">
        <w:rPr>
          <w:rStyle w:val="Accentuation"/>
        </w:rPr>
        <w:t>Securing hydrological ecosystem services through catchment-wide land use management</w:t>
      </w:r>
      <w:r w:rsidRPr="00295D0C">
        <w:t>. In Borsdorf A. Stötter J. Veulliet E., Managing Alpine Future II - Inspire and drive sustainable mountain regions, Innsbruck University, Innsbruck, pp. 124 – 133, ISBN 978-3-7001-7153-9</w:t>
      </w:r>
    </w:p>
    <w:p w:rsidR="001C55F3" w:rsidRPr="00295D0C" w:rsidRDefault="001C55F3" w:rsidP="001C55F3">
      <w:pPr>
        <w:autoSpaceDE w:val="0"/>
        <w:autoSpaceDN w:val="0"/>
        <w:adjustRightInd w:val="0"/>
        <w:spacing w:after="0" w:line="240" w:lineRule="auto"/>
        <w:jc w:val="both"/>
        <w:rPr>
          <w:rStyle w:val="lev"/>
          <w:b w:val="0"/>
        </w:rPr>
      </w:pPr>
    </w:p>
    <w:p w:rsidR="001C55F3" w:rsidRPr="00295D0C" w:rsidRDefault="001C55F3" w:rsidP="001C55F3">
      <w:pPr>
        <w:autoSpaceDE w:val="0"/>
        <w:autoSpaceDN w:val="0"/>
        <w:adjustRightInd w:val="0"/>
        <w:spacing w:after="0" w:line="240" w:lineRule="auto"/>
        <w:jc w:val="both"/>
        <w:rPr>
          <w:rStyle w:val="lev"/>
          <w:b w:val="0"/>
        </w:rPr>
      </w:pPr>
      <w:r w:rsidRPr="00295D0C">
        <w:rPr>
          <w:rStyle w:val="lev"/>
          <w:b w:val="0"/>
        </w:rPr>
        <w:t xml:space="preserve">Grêt-Regamey, A., Celio, E., Klein, T.M., Wissen Hayek, U. (2013): </w:t>
      </w:r>
      <w:r w:rsidRPr="00295D0C">
        <w:rPr>
          <w:rStyle w:val="lev"/>
          <w:b w:val="0"/>
          <w:i/>
        </w:rPr>
        <w:t>Understanding ecosystem services trade-offs with interactive procedural modeling for sustainable urban planning.</w:t>
      </w:r>
      <w:r w:rsidRPr="00295D0C">
        <w:rPr>
          <w:rStyle w:val="lev"/>
          <w:b w:val="0"/>
        </w:rPr>
        <w:t xml:space="preserve"> Landscape and Urban Planning 109:107-116 </w:t>
      </w:r>
    </w:p>
    <w:p w:rsidR="001C55F3" w:rsidRPr="00295D0C" w:rsidRDefault="001C55F3" w:rsidP="001C55F3">
      <w:pPr>
        <w:autoSpaceDE w:val="0"/>
        <w:autoSpaceDN w:val="0"/>
        <w:adjustRightInd w:val="0"/>
        <w:spacing w:after="0" w:line="240" w:lineRule="auto"/>
        <w:jc w:val="both"/>
        <w:rPr>
          <w:bCs/>
          <w:lang w:val="de-CH"/>
        </w:rPr>
      </w:pPr>
    </w:p>
    <w:p w:rsidR="001C55F3" w:rsidRPr="00295D0C" w:rsidRDefault="001C55F3" w:rsidP="001C55F3">
      <w:pPr>
        <w:autoSpaceDE w:val="0"/>
        <w:autoSpaceDN w:val="0"/>
        <w:adjustRightInd w:val="0"/>
        <w:spacing w:after="0" w:line="240" w:lineRule="auto"/>
        <w:jc w:val="both"/>
        <w:rPr>
          <w:bCs/>
          <w:lang w:val="de-CH"/>
        </w:rPr>
      </w:pPr>
      <w:r w:rsidRPr="00295D0C">
        <w:rPr>
          <w:bCs/>
          <w:lang w:val="de-CH"/>
        </w:rPr>
        <w:t xml:space="preserve">Grêt-Regamey, A., Rabe, S.E., Crespo, R., Ryffel A. (2012): </w:t>
      </w:r>
      <w:r w:rsidRPr="00295D0C">
        <w:rPr>
          <w:bCs/>
          <w:i/>
          <w:lang w:val="de-CH"/>
        </w:rPr>
        <w:t>Der Wert der Biodiversität, gemessen an Ökosystemleistungen von extensiv bewirtschaftetem Grünland.</w:t>
      </w:r>
      <w:r w:rsidRPr="00295D0C">
        <w:rPr>
          <w:bCs/>
          <w:lang w:val="de-CH"/>
        </w:rPr>
        <w:t xml:space="preserve"> Bericht im Auftrag des Bundesamt für Umwelt, BAFU, Bern.</w:t>
      </w:r>
    </w:p>
    <w:p w:rsidR="001C55F3" w:rsidRPr="00295D0C" w:rsidRDefault="001C55F3" w:rsidP="001C55F3">
      <w:pPr>
        <w:autoSpaceDE w:val="0"/>
        <w:autoSpaceDN w:val="0"/>
        <w:adjustRightInd w:val="0"/>
        <w:spacing w:after="0" w:line="240" w:lineRule="auto"/>
        <w:jc w:val="both"/>
        <w:rPr>
          <w:lang w:val="en-US"/>
        </w:rPr>
      </w:pPr>
    </w:p>
    <w:p w:rsidR="001C55F3" w:rsidRPr="00295D0C" w:rsidRDefault="001C55F3" w:rsidP="001C55F3">
      <w:pPr>
        <w:autoSpaceDE w:val="0"/>
        <w:autoSpaceDN w:val="0"/>
        <w:adjustRightInd w:val="0"/>
        <w:spacing w:after="0" w:line="240" w:lineRule="auto"/>
        <w:jc w:val="both"/>
        <w:rPr>
          <w:lang w:val="de-CH"/>
        </w:rPr>
      </w:pPr>
      <w:r w:rsidRPr="00295D0C">
        <w:rPr>
          <w:lang w:val="en-US"/>
        </w:rPr>
        <w:t xml:space="preserve">Grêt-Regamey, A., Wissen Hayek, U. (2012): </w:t>
      </w:r>
      <w:r w:rsidRPr="00295D0C">
        <w:rPr>
          <w:i/>
          <w:lang w:val="en-US"/>
        </w:rPr>
        <w:t>Multi-criteria decision analysis for planning and design of sustainable energy landscapes.</w:t>
      </w:r>
      <w:r w:rsidRPr="00295D0C">
        <w:rPr>
          <w:lang w:val="en-US"/>
        </w:rPr>
        <w:t xml:space="preserve"> In: van den Dobbelsteen, A., Stremke, S. (Eds.), Sustainable Energy Landscapes: Designing, Planning and Development. </w:t>
      </w:r>
      <w:r w:rsidRPr="00295D0C">
        <w:rPr>
          <w:lang w:val="de-CH"/>
        </w:rPr>
        <w:t>CRC/Taylor &amp; Francis</w:t>
      </w:r>
    </w:p>
    <w:p w:rsidR="001C55F3" w:rsidRPr="00295D0C" w:rsidRDefault="001C55F3" w:rsidP="001C55F3">
      <w:pPr>
        <w:autoSpaceDE w:val="0"/>
        <w:autoSpaceDN w:val="0"/>
        <w:adjustRightInd w:val="0"/>
        <w:spacing w:after="0" w:line="240" w:lineRule="auto"/>
        <w:contextualSpacing/>
        <w:jc w:val="both"/>
      </w:pPr>
    </w:p>
    <w:p w:rsidR="001C55F3" w:rsidRPr="00295D0C" w:rsidRDefault="001C55F3" w:rsidP="001C55F3">
      <w:pPr>
        <w:autoSpaceDE w:val="0"/>
        <w:autoSpaceDN w:val="0"/>
        <w:adjustRightInd w:val="0"/>
        <w:spacing w:after="0" w:line="240" w:lineRule="auto"/>
        <w:contextualSpacing/>
        <w:jc w:val="both"/>
      </w:pPr>
      <w:r w:rsidRPr="00295D0C">
        <w:t xml:space="preserve">Huber, R., Rigling, A., Briner, S., Lehmann, B., </w:t>
      </w:r>
      <w:r w:rsidRPr="00295D0C">
        <w:rPr>
          <w:rStyle w:val="lev"/>
          <w:b w:val="0"/>
        </w:rPr>
        <w:t>Grêt-Regamey, A.</w:t>
      </w:r>
      <w:r w:rsidRPr="00295D0C">
        <w:t xml:space="preserve"> (2011): </w:t>
      </w:r>
      <w:r w:rsidRPr="00295D0C">
        <w:rPr>
          <w:rStyle w:val="Accentuation"/>
        </w:rPr>
        <w:t>Adapting to climate and socio-economic land-use changes - the inter- and transdisciplinary research project MOUNTLAND</w:t>
      </w:r>
      <w:r w:rsidRPr="00295D0C">
        <w:t>, Proceedings of the International Conference on Landscape Economics, July 4-6, 2011, Padua/Italy</w:t>
      </w:r>
    </w:p>
    <w:p w:rsidR="001C55F3" w:rsidRPr="00295D0C" w:rsidRDefault="001C55F3" w:rsidP="001C55F3">
      <w:pPr>
        <w:autoSpaceDE w:val="0"/>
        <w:autoSpaceDN w:val="0"/>
        <w:adjustRightInd w:val="0"/>
        <w:spacing w:after="0" w:line="240" w:lineRule="auto"/>
        <w:jc w:val="both"/>
        <w:rPr>
          <w:lang w:val="de-CH"/>
        </w:rPr>
      </w:pPr>
    </w:p>
    <w:p w:rsidR="001C55F3" w:rsidRPr="00295D0C" w:rsidRDefault="001C55F3" w:rsidP="001C55F3">
      <w:pPr>
        <w:autoSpaceDE w:val="0"/>
        <w:autoSpaceDN w:val="0"/>
        <w:adjustRightInd w:val="0"/>
        <w:spacing w:after="0" w:line="240" w:lineRule="auto"/>
        <w:jc w:val="both"/>
        <w:rPr>
          <w:lang w:val="de-CH"/>
        </w:rPr>
      </w:pPr>
      <w:r w:rsidRPr="00295D0C">
        <w:rPr>
          <w:lang w:val="de-CH"/>
        </w:rPr>
        <w:t xml:space="preserve">Känzig, J.; Hauser, Andrea (2009): </w:t>
      </w:r>
      <w:r w:rsidRPr="00295D0C">
        <w:rPr>
          <w:i/>
          <w:lang w:val="de-CH"/>
        </w:rPr>
        <w:t>Inventar der Ökosystemleistungen nach BAFU-Produktgruppen</w:t>
      </w:r>
      <w:r w:rsidRPr="00295D0C">
        <w:rPr>
          <w:lang w:val="de-CH"/>
        </w:rPr>
        <w:t>. Hg. v. Bundesamt für Umwelt (BAFU). Bern.</w:t>
      </w:r>
    </w:p>
    <w:p w:rsidR="001C55F3" w:rsidRPr="00295D0C" w:rsidRDefault="001C55F3" w:rsidP="001C55F3">
      <w:pPr>
        <w:autoSpaceDE w:val="0"/>
        <w:autoSpaceDN w:val="0"/>
        <w:adjustRightInd w:val="0"/>
        <w:spacing w:after="0" w:line="240" w:lineRule="auto"/>
        <w:contextualSpacing/>
        <w:jc w:val="both"/>
        <w:rPr>
          <w:rFonts w:cstheme="minorHAnsi"/>
          <w:iCs/>
          <w:lang w:val="de-CH"/>
        </w:rPr>
      </w:pPr>
    </w:p>
    <w:p w:rsidR="001C55F3" w:rsidRPr="00295D0C" w:rsidRDefault="001C55F3" w:rsidP="001C55F3">
      <w:pPr>
        <w:autoSpaceDE w:val="0"/>
        <w:autoSpaceDN w:val="0"/>
        <w:adjustRightInd w:val="0"/>
        <w:spacing w:after="0" w:line="240" w:lineRule="auto"/>
        <w:contextualSpacing/>
        <w:jc w:val="both"/>
        <w:rPr>
          <w:rFonts w:cstheme="minorHAnsi"/>
          <w:iCs/>
          <w:lang w:val="de-CH"/>
        </w:rPr>
      </w:pPr>
      <w:r w:rsidRPr="00295D0C">
        <w:rPr>
          <w:rFonts w:cstheme="minorHAnsi"/>
          <w:iCs/>
          <w:lang w:val="de-CH"/>
        </w:rPr>
        <w:t>Naturkapital Deutschland – TEEB DE (2012): Der Wert der Natur für Wirtschaft und Gesellschaft – Eine Einführung. München, ifuplan; Leipzig, Helmholtz-Zentrum für Umweltforschung – UFZ; Bonn, Bundesamt für Naturschutz</w:t>
      </w:r>
    </w:p>
    <w:p w:rsidR="001C55F3" w:rsidRPr="00295D0C" w:rsidRDefault="001C55F3" w:rsidP="001C55F3">
      <w:pPr>
        <w:autoSpaceDE w:val="0"/>
        <w:autoSpaceDN w:val="0"/>
        <w:adjustRightInd w:val="0"/>
        <w:spacing w:after="0" w:line="240" w:lineRule="auto"/>
        <w:jc w:val="both"/>
        <w:rPr>
          <w:lang w:val="de-CH"/>
        </w:rPr>
      </w:pPr>
    </w:p>
    <w:p w:rsidR="001C55F3" w:rsidRPr="00295D0C" w:rsidRDefault="001C55F3" w:rsidP="001C55F3">
      <w:pPr>
        <w:autoSpaceDE w:val="0"/>
        <w:autoSpaceDN w:val="0"/>
        <w:adjustRightInd w:val="0"/>
        <w:spacing w:after="0" w:line="240" w:lineRule="auto"/>
        <w:jc w:val="both"/>
      </w:pPr>
      <w:r w:rsidRPr="00295D0C">
        <w:t xml:space="preserve">Seppelt, R., Fath, B., Burkhard, B., Fisher, J.L., Grêt-Regamey, A., Lautenbach, S., Pert, P., Hotes, S., Spangenberg, J., Verburg, P.H., Van Oudenhoven, A.P.E. (2011): </w:t>
      </w:r>
      <w:r w:rsidRPr="00295D0C">
        <w:rPr>
          <w:i/>
        </w:rPr>
        <w:t>Form follows function? Proposing a blueprint for ecosystem service assessments based on reviews and case studies</w:t>
      </w:r>
      <w:r w:rsidRPr="00295D0C">
        <w:t>. Ecological Indicators: doi:10.1016/j.ecolind.2011.09.003.</w:t>
      </w:r>
    </w:p>
    <w:p w:rsidR="001C55F3" w:rsidRPr="00295D0C" w:rsidRDefault="001C55F3" w:rsidP="001C55F3">
      <w:pPr>
        <w:autoSpaceDE w:val="0"/>
        <w:autoSpaceDN w:val="0"/>
        <w:adjustRightInd w:val="0"/>
        <w:spacing w:after="0" w:line="240" w:lineRule="auto"/>
        <w:jc w:val="both"/>
      </w:pPr>
    </w:p>
    <w:p w:rsidR="001C55F3" w:rsidRPr="00295D0C" w:rsidRDefault="001C55F3" w:rsidP="001C55F3">
      <w:pPr>
        <w:autoSpaceDE w:val="0"/>
        <w:autoSpaceDN w:val="0"/>
        <w:adjustRightInd w:val="0"/>
        <w:spacing w:after="0" w:line="240" w:lineRule="auto"/>
        <w:jc w:val="both"/>
      </w:pPr>
      <w:r w:rsidRPr="00295D0C">
        <w:t xml:space="preserve">Staub C., Ott W. et al. 2011: </w:t>
      </w:r>
      <w:r w:rsidRPr="00295D0C">
        <w:rPr>
          <w:i/>
        </w:rPr>
        <w:t>Indicators for Ecosystem Goods and Services: Framework, methodology and recommendations for a welfare-related environmental reporting</w:t>
      </w:r>
      <w:r w:rsidRPr="00295D0C">
        <w:t>. Federal Office for the Environment, Bern. Environmental studies no. 1102: 17 S.</w:t>
      </w:r>
    </w:p>
    <w:p w:rsidR="001C55F3" w:rsidRPr="00295D0C" w:rsidRDefault="001C55F3" w:rsidP="001C55F3">
      <w:pPr>
        <w:autoSpaceDE w:val="0"/>
        <w:autoSpaceDN w:val="0"/>
        <w:adjustRightInd w:val="0"/>
        <w:spacing w:after="0" w:line="240" w:lineRule="auto"/>
        <w:contextualSpacing/>
        <w:jc w:val="both"/>
      </w:pPr>
    </w:p>
    <w:p w:rsidR="001C55F3" w:rsidRPr="00295D0C" w:rsidRDefault="001C55F3" w:rsidP="001C55F3">
      <w:pPr>
        <w:autoSpaceDE w:val="0"/>
        <w:autoSpaceDN w:val="0"/>
        <w:adjustRightInd w:val="0"/>
        <w:spacing w:after="0" w:line="240" w:lineRule="auto"/>
        <w:contextualSpacing/>
        <w:jc w:val="both"/>
        <w:rPr>
          <w:rFonts w:cstheme="minorHAnsi"/>
          <w:iCs/>
        </w:rPr>
      </w:pPr>
      <w:r w:rsidRPr="00295D0C">
        <w:rPr>
          <w:rFonts w:cstheme="minorHAnsi"/>
          <w:iCs/>
        </w:rPr>
        <w:t>Staub C.; Ott W. (2011) : IndikatorenfürÖkosystemleistungen: Systematik, Methodik und UmsetzungsempfehlungenfüreinewohlfahrtsbezogeneUmweltberichterstattung.</w:t>
      </w:r>
    </w:p>
    <w:p w:rsidR="001C55F3" w:rsidRPr="00295D0C" w:rsidRDefault="001C55F3" w:rsidP="001C55F3">
      <w:pPr>
        <w:autoSpaceDE w:val="0"/>
        <w:autoSpaceDN w:val="0"/>
        <w:adjustRightInd w:val="0"/>
        <w:spacing w:after="0" w:line="240" w:lineRule="auto"/>
        <w:contextualSpacing/>
        <w:jc w:val="both"/>
      </w:pPr>
    </w:p>
    <w:p w:rsidR="001C55F3" w:rsidRPr="00C1393F" w:rsidRDefault="001C55F3" w:rsidP="001C55F3">
      <w:pPr>
        <w:spacing w:line="240" w:lineRule="auto"/>
        <w:rPr>
          <w:rFonts w:cstheme="minorHAnsi"/>
          <w:b/>
          <w:sz w:val="40"/>
          <w:szCs w:val="40"/>
        </w:rPr>
      </w:pPr>
      <w:r w:rsidRPr="00C1393F">
        <w:rPr>
          <w:rFonts w:cstheme="minorHAnsi"/>
          <w:b/>
          <w:sz w:val="40"/>
          <w:szCs w:val="40"/>
        </w:rPr>
        <w:t>Balkan</w:t>
      </w:r>
    </w:p>
    <w:p w:rsidR="001C55F3" w:rsidRPr="006D647E" w:rsidRDefault="001C55F3" w:rsidP="001C55F3">
      <w:pPr>
        <w:spacing w:after="0" w:line="240" w:lineRule="auto"/>
      </w:pPr>
      <w:r>
        <w:t>Report ‘</w:t>
      </w:r>
      <w:r w:rsidRPr="006D647E">
        <w:t>Balkan Rivers - The Blue Heart of Europe. Hydromorphological Status and Dam Projects</w:t>
      </w:r>
      <w:r>
        <w:t>’</w:t>
      </w:r>
    </w:p>
    <w:p w:rsidR="001C55F3" w:rsidRDefault="001C55F3" w:rsidP="001C55F3">
      <w:pPr>
        <w:spacing w:line="240" w:lineRule="auto"/>
        <w:rPr>
          <w:rStyle w:val="Lienhypertexte"/>
        </w:rPr>
      </w:pPr>
      <w:hyperlink r:id="rId101" w:history="1">
        <w:r w:rsidRPr="006D647E">
          <w:rPr>
            <w:rStyle w:val="Lienhypertexte"/>
          </w:rPr>
          <w:t>http://www.euronatur.org/fileadmin/docs/projekte/Balkan_Rivers_Blaues_Herz_Europa/BalkanRiverAssessment29032012web.pdf</w:t>
        </w:r>
      </w:hyperlink>
    </w:p>
    <w:p w:rsidR="001C55F3" w:rsidRDefault="001C55F3" w:rsidP="001C55F3">
      <w:pPr>
        <w:spacing w:after="0" w:line="240" w:lineRule="auto"/>
      </w:pPr>
      <w:r w:rsidRPr="00C722FB">
        <w:t>Project design document form</w:t>
      </w:r>
      <w:r>
        <w:t>: Assisted Natural Regeneration of Degraded Lands in Albania-Version 06</w:t>
      </w:r>
    </w:p>
    <w:p w:rsidR="001C55F3" w:rsidRDefault="001C55F3" w:rsidP="001C55F3">
      <w:pPr>
        <w:spacing w:line="240" w:lineRule="auto"/>
        <w:rPr>
          <w:rStyle w:val="Lienhypertexte"/>
        </w:rPr>
      </w:pPr>
      <w:hyperlink r:id="rId102" w:history="1">
        <w:r w:rsidRPr="0006571B">
          <w:rPr>
            <w:rStyle w:val="Lienhypertexte"/>
          </w:rPr>
          <w:t>http://cdm.unfccc.int/filestorage/U/8/Q/U8QI4E72VH7C5R3131F8IJN5THLMAT/Albania_CDM_AR_PDD_final2.pdf?t=ZG98bWhqcW1ifDD9InTUeY7m-B0icGrODPsZ</w:t>
        </w:r>
      </w:hyperlink>
    </w:p>
    <w:p w:rsidR="001C55F3" w:rsidRDefault="001C55F3" w:rsidP="001C55F3">
      <w:pPr>
        <w:spacing w:after="0" w:line="240" w:lineRule="auto"/>
      </w:pPr>
      <w:r>
        <w:t>Article ‘Assessment of the Most Valuable Areas for Biodiversity in Bjeshket e Namuna/Prokletije Area’</w:t>
      </w:r>
    </w:p>
    <w:p w:rsidR="001C55F3" w:rsidRDefault="001C55F3" w:rsidP="001C55F3">
      <w:pPr>
        <w:spacing w:line="240" w:lineRule="auto"/>
        <w:rPr>
          <w:rStyle w:val="Lienhypertexte"/>
        </w:rPr>
      </w:pPr>
      <w:hyperlink r:id="rId103" w:history="1">
        <w:r w:rsidRPr="002B7F64">
          <w:rPr>
            <w:rStyle w:val="Lienhypertexte"/>
          </w:rPr>
          <w:t>http://balwois.com/2012/USB/papers/774.pdf</w:t>
        </w:r>
      </w:hyperlink>
    </w:p>
    <w:p w:rsidR="001C55F3" w:rsidRDefault="001C55F3" w:rsidP="001C55F3">
      <w:pPr>
        <w:spacing w:line="240" w:lineRule="auto"/>
      </w:pPr>
      <w:r>
        <w:t xml:space="preserve">Living Neretva - Towards EU Standards in the Neretva River Basin, Bosnia and Herzegovina. Living Neretva Environmental Flow Working Group (WFD-WG1). Environmental flow assessment for the river Trebižat, BiH. </w:t>
      </w:r>
      <w:hyperlink r:id="rId104" w:history="1">
        <w:r w:rsidRPr="00873A6E">
          <w:rPr>
            <w:rStyle w:val="Lienhypertexte"/>
          </w:rPr>
          <w:t>http://assets.panda.org/downloads/ef_report_2008.pdf</w:t>
        </w:r>
      </w:hyperlink>
    </w:p>
    <w:p w:rsidR="001C55F3" w:rsidRDefault="001C55F3" w:rsidP="001C55F3">
      <w:pPr>
        <w:spacing w:line="240" w:lineRule="auto"/>
      </w:pPr>
      <w:r w:rsidRPr="00D162C3">
        <w:t>WWF Living Neretva project Phase II</w:t>
      </w:r>
      <w:r>
        <w:t xml:space="preserve">. </w:t>
      </w:r>
      <w:r w:rsidRPr="00D162C3">
        <w:t>EU-WFD and Economics in the Neretva-Trebisnjica River Basin</w:t>
      </w:r>
      <w:r>
        <w:t xml:space="preserve">. Applying EU Economic Guidelines for the WFD - Economic Analysis. </w:t>
      </w:r>
      <w:hyperlink r:id="rId105" w:history="1">
        <w:r w:rsidRPr="00873A6E">
          <w:rPr>
            <w:rStyle w:val="Lienhypertexte"/>
          </w:rPr>
          <w:t>http://assets.panda.org/downloads/ee_final_report_2008.pdf</w:t>
        </w:r>
      </w:hyperlink>
    </w:p>
    <w:p w:rsidR="001C55F3" w:rsidRDefault="001C55F3" w:rsidP="001C55F3">
      <w:pPr>
        <w:spacing w:after="0" w:line="240" w:lineRule="auto"/>
      </w:pPr>
      <w:r w:rsidRPr="00D162C3">
        <w:t>WWF Living Neretva project Phase III</w:t>
      </w:r>
      <w:r>
        <w:t xml:space="preserve">. </w:t>
      </w:r>
      <w:r w:rsidRPr="00D162C3">
        <w:t>EU-WFD and Economics in the Neretva-Trebisnjica River Basin</w:t>
      </w:r>
      <w:r>
        <w:t>. Handbook on the methodology to develop a baseline scenario approach for the WFD - Economic Anal</w:t>
      </w:r>
    </w:p>
    <w:p w:rsidR="001C55F3" w:rsidRDefault="001C55F3" w:rsidP="001C55F3">
      <w:pPr>
        <w:spacing w:line="240" w:lineRule="auto"/>
      </w:pPr>
      <w:hyperlink r:id="rId106" w:history="1">
        <w:r w:rsidRPr="00873A6E">
          <w:rPr>
            <w:rStyle w:val="Lienhypertexte"/>
          </w:rPr>
          <w:t>http://assets.panda.org/downloads/hanbdbook_on_baseline_scenario.pdf</w:t>
        </w:r>
      </w:hyperlink>
    </w:p>
    <w:p w:rsidR="001C55F3" w:rsidRDefault="001C55F3" w:rsidP="001C55F3">
      <w:pPr>
        <w:spacing w:after="0" w:line="240" w:lineRule="auto"/>
      </w:pPr>
      <w:r>
        <w:t>Elaboration of Methodology and Action Plan for Economic Evaluation of the Different Water Management Options and Environmental Potentials of Neretva</w:t>
      </w:r>
    </w:p>
    <w:p w:rsidR="001C55F3" w:rsidRDefault="001C55F3" w:rsidP="001C55F3">
      <w:pPr>
        <w:spacing w:line="240" w:lineRule="auto"/>
        <w:rPr>
          <w:rStyle w:val="Lienhypertexte"/>
        </w:rPr>
      </w:pPr>
      <w:hyperlink r:id="rId107" w:history="1">
        <w:r w:rsidRPr="00873A6E">
          <w:rPr>
            <w:rStyle w:val="Lienhypertexte"/>
          </w:rPr>
          <w:t>http://assets.panda.org/downloads/ee_final_report_2007.pdf</w:t>
        </w:r>
      </w:hyperlink>
    </w:p>
    <w:p w:rsidR="001C55F3" w:rsidRDefault="001C55F3" w:rsidP="001C55F3">
      <w:pPr>
        <w:spacing w:after="0" w:line="240" w:lineRule="auto"/>
      </w:pPr>
      <w:r>
        <w:t xml:space="preserve">Vuletic et al., 2010. </w:t>
      </w:r>
      <w:r w:rsidRPr="00A56EA6">
        <w:t>Payments for environmental services (PES) in Croatia – public and professional perception and needs for adaptation</w:t>
      </w:r>
      <w:r>
        <w:t>.</w:t>
      </w:r>
      <w:r w:rsidRPr="006606A7">
        <w:t>SEEFOR (South-East European Forestry), Vol.1 No.2 Prosinac 2010.</w:t>
      </w:r>
    </w:p>
    <w:p w:rsidR="001C55F3" w:rsidRDefault="001C55F3" w:rsidP="001C55F3">
      <w:pPr>
        <w:spacing w:line="240" w:lineRule="auto"/>
        <w:rPr>
          <w:rStyle w:val="Lienhypertexte"/>
        </w:rPr>
      </w:pPr>
      <w:hyperlink r:id="rId108" w:history="1">
        <w:r w:rsidRPr="00185236">
          <w:rPr>
            <w:rStyle w:val="Lienhypertexte"/>
          </w:rPr>
          <w:t>http://www.google.nl/url?sa=t&amp;rct=j&amp;q=&amp;esrc=s&amp;source=web&amp;cd=2&amp;cad=rja&amp;ved=0CDUQFjAB&amp;url=http%3A%2F%2Fhrcak.srce.hr%2Ffile%2F113720&amp;ei=AAEJUej7BZKHhQehoYD4CQ&amp;usg=AFQjCNEX_GB1sQmNrbQ6Wzps2YNCN-CBrA&amp;bvm=bv.41642243,d.d2k</w:t>
        </w:r>
      </w:hyperlink>
    </w:p>
    <w:p w:rsidR="001C55F3" w:rsidRPr="00B523F0" w:rsidRDefault="001C55F3" w:rsidP="001C55F3">
      <w:pPr>
        <w:spacing w:after="0" w:line="240" w:lineRule="auto"/>
      </w:pPr>
      <w:r>
        <w:t>Report ‘</w:t>
      </w:r>
      <w:r w:rsidRPr="00B523F0">
        <w:t>Valuation of the Contribution of the Ecosystems of Northern Velebit National Park and Velebit Nature Park to Economic Growth and Human Wellbeing: Croatia</w:t>
      </w:r>
      <w:r>
        <w:t>’</w:t>
      </w:r>
    </w:p>
    <w:p w:rsidR="001C55F3" w:rsidRDefault="001C55F3" w:rsidP="001C55F3">
      <w:pPr>
        <w:spacing w:line="240" w:lineRule="auto"/>
        <w:rPr>
          <w:rStyle w:val="Lienhypertexte"/>
        </w:rPr>
      </w:pPr>
      <w:hyperlink r:id="rId109" w:history="1">
        <w:r w:rsidRPr="00B523F0">
          <w:rPr>
            <w:rStyle w:val="Lienhypertexte"/>
          </w:rPr>
          <w:t>http://awsassets.panda.org/downloads/valuation_of_the_contribution_of_the_ecosystems_of_northern_velebit_national_park_and_ve.pdf</w:t>
        </w:r>
      </w:hyperlink>
    </w:p>
    <w:p w:rsidR="001C55F3" w:rsidRDefault="001C55F3" w:rsidP="001C55F3">
      <w:pPr>
        <w:spacing w:after="0" w:line="240" w:lineRule="auto"/>
      </w:pPr>
      <w:r>
        <w:t>Inception phase report ‘</w:t>
      </w:r>
      <w:r w:rsidRPr="00354316">
        <w:t>Study and Analysis of Innovative Financing for Sustainable Forest Management in the Southwest Balkan</w:t>
      </w:r>
      <w:r>
        <w:t>’</w:t>
      </w:r>
    </w:p>
    <w:p w:rsidR="001C55F3" w:rsidRDefault="001C55F3" w:rsidP="001C55F3">
      <w:pPr>
        <w:spacing w:line="240" w:lineRule="auto"/>
      </w:pPr>
      <w:hyperlink r:id="rId110" w:history="1">
        <w:r w:rsidRPr="008B3FB4">
          <w:rPr>
            <w:rStyle w:val="Lienhypertexte"/>
          </w:rPr>
          <w:t>http://www.cnvp-wbprofor.org/documents/PUB_03-INCEPTION_PART_3_FINAL.pdf</w:t>
        </w:r>
      </w:hyperlink>
    </w:p>
    <w:p w:rsidR="001C55F3" w:rsidRDefault="001C55F3" w:rsidP="001C55F3">
      <w:pPr>
        <w:spacing w:after="0" w:line="240" w:lineRule="auto"/>
      </w:pPr>
      <w:r>
        <w:t>Project approach ‘</w:t>
      </w:r>
      <w:r w:rsidRPr="00354316">
        <w:t>Study and Analysis of Innovative Financing for Sustainable Forest Management in the Southwest Balkan</w:t>
      </w:r>
      <w:r>
        <w:t>’</w:t>
      </w:r>
    </w:p>
    <w:p w:rsidR="001C55F3" w:rsidRPr="00DC392E" w:rsidRDefault="001C55F3" w:rsidP="001C55F3">
      <w:pPr>
        <w:spacing w:line="240" w:lineRule="auto"/>
        <w:rPr>
          <w:rStyle w:val="Lienhypertexte"/>
        </w:rPr>
      </w:pPr>
      <w:hyperlink r:id="rId111" w:history="1">
        <w:r w:rsidRPr="008B3FB4">
          <w:rPr>
            <w:rStyle w:val="Lienhypertexte"/>
          </w:rPr>
          <w:t>http://www.cnvp-wbprofor.org/documents/project_approach.pdf</w:t>
        </w:r>
      </w:hyperlink>
    </w:p>
    <w:p w:rsidR="001C55F3" w:rsidRDefault="001C55F3" w:rsidP="001C55F3">
      <w:pPr>
        <w:spacing w:after="0" w:line="240" w:lineRule="auto"/>
      </w:pPr>
      <w:r>
        <w:t>Report ‘</w:t>
      </w:r>
      <w:r w:rsidRPr="00DE2CE7">
        <w:t>Analysis of Payment for Ecosystem Services (PES) needs and feasibility in Serbia</w:t>
      </w:r>
      <w:r>
        <w:t>’.</w:t>
      </w:r>
    </w:p>
    <w:p w:rsidR="001C55F3" w:rsidRDefault="001C55F3" w:rsidP="001C55F3">
      <w:pPr>
        <w:spacing w:line="240" w:lineRule="auto"/>
        <w:rPr>
          <w:rStyle w:val="Lienhypertexte"/>
        </w:rPr>
      </w:pPr>
      <w:hyperlink r:id="rId112" w:history="1">
        <w:r w:rsidRPr="00873A6E">
          <w:rPr>
            <w:rStyle w:val="Lienhypertexte"/>
          </w:rPr>
          <w:t>http://awsassets.panda.org/downloads/wwf_report_pes_serbia.pdf</w:t>
        </w:r>
      </w:hyperlink>
    </w:p>
    <w:p w:rsidR="001C55F3" w:rsidRPr="0067530F" w:rsidRDefault="001C55F3">
      <w:pPr>
        <w:rPr>
          <w:rFonts w:asciiTheme="majorHAnsi" w:eastAsiaTheme="majorEastAsia" w:hAnsiTheme="majorHAnsi" w:cstheme="majorBidi"/>
          <w:b/>
          <w:bCs/>
          <w:color w:val="365F91" w:themeColor="accent1" w:themeShade="BF"/>
          <w:sz w:val="40"/>
          <w:szCs w:val="40"/>
        </w:rPr>
      </w:pPr>
    </w:p>
    <w:p w:rsidR="001C55F3" w:rsidRDefault="001C55F3" w:rsidP="001C55F3">
      <w:pPr>
        <w:autoSpaceDE w:val="0"/>
        <w:autoSpaceDN w:val="0"/>
        <w:adjustRightInd w:val="0"/>
        <w:spacing w:after="0" w:line="240" w:lineRule="auto"/>
      </w:pPr>
      <w:r w:rsidRPr="008A53DA">
        <w:rPr>
          <w:b/>
          <w:noProof/>
          <w:lang w:val="fr-BE" w:eastAsia="fr-BE"/>
        </w:rPr>
        <w:drawing>
          <wp:inline distT="0" distB="0" distL="0" distR="0">
            <wp:extent cx="4043519" cy="716280"/>
            <wp:effectExtent l="0" t="0" r="0" b="7620"/>
            <wp:docPr id="440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4066715" cy="720389"/>
                    </a:xfrm>
                    <a:prstGeom prst="rect">
                      <a:avLst/>
                    </a:prstGeom>
                    <a:noFill/>
                    <a:ln w="9525">
                      <a:noFill/>
                      <a:miter lim="800000"/>
                      <a:headEnd/>
                      <a:tailEnd/>
                    </a:ln>
                  </pic:spPr>
                </pic:pic>
              </a:graphicData>
            </a:graphic>
          </wp:inline>
        </w:drawing>
      </w:r>
    </w:p>
    <w:p w:rsidR="001C55F3" w:rsidRDefault="001C55F3" w:rsidP="001C55F3">
      <w:pPr>
        <w:autoSpaceDE w:val="0"/>
        <w:autoSpaceDN w:val="0"/>
        <w:adjustRightInd w:val="0"/>
        <w:spacing w:after="0" w:line="240" w:lineRule="auto"/>
        <w:rPr>
          <w:rFonts w:ascii="Times New Roman" w:hAnsi="Times New Roman" w:cs="Times New Roman"/>
          <w:b/>
          <w:bCs/>
          <w:sz w:val="28"/>
          <w:szCs w:val="28"/>
        </w:rPr>
      </w:pPr>
    </w:p>
    <w:p w:rsidR="001C55F3" w:rsidRDefault="001C55F3" w:rsidP="001C55F3">
      <w:pPr>
        <w:autoSpaceDE w:val="0"/>
        <w:autoSpaceDN w:val="0"/>
        <w:adjustRightInd w:val="0"/>
        <w:spacing w:after="0" w:line="240" w:lineRule="auto"/>
        <w:rPr>
          <w:rFonts w:ascii="Times New Roman" w:hAnsi="Times New Roman" w:cs="Times New Roman"/>
          <w:b/>
          <w:bCs/>
          <w:sz w:val="28"/>
          <w:szCs w:val="28"/>
        </w:rPr>
      </w:pPr>
    </w:p>
    <w:p w:rsidR="001C55F3" w:rsidRPr="00970638" w:rsidRDefault="001C55F3" w:rsidP="001C55F3">
      <w:pPr>
        <w:autoSpaceDE w:val="0"/>
        <w:autoSpaceDN w:val="0"/>
        <w:adjustRightInd w:val="0"/>
        <w:spacing w:after="0" w:line="240" w:lineRule="auto"/>
      </w:pPr>
      <w:r w:rsidRPr="00970638">
        <w:rPr>
          <w:rFonts w:cstheme="minorHAnsi"/>
          <w:b/>
          <w:i/>
          <w:iCs/>
          <w:sz w:val="40"/>
          <w:szCs w:val="40"/>
        </w:rPr>
        <w:t xml:space="preserve">Mapping of </w:t>
      </w:r>
      <w:r>
        <w:rPr>
          <w:rFonts w:cstheme="minorHAnsi"/>
          <w:b/>
          <w:i/>
          <w:iCs/>
          <w:sz w:val="40"/>
          <w:szCs w:val="40"/>
        </w:rPr>
        <w:t>E</w:t>
      </w:r>
      <w:r w:rsidRPr="00970638">
        <w:rPr>
          <w:rFonts w:cstheme="minorHAnsi"/>
          <w:b/>
          <w:i/>
          <w:iCs/>
          <w:sz w:val="40"/>
          <w:szCs w:val="40"/>
        </w:rPr>
        <w:t xml:space="preserve">cosystems and their </w:t>
      </w:r>
      <w:r>
        <w:rPr>
          <w:rFonts w:cstheme="minorHAnsi"/>
          <w:b/>
          <w:i/>
          <w:iCs/>
          <w:sz w:val="40"/>
          <w:szCs w:val="40"/>
        </w:rPr>
        <w:t>S</w:t>
      </w:r>
      <w:r w:rsidRPr="00970638">
        <w:rPr>
          <w:rFonts w:cstheme="minorHAnsi"/>
          <w:b/>
          <w:i/>
          <w:iCs/>
          <w:sz w:val="40"/>
          <w:szCs w:val="40"/>
        </w:rPr>
        <w:t>ervices in the EU and its Member States</w:t>
      </w:r>
      <w:r>
        <w:rPr>
          <w:rFonts w:cstheme="minorHAnsi"/>
          <w:b/>
          <w:i/>
          <w:iCs/>
          <w:sz w:val="40"/>
          <w:szCs w:val="40"/>
        </w:rPr>
        <w:t xml:space="preserve"> (MESEU)</w:t>
      </w:r>
    </w:p>
    <w:p w:rsidR="001C55F3" w:rsidRPr="00970638" w:rsidRDefault="001C55F3" w:rsidP="001C55F3"/>
    <w:p w:rsidR="001C55F3" w:rsidRPr="00970638" w:rsidRDefault="001C55F3" w:rsidP="001C55F3">
      <w:pPr>
        <w:autoSpaceDE w:val="0"/>
        <w:autoSpaceDN w:val="0"/>
        <w:adjustRightInd w:val="0"/>
        <w:spacing w:line="240" w:lineRule="auto"/>
        <w:rPr>
          <w:rFonts w:cstheme="minorHAnsi"/>
          <w:b/>
          <w:bCs/>
          <w:sz w:val="28"/>
          <w:szCs w:val="28"/>
        </w:rPr>
      </w:pPr>
      <w:r w:rsidRPr="00970638">
        <w:rPr>
          <w:rFonts w:cstheme="minorHAnsi"/>
          <w:b/>
          <w:bCs/>
          <w:sz w:val="28"/>
          <w:szCs w:val="28"/>
        </w:rPr>
        <w:t>ENV.B.2/SER/2012/0016</w:t>
      </w:r>
    </w:p>
    <w:p w:rsidR="001C55F3" w:rsidRPr="00970638" w:rsidRDefault="001C55F3" w:rsidP="001C55F3">
      <w:pPr>
        <w:rPr>
          <w:b/>
          <w:sz w:val="28"/>
          <w:szCs w:val="28"/>
        </w:rPr>
      </w:pPr>
      <w:r>
        <w:rPr>
          <w:b/>
          <w:sz w:val="28"/>
          <w:szCs w:val="28"/>
        </w:rPr>
        <w:t>October 31, 2013</w:t>
      </w:r>
    </w:p>
    <w:p w:rsidR="001C55F3" w:rsidRPr="00044039" w:rsidRDefault="001C55F3" w:rsidP="001C55F3">
      <w:pPr>
        <w:spacing w:after="0"/>
        <w:rPr>
          <w:b/>
          <w:sz w:val="40"/>
          <w:szCs w:val="40"/>
        </w:rPr>
      </w:pPr>
    </w:p>
    <w:p w:rsidR="001C55F3" w:rsidRPr="00044039" w:rsidRDefault="001C55F3" w:rsidP="001C55F3">
      <w:pPr>
        <w:shd w:val="clear" w:color="auto" w:fill="C6D9F1" w:themeFill="text2" w:themeFillTint="33"/>
        <w:rPr>
          <w:b/>
          <w:sz w:val="44"/>
          <w:szCs w:val="44"/>
        </w:rPr>
      </w:pPr>
      <w:r w:rsidRPr="00044039">
        <w:rPr>
          <w:b/>
          <w:sz w:val="44"/>
          <w:szCs w:val="44"/>
        </w:rPr>
        <w:t>FINAL REPORT</w:t>
      </w:r>
    </w:p>
    <w:p w:rsidR="001C55F3" w:rsidRDefault="001C55F3" w:rsidP="001C55F3">
      <w:pPr>
        <w:shd w:val="clear" w:color="auto" w:fill="C6D9F1" w:themeFill="text2" w:themeFillTint="33"/>
        <w:spacing w:after="0" w:line="240" w:lineRule="auto"/>
        <w:rPr>
          <w:b/>
          <w:sz w:val="40"/>
          <w:szCs w:val="40"/>
        </w:rPr>
      </w:pPr>
      <w:r w:rsidRPr="00044039">
        <w:rPr>
          <w:b/>
          <w:sz w:val="40"/>
          <w:szCs w:val="40"/>
        </w:rPr>
        <w:t>Task 2: Comparison of ecosystem status assessment across scales</w:t>
      </w:r>
    </w:p>
    <w:p w:rsidR="001C55F3" w:rsidRDefault="001C55F3" w:rsidP="001C55F3">
      <w:pPr>
        <w:rPr>
          <w:b/>
        </w:rPr>
      </w:pPr>
    </w:p>
    <w:p w:rsidR="001C55F3" w:rsidRDefault="001C55F3" w:rsidP="001C55F3">
      <w:pPr>
        <w:rPr>
          <w:b/>
        </w:rPr>
      </w:pPr>
    </w:p>
    <w:p w:rsidR="001C55F3" w:rsidRPr="00970638" w:rsidRDefault="001C55F3" w:rsidP="001C55F3">
      <w:pPr>
        <w:rPr>
          <w:b/>
        </w:rPr>
      </w:pPr>
      <w:r w:rsidRPr="00970638">
        <w:rPr>
          <w:b/>
          <w:noProof/>
          <w:lang w:val="fr-BE" w:eastAsia="fr-BE"/>
        </w:rPr>
        <w:drawing>
          <wp:inline distT="0" distB="0" distL="0" distR="0">
            <wp:extent cx="2698280" cy="477981"/>
            <wp:effectExtent l="0" t="0" r="6985" b="0"/>
            <wp:docPr id="440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2712954" cy="480580"/>
                    </a:xfrm>
                    <a:prstGeom prst="rect">
                      <a:avLst/>
                    </a:prstGeom>
                    <a:noFill/>
                    <a:ln w="9525">
                      <a:noFill/>
                      <a:miter lim="800000"/>
                      <a:headEnd/>
                      <a:tailEnd/>
                    </a:ln>
                  </pic:spPr>
                </pic:pic>
              </a:graphicData>
            </a:graphic>
          </wp:inline>
        </w:drawing>
      </w:r>
      <w:r w:rsidRPr="00970638">
        <w:rPr>
          <w:b/>
        </w:rPr>
        <w:tab/>
      </w:r>
      <w:r w:rsidRPr="00970638">
        <w:rPr>
          <w:b/>
        </w:rPr>
        <w:tab/>
      </w:r>
    </w:p>
    <w:p w:rsidR="001C55F3" w:rsidRPr="00970638" w:rsidRDefault="001C55F3" w:rsidP="001C55F3">
      <w:pPr>
        <w:rPr>
          <w:b/>
        </w:rPr>
      </w:pPr>
    </w:p>
    <w:p w:rsidR="001C55F3" w:rsidRPr="00970638" w:rsidRDefault="001C55F3" w:rsidP="001C55F3">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2502435" cy="540327"/>
            <wp:effectExtent l="0" t="0" r="0" b="0"/>
            <wp:docPr id="440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2" name="Picture 13"/>
                    <pic:cNvPicPr>
                      <a:picLocks noChangeAspect="1" noChangeArrowheads="1"/>
                    </pic:cNvPicPr>
                  </pic:nvPicPr>
                  <pic:blipFill>
                    <a:blip r:embed="rId9"/>
                    <a:srcRect/>
                    <a:stretch>
                      <a:fillRect/>
                    </a:stretch>
                  </pic:blipFill>
                  <pic:spPr bwMode="auto">
                    <a:xfrm>
                      <a:off x="0" y="0"/>
                      <a:ext cx="2501867" cy="540204"/>
                    </a:xfrm>
                    <a:prstGeom prst="rect">
                      <a:avLst/>
                    </a:prstGeom>
                    <a:noFill/>
                    <a:ln w="9525">
                      <a:noFill/>
                      <a:miter lim="800000"/>
                      <a:headEnd/>
                      <a:tailEnd/>
                    </a:ln>
                  </pic:spPr>
                </pic:pic>
              </a:graphicData>
            </a:graphic>
          </wp:inline>
        </w:drawing>
      </w:r>
      <w:r w:rsidRPr="00970638">
        <w:rPr>
          <w:b/>
        </w:rPr>
        <w:tab/>
      </w:r>
      <w:r w:rsidRPr="00970638">
        <w:rPr>
          <w:b/>
        </w:rPr>
        <w:tab/>
      </w:r>
      <w:r w:rsidRPr="00970638">
        <w:rPr>
          <w:b/>
          <w:noProof/>
          <w:lang w:val="fr-BE" w:eastAsia="fr-BE"/>
        </w:rPr>
        <w:drawing>
          <wp:inline distT="0" distB="0" distL="0" distR="0">
            <wp:extent cx="1794164" cy="666969"/>
            <wp:effectExtent l="0" t="0" r="0" b="0"/>
            <wp:docPr id="44060" name="Picture 25" descr="ECNC good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 name="Picture 25" descr="ECNC good quality"/>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5643" cy="667519"/>
                    </a:xfrm>
                    <a:prstGeom prst="rect">
                      <a:avLst/>
                    </a:prstGeom>
                    <a:noFill/>
                    <a:ln>
                      <a:noFill/>
                    </a:ln>
                    <a:extLst/>
                  </pic:spPr>
                </pic:pic>
              </a:graphicData>
            </a:graphic>
          </wp:inline>
        </w:drawing>
      </w:r>
      <w:r w:rsidRPr="00970638">
        <w:rPr>
          <w:b/>
        </w:rPr>
        <w:tab/>
      </w:r>
    </w:p>
    <w:p w:rsidR="001C55F3" w:rsidRPr="00970638" w:rsidRDefault="001C55F3" w:rsidP="001C55F3">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sz w:val="28"/>
          <w:szCs w:val="28"/>
          <w:lang w:val="fr-BE" w:eastAsia="fr-BE"/>
        </w:rPr>
        <w:drawing>
          <wp:inline distT="0" distB="0" distL="0" distR="0">
            <wp:extent cx="1593657" cy="403860"/>
            <wp:effectExtent l="0" t="0" r="6985" b="0"/>
            <wp:docPr id="4406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_logo_black.tif"/>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93657" cy="403860"/>
                    </a:xfrm>
                    <a:prstGeom prst="rect">
                      <a:avLst/>
                    </a:prstGeom>
                  </pic:spPr>
                </pic:pic>
              </a:graphicData>
            </a:graphic>
          </wp:inline>
        </w:drawing>
      </w:r>
      <w:r w:rsidRPr="00970638">
        <w:rPr>
          <w:b/>
          <w:noProof/>
          <w:lang w:val="fr-BE" w:eastAsia="fr-BE"/>
        </w:rPr>
        <w:drawing>
          <wp:inline distT="0" distB="0" distL="0" distR="0">
            <wp:extent cx="852055" cy="769830"/>
            <wp:effectExtent l="0" t="0" r="5715" b="0"/>
            <wp:docPr id="440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1961" cy="769745"/>
                    </a:xfrm>
                    <a:prstGeom prst="rect">
                      <a:avLst/>
                    </a:prstGeom>
                    <a:noFill/>
                    <a:ln>
                      <a:noFill/>
                    </a:ln>
                  </pic:spPr>
                </pic:pic>
              </a:graphicData>
            </a:graphic>
          </wp:inline>
        </w:drawing>
      </w:r>
      <w:r w:rsidRPr="00970638">
        <w:rPr>
          <w:b/>
          <w:sz w:val="40"/>
          <w:szCs w:val="40"/>
        </w:rPr>
        <w:tab/>
      </w:r>
      <w:r w:rsidRPr="00970638">
        <w:rPr>
          <w:b/>
          <w:sz w:val="40"/>
          <w:szCs w:val="40"/>
        </w:rPr>
        <w:tab/>
      </w:r>
      <w:r w:rsidRPr="00970638">
        <w:rPr>
          <w:b/>
          <w:noProof/>
          <w:lang w:val="fr-BE" w:eastAsia="fr-BE"/>
        </w:rPr>
        <w:drawing>
          <wp:inline distT="0" distB="0" distL="0" distR="0">
            <wp:extent cx="2030442" cy="698018"/>
            <wp:effectExtent l="0" t="0" r="8255" b="6985"/>
            <wp:docPr id="4406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nbo.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9036" cy="697535"/>
                    </a:xfrm>
                    <a:prstGeom prst="rect">
                      <a:avLst/>
                    </a:prstGeom>
                  </pic:spPr>
                </pic:pic>
              </a:graphicData>
            </a:graphic>
          </wp:inline>
        </w:drawing>
      </w:r>
    </w:p>
    <w:p w:rsidR="001C55F3" w:rsidRPr="00970638" w:rsidRDefault="001C55F3" w:rsidP="001C55F3">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1216365" cy="748532"/>
            <wp:effectExtent l="0" t="0" r="3175" b="0"/>
            <wp:docPr id="122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AM.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6365" cy="748532"/>
                    </a:xfrm>
                    <a:prstGeom prst="rect">
                      <a:avLst/>
                    </a:prstGeom>
                  </pic:spPr>
                </pic:pic>
              </a:graphicData>
            </a:graphic>
          </wp:inline>
        </w:drawing>
      </w:r>
      <w:r w:rsidRPr="00970638">
        <w:rPr>
          <w:b/>
        </w:rPr>
        <w:tab/>
      </w:r>
      <w:r w:rsidRPr="00970638">
        <w:rPr>
          <w:b/>
        </w:rPr>
        <w:tab/>
      </w:r>
      <w:r w:rsidRPr="00970638">
        <w:rPr>
          <w:b/>
        </w:rPr>
        <w:tab/>
      </w:r>
      <w:r w:rsidRPr="00970638">
        <w:rPr>
          <w:b/>
        </w:rPr>
        <w:tab/>
      </w:r>
      <w:r w:rsidRPr="00970638">
        <w:rPr>
          <w:b/>
        </w:rPr>
        <w:tab/>
      </w:r>
      <w:r w:rsidRPr="00970638">
        <w:rPr>
          <w:b/>
          <w:noProof/>
          <w:lang w:val="fr-BE" w:eastAsia="fr-BE"/>
        </w:rPr>
        <w:drawing>
          <wp:inline distT="0" distB="0" distL="0" distR="0">
            <wp:extent cx="2477537" cy="462357"/>
            <wp:effectExtent l="19050" t="0" r="0" b="0"/>
            <wp:docPr id="12289" name="Bild 1" descr="yyUBA_logo_2010.gif"/>
            <wp:cNvGraphicFramePr/>
            <a:graphic xmlns:a="http://schemas.openxmlformats.org/drawingml/2006/main">
              <a:graphicData uri="http://schemas.openxmlformats.org/drawingml/2006/picture">
                <pic:pic xmlns:pic="http://schemas.openxmlformats.org/drawingml/2006/picture">
                  <pic:nvPicPr>
                    <pic:cNvPr id="31" name="Grafik 30" descr="yyUBA_logo_2010.gif"/>
                    <pic:cNvPicPr>
                      <a:picLocks noChangeAspect="1"/>
                    </pic:cNvPicPr>
                  </pic:nvPicPr>
                  <pic:blipFill>
                    <a:blip r:embed="rId15" cstate="screen"/>
                    <a:stretch>
                      <a:fillRect/>
                    </a:stretch>
                  </pic:blipFill>
                  <pic:spPr>
                    <a:xfrm>
                      <a:off x="0" y="0"/>
                      <a:ext cx="2477537" cy="462357"/>
                    </a:xfrm>
                    <a:prstGeom prst="rect">
                      <a:avLst/>
                    </a:prstGeom>
                    <a:solidFill>
                      <a:schemeClr val="bg1"/>
                    </a:solidFill>
                  </pic:spPr>
                </pic:pic>
              </a:graphicData>
            </a:graphic>
          </wp:inline>
        </w:drawing>
      </w:r>
    </w:p>
    <w:p w:rsidR="001C55F3" w:rsidRPr="00BE14DD" w:rsidRDefault="001C55F3" w:rsidP="001C55F3">
      <w:pPr>
        <w:rPr>
          <w:sz w:val="28"/>
          <w:szCs w:val="28"/>
        </w:rPr>
      </w:pPr>
      <w:r w:rsidRPr="00BE14DD">
        <w:rPr>
          <w:sz w:val="28"/>
          <w:szCs w:val="28"/>
        </w:rPr>
        <w:t>This Final Report is submitted by:</w:t>
      </w:r>
    </w:p>
    <w:p w:rsidR="001C55F3" w:rsidRPr="00BE14DD" w:rsidRDefault="001C55F3" w:rsidP="001C55F3">
      <w:pPr>
        <w:rPr>
          <w:b/>
          <w:sz w:val="28"/>
          <w:szCs w:val="28"/>
        </w:rPr>
      </w:pPr>
      <w:r w:rsidRPr="00BE14DD">
        <w:rPr>
          <w:b/>
          <w:sz w:val="28"/>
          <w:szCs w:val="28"/>
        </w:rPr>
        <w:t xml:space="preserve">Alterra, </w:t>
      </w:r>
    </w:p>
    <w:p w:rsidR="001C55F3" w:rsidRPr="00BE14DD" w:rsidRDefault="001C55F3" w:rsidP="001C55F3">
      <w:pPr>
        <w:rPr>
          <w:b/>
          <w:sz w:val="28"/>
          <w:szCs w:val="28"/>
        </w:rPr>
      </w:pPr>
      <w:r w:rsidRPr="00BE14DD">
        <w:rPr>
          <w:b/>
          <w:sz w:val="28"/>
          <w:szCs w:val="28"/>
        </w:rPr>
        <w:lastRenderedPageBreak/>
        <w:t xml:space="preserve">Institute within the legal entity of Stichting DLO </w:t>
      </w:r>
    </w:p>
    <w:p w:rsidR="001C55F3" w:rsidRPr="00BE14DD" w:rsidRDefault="001C55F3" w:rsidP="001C55F3">
      <w:pPr>
        <w:spacing w:after="0" w:line="240" w:lineRule="auto"/>
        <w:rPr>
          <w:b/>
          <w:sz w:val="28"/>
          <w:szCs w:val="28"/>
        </w:rPr>
      </w:pPr>
      <w:r w:rsidRPr="00BE14DD">
        <w:rPr>
          <w:b/>
          <w:sz w:val="28"/>
          <w:szCs w:val="28"/>
        </w:rPr>
        <w:t>P.O. Box 47</w:t>
      </w:r>
    </w:p>
    <w:p w:rsidR="001C55F3" w:rsidRPr="00BE14DD" w:rsidRDefault="001C55F3" w:rsidP="001C55F3">
      <w:pPr>
        <w:spacing w:after="0" w:line="240" w:lineRule="auto"/>
        <w:rPr>
          <w:b/>
          <w:sz w:val="28"/>
          <w:szCs w:val="28"/>
        </w:rPr>
      </w:pPr>
      <w:r w:rsidRPr="00BE14DD">
        <w:rPr>
          <w:b/>
          <w:sz w:val="28"/>
          <w:szCs w:val="28"/>
        </w:rPr>
        <w:t>6700 AA, Wageningen</w:t>
      </w:r>
    </w:p>
    <w:p w:rsidR="001C55F3" w:rsidRPr="00BE14DD" w:rsidRDefault="001C55F3" w:rsidP="001C55F3">
      <w:pPr>
        <w:spacing w:after="0" w:line="240" w:lineRule="auto"/>
        <w:rPr>
          <w:b/>
          <w:sz w:val="28"/>
          <w:szCs w:val="28"/>
        </w:rPr>
      </w:pPr>
      <w:r w:rsidRPr="00BE14DD">
        <w:rPr>
          <w:b/>
          <w:sz w:val="28"/>
          <w:szCs w:val="28"/>
        </w:rPr>
        <w:t>The Netherlands</w:t>
      </w: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8"/>
          <w:szCs w:val="28"/>
        </w:rPr>
      </w:pPr>
      <w:r w:rsidRPr="00BE14DD">
        <w:rPr>
          <w:b/>
          <w:sz w:val="28"/>
          <w:szCs w:val="28"/>
        </w:rPr>
        <w:t>Building 100+101</w:t>
      </w:r>
    </w:p>
    <w:p w:rsidR="001C55F3" w:rsidRPr="00BE14DD" w:rsidRDefault="001C55F3" w:rsidP="001C55F3">
      <w:pPr>
        <w:spacing w:after="0" w:line="240" w:lineRule="auto"/>
        <w:rPr>
          <w:b/>
          <w:sz w:val="28"/>
          <w:szCs w:val="28"/>
        </w:rPr>
      </w:pPr>
      <w:r w:rsidRPr="00BE14DD">
        <w:rPr>
          <w:b/>
          <w:sz w:val="28"/>
          <w:szCs w:val="28"/>
        </w:rPr>
        <w:t>Droevendaalsesteeg 3</w:t>
      </w:r>
    </w:p>
    <w:p w:rsidR="001C55F3" w:rsidRPr="00BE14DD" w:rsidRDefault="001C55F3" w:rsidP="001C55F3">
      <w:pPr>
        <w:spacing w:after="0" w:line="240" w:lineRule="auto"/>
        <w:rPr>
          <w:b/>
          <w:sz w:val="28"/>
          <w:szCs w:val="28"/>
        </w:rPr>
      </w:pPr>
      <w:r w:rsidRPr="00BE14DD">
        <w:rPr>
          <w:b/>
          <w:sz w:val="28"/>
          <w:szCs w:val="28"/>
        </w:rPr>
        <w:t>6708 PB, Wageningen</w:t>
      </w:r>
    </w:p>
    <w:p w:rsidR="001C55F3" w:rsidRPr="00BE14DD" w:rsidRDefault="001C55F3" w:rsidP="001C55F3">
      <w:pPr>
        <w:spacing w:after="0" w:line="240" w:lineRule="auto"/>
        <w:rPr>
          <w:b/>
          <w:sz w:val="28"/>
          <w:szCs w:val="28"/>
        </w:rPr>
      </w:pPr>
      <w:r w:rsidRPr="00BE14DD">
        <w:rPr>
          <w:b/>
          <w:sz w:val="28"/>
          <w:szCs w:val="28"/>
        </w:rPr>
        <w:t>The Netherlands</w:t>
      </w: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4"/>
          <w:szCs w:val="24"/>
        </w:rPr>
      </w:pPr>
    </w:p>
    <w:p w:rsidR="001C55F3" w:rsidRPr="00BE14DD" w:rsidRDefault="001C55F3" w:rsidP="001C55F3">
      <w:pPr>
        <w:spacing w:after="0" w:line="240" w:lineRule="auto"/>
        <w:rPr>
          <w:b/>
          <w:sz w:val="24"/>
          <w:szCs w:val="24"/>
        </w:rPr>
      </w:pPr>
    </w:p>
    <w:p w:rsidR="001C55F3" w:rsidRPr="00BE14DD" w:rsidRDefault="001C55F3" w:rsidP="001C55F3">
      <w:pPr>
        <w:spacing w:after="0" w:line="240" w:lineRule="auto"/>
        <w:rPr>
          <w:b/>
          <w:sz w:val="24"/>
          <w:szCs w:val="24"/>
        </w:rPr>
      </w:pPr>
    </w:p>
    <w:p w:rsidR="001C55F3" w:rsidRPr="00BE14DD" w:rsidRDefault="001C55F3" w:rsidP="001C55F3">
      <w:pPr>
        <w:spacing w:after="0" w:line="240" w:lineRule="auto"/>
        <w:rPr>
          <w:b/>
          <w:sz w:val="24"/>
          <w:szCs w:val="24"/>
        </w:rPr>
      </w:pPr>
    </w:p>
    <w:p w:rsidR="001C55F3" w:rsidRPr="00BE14DD" w:rsidRDefault="001C55F3" w:rsidP="001C55F3">
      <w:pPr>
        <w:spacing w:after="0" w:line="240" w:lineRule="auto"/>
        <w:rPr>
          <w:b/>
          <w:sz w:val="32"/>
          <w:szCs w:val="32"/>
        </w:rPr>
      </w:pPr>
      <w:r w:rsidRPr="00BE14DD">
        <w:rPr>
          <w:b/>
          <w:sz w:val="32"/>
          <w:szCs w:val="32"/>
        </w:rPr>
        <w:t>Authors:</w:t>
      </w:r>
    </w:p>
    <w:p w:rsidR="001C55F3" w:rsidRPr="00BE14DD" w:rsidRDefault="001C55F3" w:rsidP="001C55F3">
      <w:pPr>
        <w:spacing w:after="0"/>
        <w:rPr>
          <w:sz w:val="32"/>
          <w:szCs w:val="32"/>
          <w:lang w:val="es-ES"/>
        </w:rPr>
      </w:pPr>
      <w:r w:rsidRPr="00BE14DD">
        <w:rPr>
          <w:sz w:val="32"/>
          <w:szCs w:val="32"/>
          <w:lang w:val="es-ES"/>
        </w:rPr>
        <w:t xml:space="preserve">Irene Bouwma (Alterra), Amor Torre-Marin (ECNC), </w:t>
      </w:r>
      <w:r w:rsidRPr="0033792C">
        <w:rPr>
          <w:sz w:val="32"/>
          <w:szCs w:val="32"/>
        </w:rPr>
        <w:t>Gebhard Banko (UbA), Toon van Daele(INBO) ,</w:t>
      </w:r>
      <w:r w:rsidRPr="00BE14DD">
        <w:rPr>
          <w:sz w:val="32"/>
          <w:szCs w:val="32"/>
          <w:lang w:val="es-ES"/>
        </w:rPr>
        <w:t>Fernando Santos Martin (UAM)</w:t>
      </w:r>
    </w:p>
    <w:p w:rsidR="001C55F3" w:rsidRPr="00BE14DD" w:rsidRDefault="001C55F3" w:rsidP="001C55F3">
      <w:pPr>
        <w:spacing w:after="0" w:line="240" w:lineRule="auto"/>
        <w:rPr>
          <w:b/>
          <w:sz w:val="32"/>
          <w:szCs w:val="32"/>
        </w:rPr>
      </w:pP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8"/>
          <w:szCs w:val="28"/>
        </w:rPr>
      </w:pPr>
      <w:r w:rsidRPr="00BE14DD">
        <w:rPr>
          <w:b/>
          <w:sz w:val="28"/>
          <w:szCs w:val="28"/>
        </w:rPr>
        <w:t>Contact person:</w:t>
      </w: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8"/>
          <w:szCs w:val="28"/>
        </w:rPr>
      </w:pPr>
      <w:r w:rsidRPr="00BE14DD">
        <w:rPr>
          <w:b/>
          <w:sz w:val="28"/>
          <w:szCs w:val="28"/>
        </w:rPr>
        <w:t>Dr. Leon C. Braat</w:t>
      </w:r>
    </w:p>
    <w:p w:rsidR="001C55F3" w:rsidRPr="00BE14DD" w:rsidRDefault="001C55F3" w:rsidP="001C55F3">
      <w:pPr>
        <w:spacing w:after="0" w:line="240" w:lineRule="auto"/>
        <w:rPr>
          <w:b/>
          <w:sz w:val="28"/>
          <w:szCs w:val="28"/>
        </w:rPr>
      </w:pPr>
    </w:p>
    <w:p w:rsidR="001C55F3" w:rsidRPr="00BE14DD" w:rsidRDefault="001C55F3" w:rsidP="001C55F3">
      <w:pPr>
        <w:spacing w:after="0" w:line="240" w:lineRule="auto"/>
        <w:rPr>
          <w:b/>
          <w:sz w:val="28"/>
          <w:szCs w:val="28"/>
        </w:rPr>
      </w:pPr>
      <w:r w:rsidRPr="00BE14DD">
        <w:rPr>
          <w:b/>
          <w:sz w:val="28"/>
          <w:szCs w:val="28"/>
        </w:rPr>
        <w:t xml:space="preserve">Telephone: </w:t>
      </w:r>
      <w:r w:rsidRPr="00BE14DD">
        <w:rPr>
          <w:b/>
          <w:sz w:val="28"/>
          <w:szCs w:val="28"/>
        </w:rPr>
        <w:tab/>
      </w:r>
      <w:r w:rsidRPr="00BE14DD">
        <w:rPr>
          <w:b/>
          <w:sz w:val="28"/>
          <w:szCs w:val="28"/>
        </w:rPr>
        <w:tab/>
        <w:t>+31 317 486473</w:t>
      </w:r>
    </w:p>
    <w:p w:rsidR="001C55F3" w:rsidRPr="001C55F3" w:rsidRDefault="001C55F3" w:rsidP="001C55F3">
      <w:pPr>
        <w:spacing w:after="0" w:line="240" w:lineRule="auto"/>
        <w:rPr>
          <w:b/>
          <w:sz w:val="28"/>
          <w:szCs w:val="28"/>
          <w:lang w:val="en-US"/>
        </w:rPr>
      </w:pPr>
      <w:r w:rsidRPr="001C55F3">
        <w:rPr>
          <w:b/>
          <w:sz w:val="28"/>
          <w:szCs w:val="28"/>
          <w:lang w:val="en-US"/>
        </w:rPr>
        <w:t>Mobile phone:</w:t>
      </w:r>
      <w:r w:rsidRPr="001C55F3">
        <w:rPr>
          <w:b/>
          <w:sz w:val="28"/>
          <w:szCs w:val="28"/>
          <w:lang w:val="en-US"/>
        </w:rPr>
        <w:tab/>
        <w:t>+31 6 18079112</w:t>
      </w:r>
    </w:p>
    <w:p w:rsidR="001C55F3" w:rsidRPr="001C55F3" w:rsidRDefault="001C55F3" w:rsidP="001C55F3">
      <w:pPr>
        <w:spacing w:after="0" w:line="240" w:lineRule="auto"/>
        <w:rPr>
          <w:b/>
          <w:sz w:val="28"/>
          <w:szCs w:val="28"/>
          <w:lang w:val="en-US"/>
        </w:rPr>
      </w:pPr>
      <w:r w:rsidRPr="001C55F3">
        <w:rPr>
          <w:b/>
          <w:sz w:val="28"/>
          <w:szCs w:val="28"/>
          <w:lang w:val="en-US"/>
        </w:rPr>
        <w:t>Fax:</w:t>
      </w:r>
      <w:r w:rsidRPr="001C55F3">
        <w:rPr>
          <w:b/>
          <w:sz w:val="28"/>
          <w:szCs w:val="28"/>
          <w:lang w:val="en-US"/>
        </w:rPr>
        <w:tab/>
      </w:r>
      <w:r w:rsidRPr="001C55F3">
        <w:rPr>
          <w:b/>
          <w:sz w:val="28"/>
          <w:szCs w:val="28"/>
          <w:lang w:val="en-US"/>
        </w:rPr>
        <w:tab/>
      </w:r>
      <w:r w:rsidRPr="001C55F3">
        <w:rPr>
          <w:b/>
          <w:sz w:val="28"/>
          <w:szCs w:val="28"/>
          <w:lang w:val="en-US"/>
        </w:rPr>
        <w:tab/>
      </w:r>
      <w:r w:rsidRPr="001C55F3">
        <w:rPr>
          <w:b/>
          <w:sz w:val="28"/>
          <w:szCs w:val="28"/>
          <w:lang w:val="en-US"/>
        </w:rPr>
        <w:tab/>
        <w:t>+31 317 419000</w:t>
      </w:r>
    </w:p>
    <w:p w:rsidR="001C55F3" w:rsidRPr="001C55F3" w:rsidRDefault="001C55F3" w:rsidP="001C55F3">
      <w:pPr>
        <w:rPr>
          <w:rFonts w:cstheme="minorHAnsi"/>
          <w:b/>
          <w:bCs/>
          <w:sz w:val="24"/>
          <w:szCs w:val="24"/>
          <w:lang w:val="en-US"/>
        </w:rPr>
      </w:pPr>
      <w:r w:rsidRPr="001C55F3">
        <w:rPr>
          <w:b/>
          <w:sz w:val="28"/>
          <w:szCs w:val="28"/>
          <w:lang w:val="en-US"/>
        </w:rPr>
        <w:t>E-mail:</w:t>
      </w:r>
      <w:r w:rsidRPr="001C55F3">
        <w:rPr>
          <w:b/>
          <w:sz w:val="28"/>
          <w:szCs w:val="28"/>
          <w:lang w:val="en-US"/>
        </w:rPr>
        <w:tab/>
      </w:r>
      <w:r w:rsidRPr="001C55F3">
        <w:rPr>
          <w:b/>
          <w:sz w:val="28"/>
          <w:szCs w:val="28"/>
          <w:lang w:val="en-US"/>
        </w:rPr>
        <w:tab/>
      </w:r>
      <w:r w:rsidRPr="001C55F3">
        <w:rPr>
          <w:b/>
          <w:sz w:val="28"/>
          <w:szCs w:val="28"/>
          <w:lang w:val="en-US"/>
        </w:rPr>
        <w:tab/>
        <w:t xml:space="preserve">leon.braat@wur.nl </w:t>
      </w:r>
      <w:r w:rsidRPr="001C55F3">
        <w:rPr>
          <w:b/>
          <w:sz w:val="28"/>
          <w:szCs w:val="28"/>
          <w:lang w:val="en-US"/>
        </w:rPr>
        <w:br w:type="page"/>
      </w:r>
    </w:p>
    <w:p w:rsidR="001C55F3" w:rsidRPr="001C55F3" w:rsidRDefault="001C55F3" w:rsidP="001C55F3">
      <w:pPr>
        <w:shd w:val="clear" w:color="auto" w:fill="C6D9F1" w:themeFill="text2" w:themeFillTint="33"/>
        <w:rPr>
          <w:rFonts w:cstheme="minorHAnsi"/>
          <w:b/>
          <w:bCs/>
          <w:sz w:val="24"/>
          <w:szCs w:val="24"/>
          <w:lang w:val="en-US"/>
        </w:rPr>
      </w:pPr>
    </w:p>
    <w:p w:rsidR="001C55F3" w:rsidRPr="00BE14DD" w:rsidRDefault="001C55F3" w:rsidP="001C55F3">
      <w:pPr>
        <w:shd w:val="clear" w:color="auto" w:fill="C6D9F1" w:themeFill="text2" w:themeFillTint="33"/>
        <w:rPr>
          <w:b/>
          <w:sz w:val="36"/>
          <w:szCs w:val="36"/>
        </w:rPr>
      </w:pPr>
      <w:r w:rsidRPr="00CB65CC">
        <w:rPr>
          <w:b/>
          <w:sz w:val="36"/>
          <w:szCs w:val="36"/>
        </w:rPr>
        <w:t>Task 2: Comparison of ecosystem status assessment across scales</w:t>
      </w:r>
    </w:p>
    <w:sdt>
      <w:sdtPr>
        <w:rPr>
          <w:rFonts w:asciiTheme="minorHAnsi" w:eastAsiaTheme="minorHAnsi" w:hAnsiTheme="minorHAnsi" w:cstheme="minorBidi"/>
          <w:b w:val="0"/>
          <w:bCs w:val="0"/>
          <w:color w:val="auto"/>
          <w:sz w:val="20"/>
          <w:szCs w:val="22"/>
          <w:lang w:val="en-GB" w:eastAsia="en-US"/>
        </w:rPr>
        <w:id w:val="82666439"/>
        <w:docPartObj>
          <w:docPartGallery w:val="Table of Contents"/>
          <w:docPartUnique/>
        </w:docPartObj>
      </w:sdtPr>
      <w:sdtEndPr>
        <w:rPr>
          <w:noProof/>
          <w:sz w:val="22"/>
        </w:rPr>
      </w:sdtEndPr>
      <w:sdtContent>
        <w:p w:rsidR="001C55F3" w:rsidRPr="00BE14DD" w:rsidRDefault="001C55F3" w:rsidP="001C55F3">
          <w:pPr>
            <w:pStyle w:val="En-ttedetabledesmatires"/>
            <w:rPr>
              <w:rFonts w:asciiTheme="minorHAnsi" w:hAnsiTheme="minorHAnsi"/>
            </w:rPr>
          </w:pPr>
          <w:r w:rsidRPr="00BE14DD">
            <w:rPr>
              <w:rFonts w:asciiTheme="minorHAnsi" w:hAnsiTheme="minorHAnsi"/>
            </w:rPr>
            <w:t>Contents</w:t>
          </w:r>
        </w:p>
        <w:p w:rsidR="001C55F3" w:rsidRPr="00BE14DD" w:rsidRDefault="001C55F3" w:rsidP="001C55F3">
          <w:pPr>
            <w:rPr>
              <w:lang w:val="en-US" w:eastAsia="ja-JP"/>
            </w:rPr>
          </w:pPr>
        </w:p>
        <w:p w:rsidR="001C55F3" w:rsidRPr="00BE14DD" w:rsidRDefault="001C55F3" w:rsidP="001C55F3">
          <w:pPr>
            <w:pStyle w:val="TM1"/>
            <w:tabs>
              <w:tab w:val="left" w:pos="440"/>
              <w:tab w:val="right" w:leader="dot" w:pos="9062"/>
            </w:tabs>
            <w:rPr>
              <w:rFonts w:asciiTheme="minorHAnsi" w:eastAsiaTheme="minorEastAsia" w:hAnsiTheme="minorHAnsi"/>
              <w:noProof/>
              <w:sz w:val="22"/>
              <w:lang w:eastAsia="en-GB"/>
            </w:rPr>
          </w:pPr>
          <w:r w:rsidRPr="00DF0812">
            <w:rPr>
              <w:rFonts w:asciiTheme="minorHAnsi" w:hAnsiTheme="minorHAnsi"/>
              <w:sz w:val="22"/>
            </w:rPr>
            <w:fldChar w:fldCharType="begin"/>
          </w:r>
          <w:r w:rsidRPr="00BE14DD">
            <w:rPr>
              <w:rFonts w:asciiTheme="minorHAnsi" w:hAnsiTheme="minorHAnsi"/>
              <w:sz w:val="22"/>
            </w:rPr>
            <w:instrText xml:space="preserve"> TOC \o "1-3" \h \z \u </w:instrText>
          </w:r>
          <w:r w:rsidRPr="00DF0812">
            <w:rPr>
              <w:rFonts w:asciiTheme="minorHAnsi" w:hAnsiTheme="minorHAnsi"/>
              <w:sz w:val="22"/>
            </w:rPr>
            <w:fldChar w:fldCharType="separate"/>
          </w:r>
          <w:hyperlink w:anchor="_Toc356484289" w:history="1">
            <w:r w:rsidRPr="00BE14DD">
              <w:rPr>
                <w:rStyle w:val="Lienhypertexte"/>
                <w:rFonts w:asciiTheme="minorHAnsi" w:hAnsiTheme="minorHAnsi"/>
                <w:noProof/>
                <w:sz w:val="22"/>
              </w:rPr>
              <w:t>1.</w:t>
            </w:r>
            <w:r w:rsidRPr="00BE14DD">
              <w:rPr>
                <w:rFonts w:asciiTheme="minorHAnsi" w:eastAsiaTheme="minorEastAsia" w:hAnsiTheme="minorHAnsi"/>
                <w:noProof/>
                <w:sz w:val="22"/>
                <w:lang w:eastAsia="en-GB"/>
              </w:rPr>
              <w:tab/>
            </w:r>
            <w:r w:rsidRPr="00BE14DD">
              <w:rPr>
                <w:rStyle w:val="Lienhypertexte"/>
                <w:rFonts w:asciiTheme="minorHAnsi" w:hAnsiTheme="minorHAnsi"/>
                <w:noProof/>
                <w:sz w:val="22"/>
              </w:rPr>
              <w:t>Introduction</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_Toc356484289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4</w:t>
            </w:r>
            <w:r w:rsidRPr="00BE14DD">
              <w:rPr>
                <w:rFonts w:asciiTheme="minorHAnsi" w:hAnsiTheme="minorHAnsi"/>
                <w:noProof/>
                <w:webHidden/>
                <w:sz w:val="22"/>
              </w:rPr>
              <w:fldChar w:fldCharType="end"/>
            </w:r>
          </w:hyperlink>
        </w:p>
        <w:p w:rsidR="001C55F3" w:rsidRPr="00BE14DD" w:rsidRDefault="001C55F3" w:rsidP="001C55F3">
          <w:pPr>
            <w:pStyle w:val="TM1"/>
            <w:tabs>
              <w:tab w:val="left" w:pos="440"/>
              <w:tab w:val="right" w:leader="dot" w:pos="9062"/>
            </w:tabs>
            <w:rPr>
              <w:rFonts w:asciiTheme="minorHAnsi" w:eastAsiaTheme="minorEastAsia" w:hAnsiTheme="minorHAnsi"/>
              <w:noProof/>
              <w:sz w:val="22"/>
              <w:lang w:eastAsia="en-GB"/>
            </w:rPr>
          </w:pPr>
          <w:hyperlink w:anchor="_Toc356484290" w:history="1">
            <w:r w:rsidRPr="00BE14DD">
              <w:rPr>
                <w:rStyle w:val="Lienhypertexte"/>
                <w:rFonts w:asciiTheme="minorHAnsi" w:hAnsiTheme="minorHAnsi"/>
                <w:noProof/>
                <w:sz w:val="22"/>
              </w:rPr>
              <w:t>2.</w:t>
            </w:r>
            <w:r w:rsidRPr="00BE14DD">
              <w:rPr>
                <w:rFonts w:asciiTheme="minorHAnsi" w:eastAsiaTheme="minorEastAsia" w:hAnsiTheme="minorHAnsi"/>
                <w:noProof/>
                <w:sz w:val="22"/>
                <w:lang w:eastAsia="en-GB"/>
              </w:rPr>
              <w:tab/>
            </w:r>
            <w:r w:rsidRPr="00BE14DD">
              <w:rPr>
                <w:rStyle w:val="Lienhypertexte"/>
                <w:rFonts w:asciiTheme="minorHAnsi" w:hAnsiTheme="minorHAnsi"/>
                <w:noProof/>
                <w:sz w:val="22"/>
              </w:rPr>
              <w:t>Measuring the state of ecosystems</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_Toc356484290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6</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291" w:history="1">
            <w:r w:rsidRPr="00BE14DD">
              <w:rPr>
                <w:rStyle w:val="Lienhypertexte"/>
                <w:rFonts w:asciiTheme="minorHAnsi" w:hAnsiTheme="minorHAnsi"/>
                <w:noProof/>
                <w:sz w:val="22"/>
              </w:rPr>
              <w:t>2.1 Challenges and pitfalls</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_Toc356484291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6</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292" w:history="1">
            <w:r w:rsidRPr="00BE14DD">
              <w:rPr>
                <w:rStyle w:val="Lienhypertexte"/>
                <w:rFonts w:asciiTheme="minorHAnsi" w:hAnsiTheme="minorHAnsi"/>
                <w:noProof/>
                <w:sz w:val="22"/>
              </w:rPr>
              <w:t>2.2 EU reporting &amp; assessment</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_Toc356484292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7</w:t>
            </w:r>
            <w:r w:rsidRPr="00BE14DD">
              <w:rPr>
                <w:rFonts w:asciiTheme="minorHAnsi" w:hAnsiTheme="minorHAnsi"/>
                <w:noProof/>
                <w:webHidden/>
                <w:sz w:val="22"/>
              </w:rPr>
              <w:fldChar w:fldCharType="end"/>
            </w:r>
          </w:hyperlink>
        </w:p>
        <w:p w:rsidR="001C55F3" w:rsidRPr="00BE14DD" w:rsidRDefault="001C55F3" w:rsidP="001C55F3">
          <w:pPr>
            <w:pStyle w:val="TM1"/>
            <w:tabs>
              <w:tab w:val="left" w:pos="440"/>
              <w:tab w:val="right" w:leader="dot" w:pos="9062"/>
            </w:tabs>
            <w:rPr>
              <w:rFonts w:asciiTheme="minorHAnsi" w:eastAsiaTheme="minorEastAsia" w:hAnsiTheme="minorHAnsi"/>
              <w:noProof/>
              <w:sz w:val="22"/>
              <w:lang w:eastAsia="en-GB"/>
            </w:rPr>
          </w:pPr>
          <w:hyperlink w:anchor="_Toc356484293" w:history="1">
            <w:r w:rsidRPr="00BE14DD">
              <w:rPr>
                <w:rStyle w:val="Lienhypertexte"/>
                <w:rFonts w:asciiTheme="minorHAnsi" w:hAnsiTheme="minorHAnsi"/>
                <w:noProof/>
                <w:sz w:val="22"/>
              </w:rPr>
              <w:t>3.</w:t>
            </w:r>
            <w:r w:rsidRPr="00BE14DD">
              <w:rPr>
                <w:rFonts w:asciiTheme="minorHAnsi" w:eastAsiaTheme="minorEastAsia" w:hAnsiTheme="minorHAnsi"/>
                <w:noProof/>
                <w:sz w:val="22"/>
                <w:lang w:eastAsia="en-GB"/>
              </w:rPr>
              <w:tab/>
            </w:r>
            <w:r w:rsidRPr="00BE14DD">
              <w:rPr>
                <w:rStyle w:val="Lienhypertexte"/>
                <w:rFonts w:asciiTheme="minorHAnsi" w:hAnsiTheme="minorHAnsi"/>
                <w:noProof/>
                <w:sz w:val="22"/>
              </w:rPr>
              <w:t>Methodology used to report on the state of biodiversity in three EU assessments</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_Toc356484293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12</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294" w:history="1">
            <w:r w:rsidRPr="00BE14DD">
              <w:rPr>
                <w:rStyle w:val="Lienhypertexte"/>
                <w:rFonts w:asciiTheme="minorHAnsi" w:hAnsiTheme="minorHAnsi"/>
                <w:noProof/>
                <w:sz w:val="22"/>
              </w:rPr>
              <w:t>3.1 Birds &amp; Habitats Directive</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_Toc356484294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12</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295" w:history="1">
            <w:r w:rsidRPr="00BE14DD">
              <w:rPr>
                <w:rStyle w:val="Lienhypertexte"/>
                <w:rFonts w:asciiTheme="minorHAnsi" w:hAnsiTheme="minorHAnsi"/>
                <w:noProof/>
                <w:sz w:val="22"/>
              </w:rPr>
              <w:t>3.2 Water Framework Directive</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_Toc356484295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13</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296" w:history="1">
            <w:r w:rsidRPr="00BE14DD">
              <w:rPr>
                <w:rStyle w:val="Lienhypertexte"/>
                <w:rFonts w:asciiTheme="minorHAnsi" w:hAnsiTheme="minorHAnsi"/>
                <w:noProof/>
                <w:sz w:val="22"/>
              </w:rPr>
              <w:t>3.3 Marine Strategy Framework Directive</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_Toc356484296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14</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297" w:history="1">
            <w:r w:rsidRPr="00BE14DD">
              <w:rPr>
                <w:rStyle w:val="Lienhypertexte"/>
                <w:rFonts w:asciiTheme="minorHAnsi" w:hAnsiTheme="minorHAnsi"/>
                <w:noProof/>
                <w:sz w:val="22"/>
              </w:rPr>
              <w:t>3.4  SEBI 2010 indicators</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_Toc356484297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15</w:t>
            </w:r>
            <w:r w:rsidRPr="00BE14DD">
              <w:rPr>
                <w:rFonts w:asciiTheme="minorHAnsi" w:hAnsiTheme="minorHAnsi"/>
                <w:noProof/>
                <w:webHidden/>
                <w:sz w:val="22"/>
              </w:rPr>
              <w:fldChar w:fldCharType="end"/>
            </w:r>
          </w:hyperlink>
        </w:p>
        <w:p w:rsidR="001C55F3" w:rsidRPr="00BE14DD" w:rsidRDefault="001C55F3" w:rsidP="001C55F3">
          <w:pPr>
            <w:pStyle w:val="TM1"/>
            <w:tabs>
              <w:tab w:val="left" w:pos="440"/>
              <w:tab w:val="right" w:leader="dot" w:pos="9062"/>
            </w:tabs>
            <w:rPr>
              <w:rFonts w:asciiTheme="minorHAnsi" w:eastAsiaTheme="minorEastAsia" w:hAnsiTheme="minorHAnsi"/>
              <w:noProof/>
              <w:sz w:val="22"/>
              <w:lang w:eastAsia="en-GB"/>
            </w:rPr>
          </w:pPr>
          <w:hyperlink w:anchor="_Toc356484298" w:history="1">
            <w:r w:rsidRPr="00BE14DD">
              <w:rPr>
                <w:rStyle w:val="Lienhypertexte"/>
                <w:rFonts w:asciiTheme="minorHAnsi" w:hAnsiTheme="minorHAnsi"/>
                <w:noProof/>
                <w:sz w:val="22"/>
              </w:rPr>
              <w:t>4.</w:t>
            </w:r>
            <w:r w:rsidRPr="00BE14DD">
              <w:rPr>
                <w:rFonts w:asciiTheme="minorHAnsi" w:eastAsiaTheme="minorEastAsia" w:hAnsiTheme="minorHAnsi"/>
                <w:noProof/>
                <w:sz w:val="22"/>
                <w:lang w:eastAsia="en-GB"/>
              </w:rPr>
              <w:tab/>
            </w:r>
            <w:r w:rsidRPr="00BE14DD">
              <w:rPr>
                <w:rStyle w:val="Lienhypertexte"/>
                <w:rFonts w:asciiTheme="minorHAnsi" w:hAnsiTheme="minorHAnsi"/>
                <w:noProof/>
                <w:sz w:val="22"/>
              </w:rPr>
              <w:t>Country Case studies</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_Toc356484298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18</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299" w:history="1">
            <w:r w:rsidRPr="00BE14DD">
              <w:rPr>
                <w:rStyle w:val="Lienhypertexte"/>
                <w:rFonts w:asciiTheme="minorHAnsi" w:hAnsiTheme="minorHAnsi"/>
                <w:noProof/>
                <w:sz w:val="22"/>
              </w:rPr>
              <w:t>4.1 The Netherlands</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_Toc356484299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18</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300" w:history="1">
            <w:r w:rsidRPr="00BE14DD">
              <w:rPr>
                <w:rStyle w:val="Lienhypertexte"/>
                <w:rFonts w:asciiTheme="minorHAnsi" w:hAnsiTheme="minorHAnsi"/>
                <w:noProof/>
                <w:sz w:val="22"/>
              </w:rPr>
              <w:t>4.2 Flanders</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_Toc356484300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25</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301" w:history="1">
            <w:r w:rsidRPr="00BE14DD">
              <w:rPr>
                <w:rStyle w:val="Lienhypertexte"/>
                <w:rFonts w:asciiTheme="minorHAnsi" w:hAnsiTheme="minorHAnsi"/>
                <w:noProof/>
                <w:sz w:val="22"/>
                <w:lang w:val="es-ES"/>
              </w:rPr>
              <w:t>4.3 Spain</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_Toc356484301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31</w:t>
            </w:r>
            <w:r w:rsidRPr="00BE14DD">
              <w:rPr>
                <w:rFonts w:asciiTheme="minorHAnsi" w:hAnsiTheme="minorHAnsi"/>
                <w:noProof/>
                <w:webHidden/>
                <w:sz w:val="22"/>
              </w:rPr>
              <w:fldChar w:fldCharType="end"/>
            </w:r>
          </w:hyperlink>
        </w:p>
        <w:p w:rsidR="001C55F3" w:rsidRPr="00BE14DD" w:rsidRDefault="001C55F3" w:rsidP="001C55F3">
          <w:pPr>
            <w:pStyle w:val="TM2"/>
            <w:tabs>
              <w:tab w:val="right" w:leader="dot" w:pos="9062"/>
            </w:tabs>
            <w:rPr>
              <w:rFonts w:asciiTheme="minorHAnsi" w:eastAsiaTheme="minorEastAsia" w:hAnsiTheme="minorHAnsi"/>
              <w:noProof/>
              <w:sz w:val="22"/>
              <w:lang w:eastAsia="en-GB"/>
            </w:rPr>
          </w:pPr>
          <w:hyperlink w:anchor="_Toc356484302" w:history="1">
            <w:r w:rsidRPr="00BE14DD">
              <w:rPr>
                <w:rStyle w:val="Lienhypertexte"/>
                <w:rFonts w:asciiTheme="minorHAnsi" w:hAnsiTheme="minorHAnsi"/>
                <w:noProof/>
                <w:sz w:val="22"/>
                <w:lang w:val="es-ES"/>
              </w:rPr>
              <w:t>4.4 Austria</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_Toc356484302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31</w:t>
            </w:r>
            <w:r w:rsidRPr="00BE14DD">
              <w:rPr>
                <w:rFonts w:asciiTheme="minorHAnsi" w:hAnsiTheme="minorHAnsi"/>
                <w:noProof/>
                <w:webHidden/>
                <w:sz w:val="22"/>
              </w:rPr>
              <w:fldChar w:fldCharType="end"/>
            </w:r>
          </w:hyperlink>
        </w:p>
        <w:p w:rsidR="001C55F3" w:rsidRPr="00BE14DD" w:rsidRDefault="001C55F3" w:rsidP="001C55F3">
          <w:pPr>
            <w:pStyle w:val="TM1"/>
            <w:tabs>
              <w:tab w:val="left" w:pos="440"/>
              <w:tab w:val="right" w:leader="dot" w:pos="9062"/>
            </w:tabs>
            <w:rPr>
              <w:rFonts w:asciiTheme="minorHAnsi" w:eastAsiaTheme="minorEastAsia" w:hAnsiTheme="minorHAnsi"/>
              <w:noProof/>
              <w:sz w:val="22"/>
              <w:lang w:eastAsia="en-GB"/>
            </w:rPr>
          </w:pPr>
          <w:hyperlink w:anchor="_Toc356484303" w:history="1">
            <w:r w:rsidRPr="00BE14DD">
              <w:rPr>
                <w:rStyle w:val="Lienhypertexte"/>
                <w:rFonts w:asciiTheme="minorHAnsi" w:hAnsiTheme="minorHAnsi"/>
                <w:noProof/>
                <w:sz w:val="22"/>
              </w:rPr>
              <w:t>5.</w:t>
            </w:r>
            <w:r w:rsidRPr="00BE14DD">
              <w:rPr>
                <w:rFonts w:asciiTheme="minorHAnsi" w:eastAsiaTheme="minorEastAsia" w:hAnsiTheme="minorHAnsi"/>
                <w:noProof/>
                <w:sz w:val="22"/>
                <w:lang w:eastAsia="en-GB"/>
              </w:rPr>
              <w:tab/>
            </w:r>
            <w:r w:rsidRPr="00BE14DD">
              <w:rPr>
                <w:rStyle w:val="Lienhypertexte"/>
                <w:rFonts w:asciiTheme="minorHAnsi" w:hAnsiTheme="minorHAnsi"/>
                <w:noProof/>
                <w:sz w:val="22"/>
              </w:rPr>
              <w:t>Conclusions</w:t>
            </w:r>
            <w:r w:rsidRPr="00BE14DD">
              <w:rPr>
                <w:rFonts w:asciiTheme="minorHAnsi" w:hAnsiTheme="minorHAnsi"/>
                <w:noProof/>
                <w:webHidden/>
                <w:sz w:val="22"/>
              </w:rPr>
              <w:tab/>
            </w:r>
            <w:r w:rsidRPr="00BE14DD">
              <w:rPr>
                <w:rFonts w:asciiTheme="minorHAnsi" w:hAnsiTheme="minorHAnsi"/>
                <w:noProof/>
                <w:webHidden/>
                <w:sz w:val="22"/>
              </w:rPr>
              <w:fldChar w:fldCharType="begin"/>
            </w:r>
            <w:r w:rsidRPr="00BE14DD">
              <w:rPr>
                <w:rFonts w:asciiTheme="minorHAnsi" w:hAnsiTheme="minorHAnsi"/>
                <w:noProof/>
                <w:webHidden/>
                <w:sz w:val="22"/>
              </w:rPr>
              <w:instrText xml:space="preserve"> PAGEREF _Toc356484303 \h </w:instrText>
            </w:r>
            <w:r w:rsidRPr="00BE14DD">
              <w:rPr>
                <w:rFonts w:asciiTheme="minorHAnsi" w:hAnsiTheme="minorHAnsi"/>
                <w:noProof/>
                <w:webHidden/>
                <w:sz w:val="22"/>
              </w:rPr>
            </w:r>
            <w:r w:rsidRPr="00BE14DD">
              <w:rPr>
                <w:rFonts w:asciiTheme="minorHAnsi" w:hAnsiTheme="minorHAnsi"/>
                <w:noProof/>
                <w:webHidden/>
                <w:sz w:val="22"/>
              </w:rPr>
              <w:fldChar w:fldCharType="separate"/>
            </w:r>
            <w:r>
              <w:rPr>
                <w:rFonts w:asciiTheme="minorHAnsi" w:hAnsiTheme="minorHAnsi"/>
                <w:noProof/>
                <w:webHidden/>
                <w:sz w:val="22"/>
              </w:rPr>
              <w:t>50</w:t>
            </w:r>
            <w:r w:rsidRPr="00BE14DD">
              <w:rPr>
                <w:rFonts w:asciiTheme="minorHAnsi" w:hAnsiTheme="minorHAnsi"/>
                <w:noProof/>
                <w:webHidden/>
                <w:sz w:val="22"/>
              </w:rPr>
              <w:fldChar w:fldCharType="end"/>
            </w:r>
          </w:hyperlink>
        </w:p>
        <w:p w:rsidR="001C55F3" w:rsidRPr="00BE14DD" w:rsidRDefault="001C55F3" w:rsidP="001C55F3">
          <w:r w:rsidRPr="00BE14DD">
            <w:rPr>
              <w:b/>
              <w:bCs/>
              <w:noProof/>
            </w:rPr>
            <w:fldChar w:fldCharType="end"/>
          </w:r>
        </w:p>
      </w:sdtContent>
    </w:sdt>
    <w:p w:rsidR="001C55F3" w:rsidRPr="00BE14DD" w:rsidRDefault="001C55F3" w:rsidP="001C55F3">
      <w:r w:rsidRPr="00BE14DD">
        <w:br w:type="page"/>
      </w:r>
    </w:p>
    <w:p w:rsidR="001C55F3" w:rsidRPr="00BE14DD" w:rsidRDefault="001C55F3" w:rsidP="00622218">
      <w:pPr>
        <w:pStyle w:val="Titre1"/>
        <w:numPr>
          <w:ilvl w:val="0"/>
          <w:numId w:val="109"/>
        </w:numPr>
        <w:rPr>
          <w:rFonts w:asciiTheme="minorHAnsi" w:hAnsiTheme="minorHAnsi"/>
          <w:sz w:val="40"/>
          <w:szCs w:val="40"/>
        </w:rPr>
      </w:pPr>
      <w:bookmarkStart w:id="23" w:name="_Toc356484289"/>
      <w:r w:rsidRPr="00BE14DD">
        <w:rPr>
          <w:rFonts w:asciiTheme="minorHAnsi" w:hAnsiTheme="minorHAnsi"/>
          <w:sz w:val="40"/>
          <w:szCs w:val="40"/>
        </w:rPr>
        <w:lastRenderedPageBreak/>
        <w:t>Introduction</w:t>
      </w:r>
      <w:bookmarkEnd w:id="23"/>
    </w:p>
    <w:p w:rsidR="001C55F3" w:rsidRPr="00BE14DD" w:rsidRDefault="001C55F3" w:rsidP="001C55F3"/>
    <w:p w:rsidR="001C55F3" w:rsidRPr="00BE14DD" w:rsidRDefault="001C55F3" w:rsidP="001C55F3">
      <w:pPr>
        <w:spacing w:line="240" w:lineRule="auto"/>
      </w:pPr>
      <w:r w:rsidRPr="00BE14DD">
        <w:t xml:space="preserve">This report outlines the results of the second task of the contract ‘Mapping of ecosystems and their services in the EU and its Member States’ (ENV.B.2/SER/2012/0016). </w:t>
      </w:r>
    </w:p>
    <w:p w:rsidR="001C55F3" w:rsidRPr="00BE14DD" w:rsidRDefault="001C55F3" w:rsidP="001C55F3">
      <w:pPr>
        <w:spacing w:line="240" w:lineRule="auto"/>
      </w:pPr>
      <w:r w:rsidRPr="00BE14DD">
        <w:t>In the context of the MAES-process, one of the questions raised was how the information currently gathered on the state of biodiversity in Europe could assist in the process of the mapping of ecosystem services. Although the relationship between the state of ecosystems and the provision of ecosystem services is rather complex, information on the state of ecosystems can contribute to the process of assessing ecosystem service delivery.</w:t>
      </w:r>
    </w:p>
    <w:p w:rsidR="001C55F3" w:rsidRPr="00BE14DD" w:rsidRDefault="001C55F3" w:rsidP="001C55F3">
      <w:pPr>
        <w:spacing w:line="240" w:lineRule="auto"/>
      </w:pPr>
      <w:r w:rsidRPr="00BE14DD">
        <w:t>As a first step in answering this overarching question there was a need to review which information is gathered at present and how representative this information is for the different ecosystems distinguished in the MAES process. In the future the relationship between the state of ecosystems and the services delivered also requires further elaboration.</w:t>
      </w:r>
    </w:p>
    <w:p w:rsidR="001C55F3" w:rsidRPr="00BE14DD" w:rsidRDefault="001C55F3" w:rsidP="001C55F3">
      <w:pPr>
        <w:spacing w:line="240" w:lineRule="auto"/>
      </w:pPr>
      <w:r w:rsidRPr="00BE14DD">
        <w:t>This task therefore focusses on the information gathered on the state of European biodiversity in the framework of national and European wide assessments. In several EU Member States and regions monitoring programs are operational assessing (changes in) biodiversity. Based on the information gathered in these programs Member States prepare assessment reports on the state of biodiversity</w:t>
      </w:r>
      <w:r w:rsidRPr="00BE14DD">
        <w:rPr>
          <w:rStyle w:val="Appelnotedebasdep"/>
        </w:rPr>
        <w:footnoteReference w:id="3"/>
      </w:r>
      <w:r w:rsidRPr="00BE14DD">
        <w:t xml:space="preserve">. At the same time in the framework of four EU Directives (Birds Directive (BD), Habitats Directive (HD), Water Framework Directive (WFD) and Marine Strategy Framework Directive (MSFD)) Member States are obliged to report on the state of specific species, habitats and ecosystems. </w:t>
      </w:r>
    </w:p>
    <w:p w:rsidR="001C55F3" w:rsidRPr="00BE14DD" w:rsidRDefault="001C55F3" w:rsidP="001C55F3">
      <w:pPr>
        <w:spacing w:line="240" w:lineRule="auto"/>
      </w:pPr>
      <w:r w:rsidRPr="00BE14DD">
        <w:t xml:space="preserve">The aim of this task is to compare the ways in which the status of ecosystems is assessed at the different levels (European, national and regional level) and in particular how national assessment (e.g those that are not undertaken as part of the existing EU obligations) might provide additional information to assess the state of biodiversity and in particular ecosystems in the EU.  </w:t>
      </w:r>
    </w:p>
    <w:p w:rsidR="001C55F3" w:rsidRPr="00BE14DD" w:rsidRDefault="001C55F3" w:rsidP="001C55F3">
      <w:pPr>
        <w:spacing w:line="240" w:lineRule="auto"/>
      </w:pPr>
      <w:r w:rsidRPr="00BE14DD">
        <w:t>The review therefore pays specific attention to:</w:t>
      </w:r>
    </w:p>
    <w:p w:rsidR="001C55F3" w:rsidRPr="00BE14DD" w:rsidRDefault="001C55F3" w:rsidP="00622218">
      <w:pPr>
        <w:pStyle w:val="Paragraphedeliste"/>
        <w:numPr>
          <w:ilvl w:val="0"/>
          <w:numId w:val="91"/>
        </w:numPr>
        <w:spacing w:line="240" w:lineRule="auto"/>
      </w:pPr>
      <w:r w:rsidRPr="00BE14DD">
        <w:t xml:space="preserve">indicator species and habitats used in national assessment and not covered by the Nature Directives; and </w:t>
      </w:r>
    </w:p>
    <w:p w:rsidR="001C55F3" w:rsidRPr="00BE14DD" w:rsidRDefault="001C55F3" w:rsidP="00622218">
      <w:pPr>
        <w:pStyle w:val="Paragraphedeliste"/>
        <w:numPr>
          <w:ilvl w:val="0"/>
          <w:numId w:val="91"/>
        </w:numPr>
        <w:spacing w:line="240" w:lineRule="auto"/>
      </w:pPr>
      <w:r w:rsidRPr="00BE14DD">
        <w:t>the representativeness of indicator species and habitats for each ecosystem group derived from reporting under EU Directives compared to alternatives used in national assessments</w:t>
      </w:r>
    </w:p>
    <w:p w:rsidR="001C55F3" w:rsidRPr="00BE14DD" w:rsidRDefault="001C55F3" w:rsidP="001C55F3">
      <w:pPr>
        <w:spacing w:line="240" w:lineRule="auto"/>
      </w:pPr>
      <w:r w:rsidRPr="00BE14DD">
        <w:t>Through this review the study tries to answer the following questions:</w:t>
      </w:r>
    </w:p>
    <w:p w:rsidR="001C55F3" w:rsidRPr="00BE14DD" w:rsidRDefault="001C55F3" w:rsidP="00622218">
      <w:pPr>
        <w:pStyle w:val="Paragraphedeliste"/>
        <w:numPr>
          <w:ilvl w:val="0"/>
          <w:numId w:val="91"/>
        </w:numPr>
        <w:spacing w:line="240" w:lineRule="auto"/>
      </w:pPr>
      <w:r w:rsidRPr="00BE14DD">
        <w:t xml:space="preserve">Which methodology is used to assess the ecosystem state in EU reporting mechanisms compared to those used in national assessments? </w:t>
      </w:r>
    </w:p>
    <w:p w:rsidR="001C55F3" w:rsidRPr="00BE14DD" w:rsidRDefault="001C55F3" w:rsidP="00622218">
      <w:pPr>
        <w:pStyle w:val="Paragraphedeliste"/>
        <w:numPr>
          <w:ilvl w:val="0"/>
          <w:numId w:val="91"/>
        </w:numPr>
        <w:spacing w:line="240" w:lineRule="auto"/>
      </w:pPr>
      <w:r w:rsidRPr="00BE14DD">
        <w:t>Which species (groups) and habitats are used in EU and in national reporting mechanisms?</w:t>
      </w:r>
    </w:p>
    <w:p w:rsidR="001C55F3" w:rsidRPr="00BE14DD" w:rsidRDefault="001C55F3" w:rsidP="00622218">
      <w:pPr>
        <w:pStyle w:val="Paragraphedeliste"/>
        <w:numPr>
          <w:ilvl w:val="0"/>
          <w:numId w:val="91"/>
        </w:numPr>
        <w:spacing w:line="240" w:lineRule="auto"/>
      </w:pPr>
      <w:r w:rsidRPr="00BE14DD">
        <w:t xml:space="preserve">How representative are they for the various ecosystem groups? </w:t>
      </w:r>
    </w:p>
    <w:p w:rsidR="001C55F3" w:rsidRPr="00BE14DD" w:rsidRDefault="001C55F3" w:rsidP="00622218">
      <w:pPr>
        <w:pStyle w:val="Paragraphedeliste"/>
        <w:numPr>
          <w:ilvl w:val="0"/>
          <w:numId w:val="91"/>
        </w:numPr>
        <w:spacing w:line="240" w:lineRule="auto"/>
      </w:pPr>
      <w:r w:rsidRPr="00BE14DD">
        <w:t>What is the spatial detail of information provided in the assessments?</w:t>
      </w:r>
    </w:p>
    <w:p w:rsidR="001C55F3" w:rsidRPr="00BE14DD" w:rsidRDefault="001C55F3" w:rsidP="00622218">
      <w:pPr>
        <w:pStyle w:val="Paragraphedeliste"/>
        <w:numPr>
          <w:ilvl w:val="0"/>
          <w:numId w:val="91"/>
        </w:numPr>
        <w:spacing w:line="240" w:lineRule="auto"/>
      </w:pPr>
      <w:r w:rsidRPr="00BE14DD">
        <w:t>How can information on species (groups) used in national assessment and EU reporting mechanisms complement and strengthen each other?</w:t>
      </w:r>
    </w:p>
    <w:p w:rsidR="001C55F3" w:rsidRPr="00BE14DD" w:rsidRDefault="001C55F3" w:rsidP="00622218">
      <w:pPr>
        <w:pStyle w:val="Paragraphedeliste"/>
        <w:numPr>
          <w:ilvl w:val="0"/>
          <w:numId w:val="91"/>
        </w:numPr>
        <w:spacing w:line="240" w:lineRule="auto"/>
      </w:pPr>
      <w:r w:rsidRPr="00BE14DD">
        <w:lastRenderedPageBreak/>
        <w:t>What are the opportunities and bottlenecks experienced in using information from EU reporting in national assessments and vice versa?</w:t>
      </w:r>
    </w:p>
    <w:p w:rsidR="001C55F3" w:rsidRPr="00BE14DD" w:rsidRDefault="001C55F3" w:rsidP="001C55F3">
      <w:pPr>
        <w:spacing w:line="240" w:lineRule="auto"/>
      </w:pPr>
      <w:r w:rsidRPr="00BE14DD">
        <w:t>The approach followed is to review the information available at  the EU level as a result of the reporting mechanism under the four EU directives mentioned above. At the national and regional level 4 EU Member States are reviewed that undertake national assessments.</w:t>
      </w:r>
    </w:p>
    <w:p w:rsidR="001C55F3" w:rsidRPr="00BE14DD" w:rsidRDefault="001C55F3" w:rsidP="001C55F3">
      <w:pPr>
        <w:spacing w:line="240" w:lineRule="auto"/>
      </w:pPr>
      <w:r w:rsidRPr="00BE14DD">
        <w:t xml:space="preserve">In the framework of the MAES working group definitions have been derived for ecosystem state and status (see textbox below). </w:t>
      </w:r>
    </w:p>
    <w:p w:rsidR="001C55F3" w:rsidRPr="00BE14DD" w:rsidRDefault="001C55F3" w:rsidP="001C55F3">
      <w:pPr>
        <w:pBdr>
          <w:top w:val="single" w:sz="4" w:space="1" w:color="auto"/>
          <w:left w:val="single" w:sz="4" w:space="4" w:color="auto"/>
          <w:bottom w:val="single" w:sz="4" w:space="1" w:color="auto"/>
          <w:right w:val="single" w:sz="4" w:space="4" w:color="auto"/>
        </w:pBdr>
        <w:spacing w:line="240" w:lineRule="auto"/>
      </w:pPr>
      <w:r w:rsidRPr="00BE14DD">
        <w:t>Ecosystem state: The physical, chemical and biological condition of an ecosystem at a particular point in time.</w:t>
      </w:r>
    </w:p>
    <w:p w:rsidR="001C55F3" w:rsidRPr="00BE14DD" w:rsidRDefault="001C55F3" w:rsidP="001C55F3">
      <w:pPr>
        <w:pBdr>
          <w:top w:val="single" w:sz="4" w:space="1" w:color="auto"/>
          <w:left w:val="single" w:sz="4" w:space="4" w:color="auto"/>
          <w:bottom w:val="single" w:sz="4" w:space="1" w:color="auto"/>
          <w:right w:val="single" w:sz="4" w:space="4" w:color="auto"/>
        </w:pBdr>
        <w:spacing w:line="240" w:lineRule="auto"/>
      </w:pPr>
      <w:r w:rsidRPr="00BE14DD">
        <w:t>Ecosystem status: A classification of ecosystem state among several well-defined categories. It is usually measured against time and compared to an agreed target in EU environmental directives (e.g. HD, WFD, MSFD).</w:t>
      </w:r>
    </w:p>
    <w:p w:rsidR="001C55F3" w:rsidRPr="00BE14DD" w:rsidRDefault="001C55F3" w:rsidP="001C55F3">
      <w:pPr>
        <w:spacing w:line="240" w:lineRule="auto"/>
      </w:pPr>
      <w:r w:rsidRPr="00BE14DD">
        <w:t xml:space="preserve">In the context of these definitions and the task description as formulated in the tender this report reviews how the biological condition is determined (based on species and habitat types) in national assessments and EU assessments. The report does not review the way in which way the physical and chemical condition is determined in the assessments. </w:t>
      </w:r>
    </w:p>
    <w:p w:rsidR="001C55F3" w:rsidRPr="00BE14DD" w:rsidRDefault="001C55F3" w:rsidP="001C55F3">
      <w:pPr>
        <w:spacing w:line="240" w:lineRule="auto"/>
      </w:pPr>
      <w:r w:rsidRPr="00BE14DD">
        <w:t>In the final chapter the relationship between the methods assessed in this report is placed within the wider analytical framework developed under MAES working group (see figure 1.1). In this framework ecosystem state and ecosystem status are presented in the left (green) side of the figure. The circles in the wings of the butterfly indicate possible indicators  to measure state and status. The state of the ecosystem determines the ecosystem services it deliver ( indicated by the arrow in the figure)</w:t>
      </w:r>
    </w:p>
    <w:p w:rsidR="001C55F3" w:rsidRPr="00BE14DD" w:rsidRDefault="001C55F3" w:rsidP="001C55F3">
      <w:pPr>
        <w:rPr>
          <w:szCs w:val="20"/>
        </w:rPr>
      </w:pPr>
      <w:r w:rsidRPr="00BE14DD">
        <w:rPr>
          <w:noProof/>
          <w:szCs w:val="20"/>
          <w:lang w:val="fr-BE" w:eastAsia="fr-BE"/>
        </w:rPr>
        <w:drawing>
          <wp:inline distT="0" distB="0" distL="0" distR="0">
            <wp:extent cx="5760720" cy="3368675"/>
            <wp:effectExtent l="0" t="0" r="0" b="3175"/>
            <wp:docPr id="122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368675"/>
                    </a:xfrm>
                    <a:prstGeom prst="rect">
                      <a:avLst/>
                    </a:prstGeom>
                    <a:noFill/>
                    <a:ln>
                      <a:noFill/>
                    </a:ln>
                  </pic:spPr>
                </pic:pic>
              </a:graphicData>
            </a:graphic>
          </wp:inline>
        </w:drawing>
      </w:r>
    </w:p>
    <w:p w:rsidR="001C55F3" w:rsidRPr="00BE14DD" w:rsidRDefault="001C55F3" w:rsidP="001C55F3">
      <w:pPr>
        <w:rPr>
          <w:i/>
          <w:szCs w:val="20"/>
        </w:rPr>
      </w:pPr>
      <w:r w:rsidRPr="00BE14DD">
        <w:rPr>
          <w:i/>
          <w:szCs w:val="20"/>
        </w:rPr>
        <w:t>Figure 1.1. Conceptual framework developed under MAES (source EU, 2013).</w:t>
      </w:r>
    </w:p>
    <w:p w:rsidR="001C55F3" w:rsidRPr="00BE14DD" w:rsidRDefault="001C55F3" w:rsidP="00622218">
      <w:pPr>
        <w:pStyle w:val="Titre1"/>
        <w:numPr>
          <w:ilvl w:val="0"/>
          <w:numId w:val="109"/>
        </w:numPr>
        <w:rPr>
          <w:rFonts w:asciiTheme="minorHAnsi" w:hAnsiTheme="minorHAnsi"/>
          <w:sz w:val="40"/>
          <w:szCs w:val="40"/>
        </w:rPr>
      </w:pPr>
      <w:bookmarkStart w:id="24" w:name="_Toc356484290"/>
      <w:r w:rsidRPr="00BE14DD">
        <w:rPr>
          <w:rFonts w:asciiTheme="minorHAnsi" w:hAnsiTheme="minorHAnsi"/>
          <w:sz w:val="40"/>
          <w:szCs w:val="40"/>
        </w:rPr>
        <w:lastRenderedPageBreak/>
        <w:t>Measuring the state of ecosystems</w:t>
      </w:r>
      <w:bookmarkEnd w:id="24"/>
    </w:p>
    <w:p w:rsidR="001C55F3" w:rsidRPr="00BE14DD" w:rsidRDefault="001C55F3" w:rsidP="001C55F3">
      <w:pPr>
        <w:pStyle w:val="Titre2"/>
        <w:rPr>
          <w:rFonts w:asciiTheme="minorHAnsi" w:hAnsiTheme="minorHAnsi"/>
        </w:rPr>
      </w:pPr>
      <w:bookmarkStart w:id="25" w:name="_Toc356484291"/>
      <w:r w:rsidRPr="00BE14DD">
        <w:rPr>
          <w:rFonts w:asciiTheme="minorHAnsi" w:hAnsiTheme="minorHAnsi"/>
        </w:rPr>
        <w:t>2.1 Challenges and pitfalls</w:t>
      </w:r>
      <w:bookmarkEnd w:id="25"/>
    </w:p>
    <w:p w:rsidR="001C55F3" w:rsidRPr="00BE14DD" w:rsidRDefault="001C55F3" w:rsidP="001C55F3"/>
    <w:p w:rsidR="001C55F3" w:rsidRPr="00BE14DD" w:rsidRDefault="001C55F3" w:rsidP="001C55F3">
      <w:pPr>
        <w:spacing w:line="240" w:lineRule="auto"/>
      </w:pPr>
      <w:r w:rsidRPr="00BE14DD">
        <w:t xml:space="preserve">Different approaches have been developed to assess the state of ecosystems using  appropriate indicators for biological condition. Based on the definition of biodiversity as given in the Convention of Biological Diversity (1992),  indicators to assess the state of biodiversity need to consider the genetic, species, habitat and ecosystem level. Although at all levels indicators have been developed – historically most information is available at the species level. Given the focus of this task we will primarily pay attention to the information available at species level. </w:t>
      </w:r>
    </w:p>
    <w:p w:rsidR="001C55F3" w:rsidRPr="00BE14DD" w:rsidRDefault="001C55F3" w:rsidP="001C55F3">
      <w:pPr>
        <w:spacing w:line="240" w:lineRule="auto"/>
      </w:pPr>
      <w:r w:rsidRPr="00BE14DD">
        <w:t>The concept of indicator species has been proposed as a way to measure the state and change of a given ecosystem. For the purpose of this report we consider an indicator species as:</w:t>
      </w:r>
    </w:p>
    <w:p w:rsidR="001C55F3" w:rsidRPr="00BE14DD" w:rsidRDefault="001C55F3" w:rsidP="001C55F3">
      <w:pPr>
        <w:spacing w:line="240" w:lineRule="auto"/>
      </w:pPr>
      <w:r w:rsidRPr="00BE14DD">
        <w:t xml:space="preserve">"an organism whose characteristics (e.g. presence or absence, population density, dispersion, reproductive success) are used as an index of attributes too difficult, inconvenient, or expensive to measure for other species or environmental conditions of interest " (Landres et al., 1988). </w:t>
      </w:r>
    </w:p>
    <w:p w:rsidR="001C55F3" w:rsidRPr="00BE14DD" w:rsidRDefault="001C55F3" w:rsidP="001C55F3">
      <w:pPr>
        <w:spacing w:line="240" w:lineRule="auto"/>
      </w:pPr>
      <w:r w:rsidRPr="00BE14DD">
        <w:t>Various interpretations of indicator species have been given (Lindermayer et al, 2000). In order to determine ecosystem health in most assessments several indicator species are used, as the use of only one indicator species might easily lead to the wrong conclusions. Also in many assessments, indicator species from different taxonomical groups are used  as together they provide a better representation of biodiversity than a single taxon (Wolters et al., 2006; Eglington et al., 2012).  Furthermore it is important to select taxonomic groups that operate at different scale levels in the landscape (</w:t>
      </w:r>
      <w:r w:rsidRPr="00BE14DD">
        <w:rPr>
          <w:lang w:val="en-US"/>
        </w:rPr>
        <w:t>Carignan &amp; Villard, 2002</w:t>
      </w:r>
      <w:r w:rsidRPr="00BE14DD">
        <w:t>).</w:t>
      </w:r>
    </w:p>
    <w:p w:rsidR="001C55F3" w:rsidRPr="00BE14DD" w:rsidRDefault="001C55F3" w:rsidP="001C55F3">
      <w:pPr>
        <w:spacing w:line="240" w:lineRule="auto"/>
      </w:pPr>
      <w:r w:rsidRPr="00BE14DD">
        <w:t xml:space="preserve">In the case that several species or species groups are used to determine ecosystem state of  health the parameters applied or calculated can be very different . Below several of the most frequently used parameters are shortly described: </w:t>
      </w:r>
    </w:p>
    <w:p w:rsidR="001C55F3" w:rsidRPr="00BE14DD" w:rsidRDefault="001C55F3" w:rsidP="001C55F3">
      <w:pPr>
        <w:spacing w:after="0" w:line="240" w:lineRule="auto"/>
        <w:ind w:left="720" w:hanging="720"/>
      </w:pPr>
      <w:r w:rsidRPr="00BE14DD">
        <w:t>•</w:t>
      </w:r>
      <w:r w:rsidRPr="00BE14DD">
        <w:tab/>
        <w:t>Species richness e.g the number of identified indicator species present in a given ecosystem. Species richness is specifically mentioned in the MAES analytical framework (see figure 1.1)</w:t>
      </w:r>
    </w:p>
    <w:p w:rsidR="001C55F3" w:rsidRPr="00BE14DD" w:rsidRDefault="001C55F3" w:rsidP="001C55F3">
      <w:pPr>
        <w:spacing w:after="0" w:line="240" w:lineRule="auto"/>
        <w:ind w:left="720" w:hanging="720"/>
      </w:pPr>
      <w:r w:rsidRPr="00BE14DD">
        <w:t>•</w:t>
      </w:r>
      <w:r w:rsidRPr="00BE14DD">
        <w:tab/>
        <w:t xml:space="preserve">Species abundance e.g the abundance (individuals, coverage or in biomass) of the indicator species present </w:t>
      </w:r>
    </w:p>
    <w:p w:rsidR="001C55F3" w:rsidRPr="00BE14DD" w:rsidRDefault="001C55F3" w:rsidP="001C55F3">
      <w:pPr>
        <w:spacing w:after="0" w:line="240" w:lineRule="auto"/>
        <w:ind w:left="720" w:hanging="720"/>
      </w:pPr>
      <w:r w:rsidRPr="00BE14DD">
        <w:t>•</w:t>
      </w:r>
      <w:r w:rsidRPr="00BE14DD">
        <w:tab/>
        <w:t>Species composition e.g the ratio or proportion between species groups; often based on different trophic groups or structural characteristics of species. This approach usually determines the ration between different groups showing different functional traits. Functional traits are specifically mentioned in the MAES analytical framework (see figure 1.1)</w:t>
      </w:r>
    </w:p>
    <w:p w:rsidR="001C55F3" w:rsidRPr="00BE14DD" w:rsidRDefault="001C55F3" w:rsidP="00622218">
      <w:pPr>
        <w:pStyle w:val="Paragraphedeliste"/>
        <w:numPr>
          <w:ilvl w:val="0"/>
          <w:numId w:val="94"/>
        </w:numPr>
        <w:spacing w:after="0" w:line="240" w:lineRule="auto"/>
        <w:ind w:hanging="720"/>
      </w:pPr>
      <w:r w:rsidRPr="00BE14DD">
        <w:t xml:space="preserve">Population condition of a set of indicator species e.g. characteristics of the population in terms of genetic structure, sex ratio, reproductive age, size distribution. </w:t>
      </w:r>
    </w:p>
    <w:p w:rsidR="001C55F3" w:rsidRPr="00BE14DD" w:rsidRDefault="001C55F3" w:rsidP="001C55F3">
      <w:pPr>
        <w:spacing w:line="240" w:lineRule="auto"/>
      </w:pPr>
      <w:r w:rsidRPr="00BE14DD">
        <w:t xml:space="preserve">In the four reviewed Directives these different parameters are also used. </w:t>
      </w:r>
    </w:p>
    <w:p w:rsidR="001C55F3" w:rsidRPr="00BE14DD" w:rsidRDefault="001C55F3" w:rsidP="001C55F3">
      <w:pPr>
        <w:spacing w:line="240" w:lineRule="auto"/>
      </w:pPr>
      <w:r w:rsidRPr="00BE14DD">
        <w:t xml:space="preserve">In the framework of national assessments often the DPSIR framework is used (see figure 1.2). The selection of indicator species depends on the goals set by the national policies (which species or habitats/ ecosystems to conserve) and the attention for specific pressures that impact on those species. As a result the indicator species selection is often dependant on the national goals and national pressures. For instance in the Netherlands increased nitrogen deposition is a threat- several of the indicator species used in assessments are chosen based on their sensitivity to identify changes in nitrogen deposition. </w:t>
      </w:r>
    </w:p>
    <w:p w:rsidR="001C55F3" w:rsidRPr="00BE14DD" w:rsidRDefault="001C55F3" w:rsidP="001C55F3">
      <w:pPr>
        <w:rPr>
          <w:i/>
          <w:szCs w:val="20"/>
        </w:rPr>
      </w:pPr>
      <w:r w:rsidRPr="00BE14DD">
        <w:rPr>
          <w:i/>
          <w:szCs w:val="20"/>
        </w:rPr>
        <w:br w:type="page"/>
      </w:r>
      <w:r w:rsidRPr="00BE14DD">
        <w:rPr>
          <w:i/>
          <w:szCs w:val="20"/>
        </w:rPr>
        <w:lastRenderedPageBreak/>
        <w:t>Figure 2.1 DPSIR framework used in assessments</w:t>
      </w:r>
      <w:r w:rsidRPr="00BE14DD">
        <w:rPr>
          <w:szCs w:val="20"/>
        </w:rPr>
        <w:t xml:space="preserve"> Source: EEA, 2007</w:t>
      </w:r>
      <w:r w:rsidRPr="00BE14DD">
        <w:rPr>
          <w:rStyle w:val="Appelnotedebasdep"/>
          <w:szCs w:val="20"/>
        </w:rPr>
        <w:footnoteReference w:id="4"/>
      </w:r>
    </w:p>
    <w:p w:rsidR="001C55F3" w:rsidRPr="00BE14DD" w:rsidRDefault="001C55F3" w:rsidP="001C55F3">
      <w:pPr>
        <w:rPr>
          <w:b/>
          <w:i/>
          <w:szCs w:val="20"/>
        </w:rPr>
      </w:pPr>
      <w:r w:rsidRPr="00BE14DD">
        <w:rPr>
          <w:i/>
          <w:szCs w:val="20"/>
        </w:rPr>
        <w:t xml:space="preserve">National assessments often review the whole chain of the DPSIR approach. The assessments try to find out the links between these aspects. </w:t>
      </w:r>
    </w:p>
    <w:p w:rsidR="001C55F3" w:rsidRPr="00BE14DD" w:rsidRDefault="001C55F3" w:rsidP="001C55F3">
      <w:pPr>
        <w:rPr>
          <w:szCs w:val="20"/>
        </w:rPr>
      </w:pPr>
    </w:p>
    <w:p w:rsidR="001C55F3" w:rsidRPr="00BE14DD" w:rsidRDefault="001C55F3" w:rsidP="001C55F3">
      <w:pPr>
        <w:rPr>
          <w:szCs w:val="20"/>
        </w:rPr>
      </w:pPr>
      <w:r w:rsidRPr="00BE14DD">
        <w:rPr>
          <w:noProof/>
          <w:lang w:val="fr-BE" w:eastAsia="fr-BE"/>
        </w:rPr>
        <w:drawing>
          <wp:inline distT="0" distB="0" distL="0" distR="0">
            <wp:extent cx="5073282" cy="2895600"/>
            <wp:effectExtent l="0" t="0" r="0" b="0"/>
            <wp:docPr id="12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13554" t="16131" r="16364" b="19871"/>
                    <a:stretch/>
                  </pic:blipFill>
                  <pic:spPr bwMode="auto">
                    <a:xfrm>
                      <a:off x="0" y="0"/>
                      <a:ext cx="5090243" cy="29052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C55F3" w:rsidRPr="00BE14DD" w:rsidRDefault="001C55F3" w:rsidP="001C55F3">
      <w:pPr>
        <w:rPr>
          <w:szCs w:val="20"/>
        </w:rPr>
      </w:pPr>
    </w:p>
    <w:p w:rsidR="001C55F3" w:rsidRPr="00BE14DD" w:rsidRDefault="001C55F3" w:rsidP="001C55F3">
      <w:pPr>
        <w:pBdr>
          <w:top w:val="single" w:sz="4" w:space="1" w:color="auto"/>
          <w:left w:val="single" w:sz="4" w:space="4" w:color="auto"/>
          <w:bottom w:val="single" w:sz="4" w:space="1" w:color="auto"/>
          <w:right w:val="single" w:sz="4" w:space="4" w:color="auto"/>
        </w:pBdr>
        <w:spacing w:after="0"/>
        <w:rPr>
          <w:i/>
          <w:szCs w:val="20"/>
        </w:rPr>
      </w:pPr>
      <w:r w:rsidRPr="00BE14DD">
        <w:rPr>
          <w:i/>
          <w:szCs w:val="20"/>
        </w:rPr>
        <w:t xml:space="preserve">General note: </w:t>
      </w:r>
    </w:p>
    <w:p w:rsidR="001C55F3" w:rsidRPr="00BE14DD" w:rsidRDefault="001C55F3" w:rsidP="001C55F3">
      <w:pPr>
        <w:pBdr>
          <w:top w:val="single" w:sz="4" w:space="1" w:color="auto"/>
          <w:left w:val="single" w:sz="4" w:space="4" w:color="auto"/>
          <w:bottom w:val="single" w:sz="4" w:space="1" w:color="auto"/>
          <w:right w:val="single" w:sz="4" w:space="4" w:color="auto"/>
        </w:pBdr>
        <w:spacing w:after="0"/>
        <w:rPr>
          <w:i/>
          <w:szCs w:val="20"/>
        </w:rPr>
      </w:pPr>
      <w:r w:rsidRPr="00BE14DD">
        <w:rPr>
          <w:i/>
          <w:szCs w:val="20"/>
        </w:rPr>
        <w:t>Indicators are chosen in order to evaluate the goals l of a policy.</w:t>
      </w:r>
      <w:r w:rsidRPr="00BE14DD">
        <w:t xml:space="preserve"> In the case of the </w:t>
      </w:r>
      <w:r w:rsidRPr="00BE14DD">
        <w:rPr>
          <w:i/>
          <w:szCs w:val="20"/>
        </w:rPr>
        <w:t xml:space="preserve">EU Habitats and Bird Directive reporting the indicator outlining the ’ Çonservation Status’ of all species and habitats are based on the goals set e.g.  to protect  specific  species and habitats which are listed on the Annexes. Some of these species are good indicator species for a given habitat others are not. </w:t>
      </w:r>
    </w:p>
    <w:p w:rsidR="001C55F3" w:rsidRPr="00BE14DD" w:rsidRDefault="001C55F3" w:rsidP="001C55F3">
      <w:pPr>
        <w:pBdr>
          <w:top w:val="single" w:sz="4" w:space="1" w:color="auto"/>
          <w:left w:val="single" w:sz="4" w:space="4" w:color="auto"/>
          <w:bottom w:val="single" w:sz="4" w:space="1" w:color="auto"/>
          <w:right w:val="single" w:sz="4" w:space="4" w:color="auto"/>
        </w:pBdr>
        <w:spacing w:after="0"/>
        <w:rPr>
          <w:i/>
          <w:szCs w:val="20"/>
        </w:rPr>
      </w:pPr>
      <w:r w:rsidRPr="00BE14DD">
        <w:rPr>
          <w:i/>
          <w:szCs w:val="20"/>
        </w:rPr>
        <w:t xml:space="preserve">The indicator species selected under the WFD and to some extent the indicator species under the MFD are chosen as their presence or absence reflects  the good ecological status of the aquatic and marine environment.   </w:t>
      </w:r>
    </w:p>
    <w:p w:rsidR="001C55F3" w:rsidRDefault="001C55F3" w:rsidP="001C55F3">
      <w:pPr>
        <w:rPr>
          <w:b/>
          <w:szCs w:val="20"/>
        </w:rPr>
      </w:pPr>
      <w:bookmarkStart w:id="26" w:name="_Toc356484292"/>
    </w:p>
    <w:p w:rsidR="001C55F3" w:rsidRPr="00BE14DD" w:rsidRDefault="001C55F3" w:rsidP="001C55F3">
      <w:pPr>
        <w:pStyle w:val="Titre2"/>
        <w:rPr>
          <w:szCs w:val="20"/>
        </w:rPr>
      </w:pPr>
      <w:r w:rsidRPr="00BE14DD">
        <w:t>2.2 EU reporting &amp; assessment</w:t>
      </w:r>
      <w:bookmarkEnd w:id="26"/>
    </w:p>
    <w:p w:rsidR="001C55F3" w:rsidRPr="00BE14DD" w:rsidRDefault="001C55F3" w:rsidP="001C55F3">
      <w:pPr>
        <w:spacing w:line="240" w:lineRule="auto"/>
      </w:pPr>
    </w:p>
    <w:p w:rsidR="001C55F3" w:rsidRPr="00BE14DD" w:rsidRDefault="001C55F3" w:rsidP="001C55F3">
      <w:pPr>
        <w:spacing w:line="240" w:lineRule="auto"/>
      </w:pPr>
      <w:r w:rsidRPr="00BE14DD">
        <w:t>At present the status of ecosystems in Europe is determined as part of the monitoring and reporting obligations under four Directives e.g. the Birds Directive (BD), the Habitats Directive (HD), the Water Framework Directive (WFD) and the Marine Strategy Framework Directive (MSFD). Under the Birds Directive the first report on bird populations will cover the period 2008-2012 and is due in 2013</w:t>
      </w:r>
      <w:r w:rsidRPr="00BE14DD">
        <w:rPr>
          <w:rStyle w:val="Appelnotedebasdep"/>
        </w:rPr>
        <w:footnoteReference w:id="5"/>
      </w:r>
      <w:r w:rsidRPr="00BE14DD">
        <w:t xml:space="preserve"> . Furthermore in the framework  of the SEBI 2010 process several indicators were  developed which were used to assess the progress towards the goal of halting the loss of biodiversity by 2010.  </w:t>
      </w:r>
      <w:r w:rsidRPr="00BE14DD">
        <w:lastRenderedPageBreak/>
        <w:t xml:space="preserve">Considering the definition of ecosystem status as used in the MAES working group the Habitats Directive only provides information on the biological and physical condition of ecosystems, whilst the WFD and MSFD also report on the chemical condition (see next paragraph). </w:t>
      </w:r>
    </w:p>
    <w:p w:rsidR="001C55F3" w:rsidRPr="00BE14DD" w:rsidRDefault="001C55F3" w:rsidP="001C55F3">
      <w:pPr>
        <w:spacing w:line="240" w:lineRule="auto"/>
      </w:pPr>
      <w:r w:rsidRPr="00BE14DD">
        <w:t>In order to get some insight in the complexity of choosing indicator species to determine ecosystem state given the species richness in Europe, table 2.1 presents an overview of the species presently known to occur in EU25/EU27. It also indicates the species groups and species numbers the four Directives are reporting on. The development of this table was complex due to the varying definitions of Europe, differences in taxonomy (use of species and subspecies) as well as changes in taxonomy ( see also Henle et al, 2013).</w:t>
      </w:r>
    </w:p>
    <w:p w:rsidR="001C55F3" w:rsidRPr="00BE14DD" w:rsidRDefault="001C55F3" w:rsidP="001C55F3">
      <w:pPr>
        <w:spacing w:line="240" w:lineRule="auto"/>
      </w:pPr>
      <w:r w:rsidRPr="00BE14DD">
        <w:t xml:space="preserve">Figure 2.2 provides a schematic overview of the overlap in species groups between the reporting mechanisms under the various Directives. </w:t>
      </w:r>
    </w:p>
    <w:p w:rsidR="001C55F3" w:rsidRPr="00BE14DD" w:rsidRDefault="001C55F3" w:rsidP="001C55F3">
      <w:pPr>
        <w:rPr>
          <w:szCs w:val="20"/>
        </w:rPr>
      </w:pPr>
      <w:r w:rsidRPr="00BE14DD">
        <w:rPr>
          <w:noProof/>
          <w:szCs w:val="20"/>
          <w:lang w:val="fr-BE" w:eastAsia="fr-BE"/>
        </w:rPr>
        <w:drawing>
          <wp:inline distT="0" distB="0" distL="0" distR="0">
            <wp:extent cx="3696049" cy="2800350"/>
            <wp:effectExtent l="0" t="0" r="0" b="0"/>
            <wp:docPr id="1229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97460" cy="2801419"/>
                    </a:xfrm>
                    <a:prstGeom prst="rect">
                      <a:avLst/>
                    </a:prstGeom>
                    <a:noFill/>
                  </pic:spPr>
                </pic:pic>
              </a:graphicData>
            </a:graphic>
          </wp:inline>
        </w:drawing>
      </w:r>
    </w:p>
    <w:p w:rsidR="001C55F3" w:rsidRPr="00BE14DD" w:rsidRDefault="001C55F3" w:rsidP="001C55F3">
      <w:pPr>
        <w:rPr>
          <w:i/>
          <w:szCs w:val="20"/>
        </w:rPr>
      </w:pPr>
      <w:r w:rsidRPr="00BE14DD">
        <w:rPr>
          <w:i/>
          <w:szCs w:val="20"/>
        </w:rPr>
        <w:t>Figure 2.2. Schematic overview of the overlap between the different  species groups reported on under the four Directives.</w:t>
      </w:r>
    </w:p>
    <w:p w:rsidR="001C55F3" w:rsidRPr="00BE14DD" w:rsidRDefault="001C55F3" w:rsidP="001C55F3">
      <w:pPr>
        <w:spacing w:line="240" w:lineRule="auto"/>
      </w:pPr>
      <w:r w:rsidRPr="00BE14DD">
        <w:t xml:space="preserve">First of all table 2.1 and figure 2.2 show that the various directives report on different species groups belonging to different ecosystems. The Birds Directive and the Habitats Directive focus especially on vertebrates whilst the other two directives focus on invertebrates and to a lesser extent on vertebrates.  Secondly the coverage of reporting on vertebrate species (e.g the number of species reported on in respect to the total of species occurring in the EU) under the various Directives is relatively high (between 64 % and 19%), the coverage of reporting on invertebrates in general very low (&gt;1%) or unknown. </w:t>
      </w:r>
    </w:p>
    <w:p w:rsidR="001C55F3" w:rsidRPr="00BE14DD" w:rsidRDefault="001C55F3" w:rsidP="001C55F3">
      <w:pPr>
        <w:spacing w:line="240" w:lineRule="auto"/>
      </w:pPr>
      <w:r w:rsidRPr="00BE14DD">
        <w:t xml:space="preserve">An assessment undertaken by the EEA (2010) shows that for the current species reported under the Habitats Directive the majority are linked to wetland and grassland ecosystems (see table 2.2). Marine ecosystems and agro-ecosystems are less well covered. Urban ecosystems are not considered in the EEA report.In the project BIOSCORE an assessment was made of about 2,000 species of a number of species groups with an indication of the suitability of individual land cover classes (Corine nomenclature) for each species (indicated as high, medium, or low suitability). Furthermore the sensitivity to a broad range of pressures for these species was determined. Of the total of 2207 species reviewed 214 were listed on the Bird Directive and 151 species were listed under the Habitats Directive, so less than 16 %. </w:t>
      </w:r>
    </w:p>
    <w:p w:rsidR="001C55F3" w:rsidRPr="00BE14DD" w:rsidRDefault="001C55F3" w:rsidP="001C55F3">
      <w:pPr>
        <w:rPr>
          <w:szCs w:val="20"/>
        </w:rPr>
        <w:sectPr w:rsidR="001C55F3" w:rsidRPr="00BE14DD" w:rsidSect="001C55F3">
          <w:headerReference w:type="default" r:id="rId116"/>
          <w:footerReference w:type="default" r:id="rId117"/>
          <w:type w:val="continuous"/>
          <w:pgSz w:w="11906" w:h="16838" w:code="9"/>
          <w:pgMar w:top="1418" w:right="1418" w:bottom="1418" w:left="1418" w:header="709" w:footer="709" w:gutter="0"/>
          <w:cols w:space="708"/>
          <w:titlePg/>
          <w:docGrid w:linePitch="360"/>
        </w:sectPr>
      </w:pPr>
    </w:p>
    <w:p w:rsidR="001C55F3" w:rsidRPr="00BE14DD" w:rsidRDefault="001C55F3" w:rsidP="001C55F3">
      <w:pPr>
        <w:spacing w:after="0"/>
        <w:rPr>
          <w:i/>
          <w:szCs w:val="20"/>
        </w:rPr>
      </w:pPr>
      <w:r w:rsidRPr="00BE14DD">
        <w:rPr>
          <w:i/>
          <w:szCs w:val="20"/>
        </w:rPr>
        <w:lastRenderedPageBreak/>
        <w:t>Table 2.1 Overview of species occurring in Europe and reported on under EU Directives (based on Henle, 2013). Green squares indicate that the species group is used in EU reporting under the specific Directive. For the MSFD and the WFD exact number of species reported on are currently unknown as no overviews are available presently.</w:t>
      </w:r>
    </w:p>
    <w:tbl>
      <w:tblPr>
        <w:tblW w:w="5000" w:type="pct"/>
        <w:tblLook w:val="04A0"/>
      </w:tblPr>
      <w:tblGrid>
        <w:gridCol w:w="1288"/>
        <w:gridCol w:w="2426"/>
        <w:gridCol w:w="1578"/>
        <w:gridCol w:w="1078"/>
        <w:gridCol w:w="1078"/>
        <w:gridCol w:w="1499"/>
        <w:gridCol w:w="1479"/>
        <w:gridCol w:w="1718"/>
        <w:gridCol w:w="1118"/>
        <w:gridCol w:w="958"/>
      </w:tblGrid>
      <w:tr w:rsidR="001C55F3" w:rsidRPr="00BE14DD" w:rsidTr="001C55F3">
        <w:trPr>
          <w:trHeight w:val="1365"/>
        </w:trPr>
        <w:tc>
          <w:tcPr>
            <w:tcW w:w="45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Species groups</w:t>
            </w:r>
          </w:p>
        </w:tc>
        <w:tc>
          <w:tcPr>
            <w:tcW w:w="555" w:type="pct"/>
            <w:tcBorders>
              <w:top w:val="single" w:sz="4" w:space="0" w:color="auto"/>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of species present in EU</w:t>
            </w:r>
          </w:p>
        </w:tc>
        <w:tc>
          <w:tcPr>
            <w:tcW w:w="379" w:type="pct"/>
            <w:tcBorders>
              <w:top w:val="single" w:sz="4" w:space="0" w:color="auto"/>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Geographical range</w:t>
            </w:r>
          </w:p>
        </w:tc>
        <w:tc>
          <w:tcPr>
            <w:tcW w:w="379" w:type="pct"/>
            <w:tcBorders>
              <w:top w:val="single" w:sz="4" w:space="0" w:color="auto"/>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xml:space="preserve">Number of species reported on in assesments BD </w:t>
            </w:r>
          </w:p>
        </w:tc>
        <w:tc>
          <w:tcPr>
            <w:tcW w:w="527" w:type="pct"/>
            <w:tcBorders>
              <w:top w:val="single" w:sz="4" w:space="0" w:color="auto"/>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of species reported on in assessments HD (Henle, 2013)</w:t>
            </w:r>
          </w:p>
        </w:tc>
        <w:tc>
          <w:tcPr>
            <w:tcW w:w="520" w:type="pct"/>
            <w:tcBorders>
              <w:top w:val="single" w:sz="4" w:space="0" w:color="auto"/>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Number/type of species used as indicators for ecosystems assesments  WFD</w:t>
            </w:r>
          </w:p>
        </w:tc>
        <w:tc>
          <w:tcPr>
            <w:tcW w:w="604" w:type="pct"/>
            <w:tcBorders>
              <w:top w:val="single" w:sz="4" w:space="0" w:color="auto"/>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Number/type of species reported on in assesments MSFD</w:t>
            </w:r>
          </w:p>
        </w:tc>
        <w:tc>
          <w:tcPr>
            <w:tcW w:w="393" w:type="pct"/>
            <w:tcBorders>
              <w:top w:val="single" w:sz="4" w:space="0" w:color="auto"/>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SEBI 2010</w:t>
            </w:r>
          </w:p>
        </w:tc>
        <w:tc>
          <w:tcPr>
            <w:tcW w:w="337" w:type="pct"/>
            <w:tcBorders>
              <w:top w:val="single" w:sz="4" w:space="0" w:color="auto"/>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(based on the number of species under BHD)</w:t>
            </w:r>
          </w:p>
        </w:tc>
      </w:tr>
      <w:tr w:rsidR="001C55F3" w:rsidRPr="00BE14DD" w:rsidTr="001C55F3">
        <w:trPr>
          <w:trHeight w:val="58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Vertebrates</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Birds</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448</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EU25</w:t>
            </w:r>
          </w:p>
        </w:tc>
        <w:tc>
          <w:tcPr>
            <w:tcW w:w="379"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255</w:t>
            </w:r>
          </w:p>
        </w:tc>
        <w:tc>
          <w:tcPr>
            <w:tcW w:w="52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unknown</w:t>
            </w:r>
          </w:p>
        </w:tc>
        <w:tc>
          <w:tcPr>
            <w:tcW w:w="393" w:type="pct"/>
            <w:tcBorders>
              <w:top w:val="nil"/>
              <w:left w:val="nil"/>
              <w:bottom w:val="single" w:sz="4" w:space="0" w:color="auto"/>
              <w:right w:val="single" w:sz="4" w:space="0" w:color="auto"/>
            </w:tcBorders>
            <w:shd w:val="clear" w:color="000000" w:fill="92D050"/>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522 (SEBI 002), 135 ( SEBI 001)</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0.0%</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Mammals</w:t>
            </w:r>
            <w:r w:rsidRPr="00BE14DD">
              <w:rPr>
                <w:rFonts w:eastAsia="Times New Roman" w:cs="Times New Roman"/>
                <w:color w:val="000000"/>
                <w:sz w:val="16"/>
                <w:szCs w:val="16"/>
                <w:vertAlign w:val="superscript"/>
                <w:lang w:eastAsia="en-GB"/>
              </w:rPr>
              <w:t>2</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220</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EU25</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102</w:t>
            </w:r>
          </w:p>
        </w:tc>
        <w:tc>
          <w:tcPr>
            <w:tcW w:w="52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unknown</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46.4%</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Reptiles</w:t>
            </w:r>
            <w:r w:rsidRPr="00BE14DD">
              <w:rPr>
                <w:rFonts w:eastAsia="Times New Roman" w:cs="Times New Roman"/>
                <w:color w:val="000000"/>
                <w:sz w:val="16"/>
                <w:szCs w:val="16"/>
                <w:vertAlign w:val="superscript"/>
                <w:lang w:eastAsia="en-GB"/>
              </w:rPr>
              <w:t>3</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141</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EU27</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81</w:t>
            </w:r>
          </w:p>
        </w:tc>
        <w:tc>
          <w:tcPr>
            <w:tcW w:w="52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unknown</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57.4%</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Amphibians</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85</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EU27</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52</w:t>
            </w:r>
          </w:p>
        </w:tc>
        <w:tc>
          <w:tcPr>
            <w:tcW w:w="52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61.2%</w:t>
            </w:r>
          </w:p>
        </w:tc>
      </w:tr>
      <w:tr w:rsidR="001C55F3" w:rsidRPr="00BE14DD" w:rsidTr="001C55F3">
        <w:trPr>
          <w:trHeight w:val="46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Fresh water fishes (including migrating)</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546</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EU27</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199</w:t>
            </w:r>
          </w:p>
        </w:tc>
        <w:tc>
          <w:tcPr>
            <w:tcW w:w="520"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unknown</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36.4%</w:t>
            </w:r>
          </w:p>
        </w:tc>
      </w:tr>
      <w:tr w:rsidR="001C55F3" w:rsidRPr="00BE14DD" w:rsidTr="001C55F3">
        <w:trPr>
          <w:trHeight w:val="465"/>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Salt water fishes  (incl migrating)</w:t>
            </w:r>
          </w:p>
        </w:tc>
        <w:tc>
          <w:tcPr>
            <w:tcW w:w="555" w:type="pct"/>
            <w:tcBorders>
              <w:top w:val="nil"/>
              <w:left w:val="nil"/>
              <w:bottom w:val="single" w:sz="4" w:space="0" w:color="auto"/>
              <w:right w:val="single" w:sz="4" w:space="0" w:color="auto"/>
            </w:tcBorders>
            <w:shd w:val="clear" w:color="000000" w:fill="FFFFFF"/>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1349</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0"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unknown</w:t>
            </w:r>
          </w:p>
        </w:tc>
        <w:tc>
          <w:tcPr>
            <w:tcW w:w="604"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unknown</w:t>
            </w:r>
          </w:p>
        </w:tc>
        <w:tc>
          <w:tcPr>
            <w:tcW w:w="393" w:type="pct"/>
            <w:tcBorders>
              <w:top w:val="nil"/>
              <w:left w:val="nil"/>
              <w:bottom w:val="single" w:sz="4" w:space="0" w:color="auto"/>
              <w:right w:val="single" w:sz="4" w:space="0" w:color="auto"/>
            </w:tcBorders>
            <w:shd w:val="clear" w:color="000000" w:fill="92D050"/>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unknown (SEBI 012, SEBI 21)</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52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Invertebrates</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&gt; 100.000</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jc w:val="right"/>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167</w:t>
            </w:r>
          </w:p>
        </w:tc>
        <w:tc>
          <w:tcPr>
            <w:tcW w:w="520"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393" w:type="pct"/>
            <w:tcBorders>
              <w:top w:val="nil"/>
              <w:left w:val="nil"/>
              <w:bottom w:val="nil"/>
              <w:right w:val="nil"/>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p>
        </w:tc>
        <w:tc>
          <w:tcPr>
            <w:tcW w:w="337"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0.17%</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Butterflies</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451</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EU27</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28</w:t>
            </w:r>
          </w:p>
        </w:tc>
        <w:tc>
          <w:tcPr>
            <w:tcW w:w="52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single" w:sz="4" w:space="0" w:color="auto"/>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17 ( SEBI 001)</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6.21%</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000000" w:fill="FFFFFF"/>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Saproxylic beetles</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408</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EU27</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10</w:t>
            </w:r>
          </w:p>
        </w:tc>
        <w:tc>
          <w:tcPr>
            <w:tcW w:w="52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2.45%</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Dragonflies</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135</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EU27</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Benthic invertebrate fauna</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0"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unknown</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0" w:type="pct"/>
            <w:tcBorders>
              <w:top w:val="nil"/>
              <w:left w:val="nil"/>
              <w:bottom w:val="single" w:sz="4" w:space="0" w:color="auto"/>
              <w:right w:val="single" w:sz="4" w:space="0" w:color="auto"/>
            </w:tcBorders>
            <w:shd w:val="clear" w:color="000000" w:fill="FFFFFF"/>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Vascular plants</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20.000-25.000</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jc w:val="right"/>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694</w:t>
            </w:r>
          </w:p>
        </w:tc>
        <w:tc>
          <w:tcPr>
            <w:tcW w:w="520"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auto" w:fill="auto"/>
            <w:noWrap/>
            <w:vAlign w:val="bottom"/>
          </w:tcPr>
          <w:p w:rsidR="001C55F3" w:rsidRPr="00BE14DD" w:rsidRDefault="001C55F3" w:rsidP="001C55F3">
            <w:pPr>
              <w:spacing w:after="0" w:line="240" w:lineRule="auto"/>
              <w:rPr>
                <w:rFonts w:eastAsia="Times New Roman" w:cs="Times New Roman"/>
                <w:color w:val="000000"/>
                <w:sz w:val="16"/>
                <w:szCs w:val="16"/>
                <w:lang w:eastAsia="en-GB"/>
              </w:rPr>
            </w:pP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2.78%</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Acquatic flora</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520"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unknown</w:t>
            </w:r>
          </w:p>
        </w:tc>
        <w:tc>
          <w:tcPr>
            <w:tcW w:w="604" w:type="pct"/>
            <w:tcBorders>
              <w:top w:val="nil"/>
              <w:left w:val="nil"/>
              <w:bottom w:val="single" w:sz="4" w:space="0" w:color="auto"/>
              <w:right w:val="single" w:sz="4" w:space="0" w:color="auto"/>
            </w:tcBorders>
            <w:shd w:val="clear" w:color="auto" w:fill="auto"/>
            <w:noWrap/>
            <w:vAlign w:val="bottom"/>
          </w:tcPr>
          <w:p w:rsidR="001C55F3" w:rsidRPr="00BE14DD" w:rsidRDefault="001C55F3" w:rsidP="001C55F3">
            <w:pPr>
              <w:spacing w:after="0" w:line="240" w:lineRule="auto"/>
              <w:rPr>
                <w:rFonts w:eastAsia="Times New Roman" w:cs="Times New Roman"/>
                <w:color w:val="000000"/>
                <w:sz w:val="16"/>
                <w:szCs w:val="16"/>
                <w:lang w:eastAsia="en-GB"/>
              </w:rPr>
            </w:pPr>
          </w:p>
        </w:tc>
        <w:tc>
          <w:tcPr>
            <w:tcW w:w="393" w:type="pct"/>
            <w:tcBorders>
              <w:top w:val="nil"/>
              <w:left w:val="nil"/>
              <w:bottom w:val="nil"/>
              <w:right w:val="nil"/>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p>
        </w:tc>
        <w:tc>
          <w:tcPr>
            <w:tcW w:w="337"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Non-aquatic flora</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520" w:type="pct"/>
            <w:tcBorders>
              <w:top w:val="nil"/>
              <w:left w:val="nil"/>
              <w:bottom w:val="nil"/>
              <w:right w:val="nil"/>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p>
        </w:tc>
        <w:tc>
          <w:tcPr>
            <w:tcW w:w="604" w:type="pct"/>
            <w:tcBorders>
              <w:top w:val="nil"/>
              <w:left w:val="nil"/>
              <w:bottom w:val="nil"/>
              <w:right w:val="nil"/>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p>
        </w:tc>
        <w:tc>
          <w:tcPr>
            <w:tcW w:w="39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0" w:type="pct"/>
            <w:tcBorders>
              <w:top w:val="single" w:sz="4" w:space="0" w:color="auto"/>
              <w:left w:val="nil"/>
              <w:bottom w:val="single" w:sz="4" w:space="0" w:color="auto"/>
              <w:right w:val="single" w:sz="4" w:space="0" w:color="auto"/>
            </w:tcBorders>
            <w:shd w:val="clear" w:color="000000" w:fill="FFFFFF"/>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 </w:t>
            </w:r>
          </w:p>
        </w:tc>
        <w:tc>
          <w:tcPr>
            <w:tcW w:w="604" w:type="pct"/>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lastRenderedPageBreak/>
              <w:t>Fungi</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&gt; 150000</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0</w:t>
            </w:r>
          </w:p>
        </w:tc>
      </w:tr>
      <w:tr w:rsidR="001C55F3" w:rsidRPr="00BE14DD" w:rsidTr="001C55F3">
        <w:trPr>
          <w:trHeight w:val="300"/>
        </w:trPr>
        <w:tc>
          <w:tcPr>
            <w:tcW w:w="453"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sz w:val="16"/>
                <w:szCs w:val="16"/>
                <w:lang w:eastAsia="en-GB"/>
              </w:rPr>
            </w:pPr>
            <w:r w:rsidRPr="00BE14DD">
              <w:rPr>
                <w:rFonts w:eastAsia="Times New Roman" w:cs="Times New Roman"/>
                <w:b/>
                <w:bCs/>
                <w:color w:val="000000"/>
                <w:sz w:val="16"/>
                <w:szCs w:val="16"/>
                <w:lang w:eastAsia="en-GB"/>
              </w:rPr>
              <w:t>Phytoplankton</w:t>
            </w:r>
          </w:p>
        </w:tc>
        <w:tc>
          <w:tcPr>
            <w:tcW w:w="853" w:type="pct"/>
            <w:tcBorders>
              <w:top w:val="nil"/>
              <w:left w:val="nil"/>
              <w:bottom w:val="single" w:sz="4" w:space="0" w:color="auto"/>
              <w:right w:val="single" w:sz="4" w:space="0" w:color="auto"/>
            </w:tcBorders>
            <w:shd w:val="clear" w:color="auto" w:fill="auto"/>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55"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No information</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79"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52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sz w:val="16"/>
                <w:szCs w:val="16"/>
                <w:lang w:eastAsia="en-GB"/>
              </w:rPr>
            </w:pPr>
            <w:r w:rsidRPr="00BE14DD">
              <w:rPr>
                <w:rFonts w:eastAsia="Times New Roman" w:cs="Times New Roman"/>
                <w:color w:val="000000"/>
                <w:sz w:val="16"/>
                <w:szCs w:val="16"/>
                <w:lang w:eastAsia="en-GB"/>
              </w:rPr>
              <w:t>0</w:t>
            </w:r>
          </w:p>
        </w:tc>
        <w:tc>
          <w:tcPr>
            <w:tcW w:w="520" w:type="pct"/>
            <w:tcBorders>
              <w:top w:val="nil"/>
              <w:left w:val="nil"/>
              <w:bottom w:val="single" w:sz="4" w:space="0" w:color="auto"/>
              <w:right w:val="single" w:sz="4" w:space="0" w:color="auto"/>
            </w:tcBorders>
            <w:shd w:val="clear" w:color="000000" w:fill="92D050"/>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number unknown</w:t>
            </w:r>
          </w:p>
        </w:tc>
        <w:tc>
          <w:tcPr>
            <w:tcW w:w="604"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93"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 </w:t>
            </w:r>
          </w:p>
        </w:tc>
        <w:tc>
          <w:tcPr>
            <w:tcW w:w="337"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sz w:val="16"/>
                <w:szCs w:val="16"/>
                <w:lang w:eastAsia="en-GB"/>
              </w:rPr>
            </w:pPr>
            <w:r w:rsidRPr="00BE14DD">
              <w:rPr>
                <w:rFonts w:eastAsia="Times New Roman" w:cs="Times New Roman"/>
                <w:color w:val="000000"/>
                <w:sz w:val="16"/>
                <w:szCs w:val="16"/>
                <w:lang w:eastAsia="en-GB"/>
              </w:rPr>
              <w:t>?</w:t>
            </w:r>
          </w:p>
        </w:tc>
      </w:tr>
    </w:tbl>
    <w:p w:rsidR="001C55F3" w:rsidRDefault="001C55F3" w:rsidP="001C55F3">
      <w:pPr>
        <w:rPr>
          <w:i/>
          <w:szCs w:val="20"/>
        </w:rPr>
      </w:pPr>
    </w:p>
    <w:p w:rsidR="001C55F3" w:rsidRPr="00BE14DD" w:rsidRDefault="001C55F3" w:rsidP="001C55F3">
      <w:pPr>
        <w:rPr>
          <w:i/>
          <w:szCs w:val="20"/>
        </w:rPr>
      </w:pPr>
      <w:r w:rsidRPr="00BE14DD">
        <w:rPr>
          <w:i/>
          <w:szCs w:val="20"/>
        </w:rPr>
        <w:t>Table 2.2 Allocation of Habitat Directive species (II, IV) to various ecosystems (derived from  EEA, 2010, Annex 3). Some species are allocated to more than one ecosystem.</w:t>
      </w:r>
    </w:p>
    <w:tbl>
      <w:tblPr>
        <w:tblW w:w="12540" w:type="dxa"/>
        <w:tblInd w:w="93" w:type="dxa"/>
        <w:tblLook w:val="04A0"/>
      </w:tblPr>
      <w:tblGrid>
        <w:gridCol w:w="3420"/>
        <w:gridCol w:w="1900"/>
        <w:gridCol w:w="960"/>
        <w:gridCol w:w="1180"/>
        <w:gridCol w:w="1620"/>
        <w:gridCol w:w="960"/>
        <w:gridCol w:w="960"/>
        <w:gridCol w:w="1540"/>
      </w:tblGrid>
      <w:tr w:rsidR="001C55F3" w:rsidRPr="00BE14DD" w:rsidTr="001C55F3">
        <w:trPr>
          <w:trHeight w:val="300"/>
        </w:trPr>
        <w:tc>
          <w:tcPr>
            <w:tcW w:w="3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Ecosystem</w:t>
            </w:r>
          </w:p>
        </w:tc>
        <w:tc>
          <w:tcPr>
            <w:tcW w:w="1900" w:type="dxa"/>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Amphibians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fish</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mammals</w:t>
            </w:r>
          </w:p>
        </w:tc>
        <w:tc>
          <w:tcPr>
            <w:tcW w:w="1620" w:type="dxa"/>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invertebrates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plants</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reptiles</w:t>
            </w:r>
          </w:p>
        </w:tc>
        <w:tc>
          <w:tcPr>
            <w:tcW w:w="1540" w:type="dxa"/>
            <w:tcBorders>
              <w:top w:val="single" w:sz="4" w:space="0" w:color="auto"/>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Total species</w:t>
            </w:r>
          </w:p>
        </w:tc>
      </w:tr>
      <w:tr w:rsidR="001C55F3" w:rsidRPr="00BE14DD" w:rsidTr="001C55F3">
        <w:trPr>
          <w:trHeight w:val="300"/>
        </w:trPr>
        <w:tc>
          <w:tcPr>
            <w:tcW w:w="3420" w:type="dxa"/>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Agro- ecosystems</w:t>
            </w:r>
          </w:p>
        </w:tc>
        <w:tc>
          <w:tcPr>
            <w:tcW w:w="190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c>
          <w:tcPr>
            <w:tcW w:w="118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8</w:t>
            </w:r>
          </w:p>
        </w:tc>
        <w:tc>
          <w:tcPr>
            <w:tcW w:w="162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9</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8</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c>
          <w:tcPr>
            <w:tcW w:w="1540" w:type="dxa"/>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27</w:t>
            </w:r>
          </w:p>
        </w:tc>
      </w:tr>
      <w:tr w:rsidR="001C55F3" w:rsidRPr="00BE14DD" w:rsidTr="001C55F3">
        <w:trPr>
          <w:trHeight w:val="300"/>
        </w:trPr>
        <w:tc>
          <w:tcPr>
            <w:tcW w:w="3420" w:type="dxa"/>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Grasslands</w:t>
            </w:r>
          </w:p>
        </w:tc>
        <w:tc>
          <w:tcPr>
            <w:tcW w:w="190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8</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c>
          <w:tcPr>
            <w:tcW w:w="118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23</w:t>
            </w:r>
          </w:p>
        </w:tc>
        <w:tc>
          <w:tcPr>
            <w:tcW w:w="162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56</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131</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26</w:t>
            </w:r>
          </w:p>
        </w:tc>
        <w:tc>
          <w:tcPr>
            <w:tcW w:w="1540" w:type="dxa"/>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244</w:t>
            </w:r>
          </w:p>
        </w:tc>
      </w:tr>
      <w:tr w:rsidR="001C55F3" w:rsidRPr="00BE14DD" w:rsidTr="001C55F3">
        <w:trPr>
          <w:trHeight w:val="300"/>
        </w:trPr>
        <w:tc>
          <w:tcPr>
            <w:tcW w:w="3420" w:type="dxa"/>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heaths &amp; shrubs</w:t>
            </w:r>
          </w:p>
        </w:tc>
        <w:tc>
          <w:tcPr>
            <w:tcW w:w="190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6</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c>
          <w:tcPr>
            <w:tcW w:w="118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28</w:t>
            </w:r>
          </w:p>
        </w:tc>
        <w:tc>
          <w:tcPr>
            <w:tcW w:w="162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28</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70</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35</w:t>
            </w:r>
          </w:p>
        </w:tc>
        <w:tc>
          <w:tcPr>
            <w:tcW w:w="1540" w:type="dxa"/>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167</w:t>
            </w:r>
          </w:p>
        </w:tc>
      </w:tr>
      <w:tr w:rsidR="001C55F3" w:rsidRPr="00BE14DD" w:rsidTr="001C55F3">
        <w:trPr>
          <w:trHeight w:val="300"/>
        </w:trPr>
        <w:tc>
          <w:tcPr>
            <w:tcW w:w="3420" w:type="dxa"/>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forest</w:t>
            </w:r>
          </w:p>
        </w:tc>
        <w:tc>
          <w:tcPr>
            <w:tcW w:w="190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25</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c>
          <w:tcPr>
            <w:tcW w:w="118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41</w:t>
            </w:r>
          </w:p>
        </w:tc>
        <w:tc>
          <w:tcPr>
            <w:tcW w:w="162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50</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73</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10</w:t>
            </w:r>
          </w:p>
        </w:tc>
        <w:tc>
          <w:tcPr>
            <w:tcW w:w="1540" w:type="dxa"/>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199</w:t>
            </w:r>
          </w:p>
        </w:tc>
      </w:tr>
      <w:tr w:rsidR="001C55F3" w:rsidRPr="00BE14DD" w:rsidTr="001C55F3">
        <w:trPr>
          <w:trHeight w:val="300"/>
        </w:trPr>
        <w:tc>
          <w:tcPr>
            <w:tcW w:w="3420" w:type="dxa"/>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wetland</w:t>
            </w:r>
          </w:p>
        </w:tc>
        <w:tc>
          <w:tcPr>
            <w:tcW w:w="190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50</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85</w:t>
            </w:r>
          </w:p>
        </w:tc>
        <w:tc>
          <w:tcPr>
            <w:tcW w:w="118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30</w:t>
            </w:r>
          </w:p>
        </w:tc>
        <w:tc>
          <w:tcPr>
            <w:tcW w:w="162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52</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81</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10</w:t>
            </w:r>
          </w:p>
        </w:tc>
        <w:tc>
          <w:tcPr>
            <w:tcW w:w="1540" w:type="dxa"/>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308</w:t>
            </w:r>
          </w:p>
        </w:tc>
      </w:tr>
      <w:tr w:rsidR="001C55F3" w:rsidRPr="00BE14DD" w:rsidTr="001C55F3">
        <w:trPr>
          <w:trHeight w:val="300"/>
        </w:trPr>
        <w:tc>
          <w:tcPr>
            <w:tcW w:w="3420" w:type="dxa"/>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lakes &amp; rivers</w:t>
            </w:r>
          </w:p>
        </w:tc>
        <w:tc>
          <w:tcPr>
            <w:tcW w:w="190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47</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85</w:t>
            </w:r>
          </w:p>
        </w:tc>
        <w:tc>
          <w:tcPr>
            <w:tcW w:w="118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9</w:t>
            </w:r>
          </w:p>
        </w:tc>
        <w:tc>
          <w:tcPr>
            <w:tcW w:w="162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30</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17</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10</w:t>
            </w:r>
          </w:p>
        </w:tc>
        <w:tc>
          <w:tcPr>
            <w:tcW w:w="1540" w:type="dxa"/>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198</w:t>
            </w:r>
          </w:p>
        </w:tc>
      </w:tr>
      <w:tr w:rsidR="001C55F3" w:rsidRPr="00BE14DD" w:rsidTr="001C55F3">
        <w:trPr>
          <w:trHeight w:val="300"/>
        </w:trPr>
        <w:tc>
          <w:tcPr>
            <w:tcW w:w="3420" w:type="dxa"/>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coastal ecosystems</w:t>
            </w:r>
          </w:p>
        </w:tc>
        <w:tc>
          <w:tcPr>
            <w:tcW w:w="190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16</w:t>
            </w:r>
          </w:p>
        </w:tc>
        <w:tc>
          <w:tcPr>
            <w:tcW w:w="118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10</w:t>
            </w:r>
          </w:p>
        </w:tc>
        <w:tc>
          <w:tcPr>
            <w:tcW w:w="162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15</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97</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12</w:t>
            </w:r>
          </w:p>
        </w:tc>
        <w:tc>
          <w:tcPr>
            <w:tcW w:w="1540" w:type="dxa"/>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150</w:t>
            </w:r>
          </w:p>
        </w:tc>
      </w:tr>
      <w:tr w:rsidR="001C55F3" w:rsidRPr="00BE14DD" w:rsidTr="001C55F3">
        <w:trPr>
          <w:trHeight w:val="300"/>
        </w:trPr>
        <w:tc>
          <w:tcPr>
            <w:tcW w:w="3420" w:type="dxa"/>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marine</w:t>
            </w:r>
          </w:p>
        </w:tc>
        <w:tc>
          <w:tcPr>
            <w:tcW w:w="190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13</w:t>
            </w:r>
          </w:p>
        </w:tc>
        <w:tc>
          <w:tcPr>
            <w:tcW w:w="118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16</w:t>
            </w:r>
          </w:p>
        </w:tc>
        <w:tc>
          <w:tcPr>
            <w:tcW w:w="162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c>
          <w:tcPr>
            <w:tcW w:w="960" w:type="dxa"/>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5</w:t>
            </w:r>
          </w:p>
        </w:tc>
        <w:tc>
          <w:tcPr>
            <w:tcW w:w="1540" w:type="dxa"/>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34</w:t>
            </w:r>
          </w:p>
        </w:tc>
      </w:tr>
    </w:tbl>
    <w:p w:rsidR="001C55F3" w:rsidRPr="00BE14DD" w:rsidRDefault="001C55F3" w:rsidP="001C55F3">
      <w:pPr>
        <w:rPr>
          <w:szCs w:val="20"/>
        </w:rPr>
      </w:pPr>
    </w:p>
    <w:p w:rsidR="001C55F3" w:rsidRPr="00BE14DD" w:rsidRDefault="001C55F3" w:rsidP="001C55F3">
      <w:pPr>
        <w:rPr>
          <w:szCs w:val="20"/>
        </w:rPr>
        <w:sectPr w:rsidR="001C55F3" w:rsidRPr="00BE14DD" w:rsidSect="001C55F3">
          <w:pgSz w:w="16838" w:h="11906" w:orient="landscape"/>
          <w:pgMar w:top="1417" w:right="1417" w:bottom="1417" w:left="1417" w:header="708" w:footer="708" w:gutter="0"/>
          <w:cols w:space="708"/>
          <w:docGrid w:linePitch="360"/>
        </w:sectPr>
      </w:pPr>
    </w:p>
    <w:p w:rsidR="001C55F3" w:rsidRPr="000F5D6E" w:rsidRDefault="001C55F3" w:rsidP="001C55F3">
      <w:pPr>
        <w:spacing w:line="240" w:lineRule="auto"/>
      </w:pPr>
      <w:r w:rsidRPr="000F5D6E">
        <w:lastRenderedPageBreak/>
        <w:t xml:space="preserve">Tucker and Evans (1997) classified bird species of European Conservation Concern to the following eight habitats as ‘specialists of that habitat’: marine; coastal; inland wetland; tundra, mires and moorland; lowland atlantic heathland; boreal and temperate forests; Mediterranean forest, shrubland and rocky habitats; agricultural and grassland (excluding montane grassland). In their classification they did assess how important the various habitats are for species, indicating which part of the EU population is using a particular habitat. In the framework of the project  no overview could be found providing information on the indicator values of all species listed on the Bird Directive or an overview linking these species to specific ecosystems. The overview might be prepared on the basis of the information gathered for the Tucker and Evans publication. </w:t>
      </w:r>
    </w:p>
    <w:p w:rsidR="001C55F3" w:rsidRPr="000F5D6E" w:rsidRDefault="001C55F3" w:rsidP="001C55F3">
      <w:pPr>
        <w:spacing w:line="240" w:lineRule="auto"/>
      </w:pPr>
      <w:r w:rsidRPr="000F5D6E">
        <w:t xml:space="preserve">In the indicator developed for the SEBI 2010 reporting a selected group of 135 bird species has been used. </w:t>
      </w:r>
    </w:p>
    <w:p w:rsidR="001C55F3" w:rsidRPr="000F5D6E" w:rsidRDefault="001C55F3" w:rsidP="001C55F3">
      <w:pPr>
        <w:spacing w:line="240" w:lineRule="auto"/>
      </w:pPr>
      <w:r w:rsidRPr="000F5D6E">
        <w:t>The New Biogeographical Process, initiated by the EC in December 2011, is designed to improve management of Natura 2000 as a collective effort between Member States. The ‘Background Document’ that supports each biogeographical cycle includes priority habitats and habitat groups with accompanying lists of habitat related species. The bird species in each list have been assembled using expert input from the individual MS and key international NGOs (such as Birdlife International) and the main scientific institutions”. It is recommended that these list are reviewed for further determining possible indicator species for the various ecosystems distinguished in the MAES process.</w:t>
      </w:r>
    </w:p>
    <w:p w:rsidR="001C55F3" w:rsidRPr="00BE14DD" w:rsidRDefault="001C55F3" w:rsidP="001C55F3">
      <w:pPr>
        <w:rPr>
          <w:szCs w:val="20"/>
        </w:rPr>
      </w:pPr>
    </w:p>
    <w:p w:rsidR="001C55F3" w:rsidRPr="00BE14DD" w:rsidRDefault="001C55F3" w:rsidP="001C55F3">
      <w:pPr>
        <w:pStyle w:val="Titre2"/>
        <w:rPr>
          <w:rFonts w:asciiTheme="minorHAnsi" w:hAnsiTheme="minorHAnsi"/>
        </w:rPr>
      </w:pPr>
      <w:r w:rsidRPr="00BE14DD">
        <w:rPr>
          <w:rFonts w:asciiTheme="minorHAnsi" w:hAnsiTheme="minorHAnsi"/>
        </w:rPr>
        <w:t>References</w:t>
      </w:r>
    </w:p>
    <w:p w:rsidR="001C55F3" w:rsidRPr="000F5D6E" w:rsidRDefault="001C55F3" w:rsidP="001C55F3">
      <w:pPr>
        <w:spacing w:line="240" w:lineRule="auto"/>
        <w:ind w:left="720" w:hanging="720"/>
      </w:pPr>
      <w:r w:rsidRPr="001C55F3">
        <w:rPr>
          <w:lang w:val="en-US"/>
        </w:rPr>
        <w:t xml:space="preserve">Carignan, V., Villard, M.A., 2002. </w:t>
      </w:r>
      <w:r w:rsidRPr="000F5D6E">
        <w:t>Selecting indicator species to monitor ecological integrity: A review. Environmental Monitoring and Assessment 78, 45-61.</w:t>
      </w:r>
    </w:p>
    <w:p w:rsidR="001C55F3" w:rsidRPr="000F5D6E" w:rsidRDefault="001C55F3" w:rsidP="001C55F3">
      <w:pPr>
        <w:spacing w:line="240" w:lineRule="auto"/>
        <w:ind w:left="720" w:hanging="720"/>
      </w:pPr>
      <w:r w:rsidRPr="000F5D6E">
        <w:t>EEA, 2010. EU 2010 biodiversity baseline. Technical report  No 12/2010. Luxembourg: Office for Official Publications of the European Union.</w:t>
      </w:r>
    </w:p>
    <w:p w:rsidR="001C55F3" w:rsidRPr="000F5D6E" w:rsidRDefault="001C55F3" w:rsidP="001C55F3">
      <w:pPr>
        <w:spacing w:line="240" w:lineRule="auto"/>
        <w:ind w:left="720" w:hanging="720"/>
      </w:pPr>
      <w:r w:rsidRPr="000F5D6E">
        <w:t xml:space="preserve">Eglington, S.M., Noble, D.G., Fuller, R.J., 2012. A meta-analysis of spatial relationships in species richness across taxa: Birds as indicators of wider biodiversity in temperate regions. Journal for Nature Conservation. Volume: 20   Issue: 5   Pages: 301-309  </w:t>
      </w:r>
    </w:p>
    <w:p w:rsidR="001C55F3" w:rsidRPr="000F5D6E" w:rsidRDefault="001C55F3" w:rsidP="001C55F3">
      <w:pPr>
        <w:spacing w:line="240" w:lineRule="auto"/>
        <w:ind w:left="720" w:hanging="720"/>
      </w:pPr>
      <w:r w:rsidRPr="000F5D6E">
        <w:rPr>
          <w:lang w:val="de-DE"/>
        </w:rPr>
        <w:t xml:space="preserve">Henle, K , Bauch, B , Auliya, M  Kulvik, M,  Pe'er, G,  Schmeller, DS,&amp; Framstad, E,  2013. </w:t>
      </w:r>
      <w:r w:rsidRPr="000F5D6E">
        <w:t xml:space="preserve">Priorities for biodiversity monitoring in Europe: A review of supranational policies and a novel scheme for integrative prioritization. ECOLOGICAL INDICATORS  Volume: 33   5-18.   </w:t>
      </w:r>
    </w:p>
    <w:p w:rsidR="001C55F3" w:rsidRPr="000F5D6E" w:rsidRDefault="001C55F3" w:rsidP="001C55F3">
      <w:pPr>
        <w:spacing w:line="240" w:lineRule="auto"/>
        <w:ind w:left="720" w:hanging="720"/>
      </w:pPr>
      <w:r w:rsidRPr="000F5D6E">
        <w:t xml:space="preserve">Landres P.B, J. Verner and J.W. Thomas, 1988. Ecological use of vertebrate indicator species: a critique. Conservation Biology 77: 203-212. </w:t>
      </w:r>
    </w:p>
    <w:p w:rsidR="001C55F3" w:rsidRPr="000F5D6E" w:rsidRDefault="001C55F3" w:rsidP="001C55F3">
      <w:pPr>
        <w:spacing w:line="240" w:lineRule="auto"/>
        <w:ind w:left="720" w:hanging="720"/>
      </w:pPr>
      <w:r w:rsidRPr="000F5D6E">
        <w:t xml:space="preserve">Lindenmayer, David B.; C.R. Margules, D.B. Botkin (2000). "Indicators of Biodiversity for Ecologically Sustainable Forest Management" (PDF). Conservation Biology 14 (4): 941–950. </w:t>
      </w:r>
    </w:p>
    <w:p w:rsidR="001C55F3" w:rsidRPr="000F5D6E" w:rsidRDefault="001C55F3" w:rsidP="001C55F3">
      <w:pPr>
        <w:spacing w:line="240" w:lineRule="auto"/>
        <w:ind w:left="720" w:hanging="720"/>
      </w:pPr>
      <w:r w:rsidRPr="000F5D6E">
        <w:t>Tucker G.M and Evans M.I, 1997. Habitats for Birds in Europe. A conservation strategy for the wider environment. Cambridge UK: Birdlife International (Birdlife conservation series no. 6)</w:t>
      </w:r>
    </w:p>
    <w:p w:rsidR="001C55F3" w:rsidRPr="000F5D6E" w:rsidRDefault="001C55F3" w:rsidP="001C55F3">
      <w:pPr>
        <w:spacing w:line="240" w:lineRule="auto"/>
        <w:ind w:left="720" w:hanging="720"/>
      </w:pPr>
      <w:r w:rsidRPr="000F5D6E">
        <w:t>Wolters, V., Bengtsson, J., Zaitsev, A.S., 2006. Relationship among the species richness of different taxa. Ecology 87, 1886-1895.</w:t>
      </w:r>
    </w:p>
    <w:p w:rsidR="001C55F3" w:rsidRPr="00BE14DD" w:rsidRDefault="001C55F3" w:rsidP="001C55F3">
      <w:pPr>
        <w:rPr>
          <w:szCs w:val="20"/>
        </w:rPr>
        <w:sectPr w:rsidR="001C55F3" w:rsidRPr="00BE14DD" w:rsidSect="001C55F3">
          <w:pgSz w:w="11906" w:h="16838"/>
          <w:pgMar w:top="1417" w:right="1417" w:bottom="1417" w:left="1417" w:header="708" w:footer="708" w:gutter="0"/>
          <w:cols w:space="708"/>
          <w:docGrid w:linePitch="360"/>
        </w:sectPr>
      </w:pPr>
    </w:p>
    <w:p w:rsidR="001C55F3" w:rsidRPr="000F5D6E" w:rsidRDefault="001C55F3" w:rsidP="00622218">
      <w:pPr>
        <w:pStyle w:val="Titre1"/>
        <w:numPr>
          <w:ilvl w:val="0"/>
          <w:numId w:val="109"/>
        </w:numPr>
        <w:rPr>
          <w:rFonts w:asciiTheme="minorHAnsi" w:hAnsiTheme="minorHAnsi"/>
          <w:sz w:val="36"/>
          <w:szCs w:val="36"/>
        </w:rPr>
      </w:pPr>
      <w:bookmarkStart w:id="27" w:name="_Toc356484293"/>
      <w:r w:rsidRPr="000F5D6E">
        <w:rPr>
          <w:rFonts w:asciiTheme="minorHAnsi" w:hAnsiTheme="minorHAnsi"/>
          <w:sz w:val="36"/>
          <w:szCs w:val="36"/>
        </w:rPr>
        <w:lastRenderedPageBreak/>
        <w:t xml:space="preserve">Methodology used to report on the state of biodiversity under four EU </w:t>
      </w:r>
      <w:bookmarkEnd w:id="27"/>
      <w:r w:rsidRPr="000F5D6E">
        <w:rPr>
          <w:rFonts w:asciiTheme="minorHAnsi" w:hAnsiTheme="minorHAnsi"/>
          <w:sz w:val="36"/>
          <w:szCs w:val="36"/>
        </w:rPr>
        <w:t xml:space="preserve">Directives </w:t>
      </w:r>
    </w:p>
    <w:p w:rsidR="001C55F3" w:rsidRPr="00BE14DD" w:rsidRDefault="001C55F3" w:rsidP="001C55F3">
      <w:pPr>
        <w:pStyle w:val="Titre2"/>
        <w:rPr>
          <w:rFonts w:asciiTheme="minorHAnsi" w:hAnsiTheme="minorHAnsi"/>
        </w:rPr>
      </w:pPr>
      <w:bookmarkStart w:id="28" w:name="_Toc356484294"/>
      <w:r w:rsidRPr="00BE14DD">
        <w:rPr>
          <w:rFonts w:asciiTheme="minorHAnsi" w:hAnsiTheme="minorHAnsi"/>
        </w:rPr>
        <w:t>3.1 Birds &amp; Habitats Directive</w:t>
      </w:r>
      <w:bookmarkEnd w:id="28"/>
    </w:p>
    <w:p w:rsidR="001C55F3" w:rsidRPr="000F5D6E" w:rsidRDefault="001C55F3" w:rsidP="001C55F3">
      <w:pPr>
        <w:spacing w:line="240" w:lineRule="auto"/>
        <w:rPr>
          <w:u w:val="single"/>
        </w:rPr>
      </w:pPr>
      <w:r w:rsidRPr="000F5D6E">
        <w:rPr>
          <w:u w:val="single"/>
        </w:rPr>
        <w:t xml:space="preserve">History of reporting </w:t>
      </w:r>
    </w:p>
    <w:p w:rsidR="001C55F3" w:rsidRPr="000F5D6E" w:rsidRDefault="001C55F3" w:rsidP="001C55F3">
      <w:pPr>
        <w:spacing w:line="240" w:lineRule="auto"/>
      </w:pPr>
      <w:r w:rsidRPr="000F5D6E">
        <w:t>The Birds Directive (Directive 2009/147/EC) together with the Habitats Directive form the cornerstones of the European Union’s nature conservation policy. The Birds Directive is the oldest piece of EU nature legislation and creates a comprehensive scheme for the protection of wild birds that occur naturally in the EU. Article 12 of the Birds Directive states that Member States shall forward a report to the Commission on the implementation of national provisions taken thereunder every three years. The Commission then shall prepare a composite report based on the information provided by the Member states. The first report on bird populations will cover the period 2008-2012 and is expected by the end of 2013. Until 2008 the reporting under Article 12 mainly reflected the legal transposition and technical implementation of the BD at the national level. However, since 2008 it was agreed to start exploring a new system of bird reporting to deliver data on the state and trends of bird populations similar to the reporting under Article 17 of the Habitats Directive. This will also imply a change from a 3-year to a 6-year reporting cycle.</w:t>
      </w:r>
    </w:p>
    <w:p w:rsidR="001C55F3" w:rsidRPr="000F5D6E" w:rsidRDefault="001C55F3" w:rsidP="001C55F3">
      <w:pPr>
        <w:spacing w:line="240" w:lineRule="auto"/>
      </w:pPr>
      <w:r w:rsidRPr="000F5D6E">
        <w:t>The Habitats Directive (Council Directive 92/43/EEC) is built around two pillars: the Natura 2000 network of protected sites and a strict system of species protection. Article 17 of the Habitats Directive states that Member States have to report every six years about the progress made with the implementation of the Directive. The reporting focuses mainly on the conservation status of habitat types and species of community interest. The Commission prepares a composite report based on the information provided by Member States. The first reporting period (1994-2000) focused on the legal transposition and implementation of the directive, progress in establishing the Natura 2000 network and administrative aspects. The second reporting period (2001-2006) was the first assessment of conservation status based on best available data; the first composite report compiling this information was adopted in July 2009. The third reporting period (2007-2012) includes a renewed assessment of conservation status, based on established monitoring system; and the assessment of the effectiveness of measures taken for the Natura 2000 network under the directive. National reports are due in 2013.</w:t>
      </w:r>
    </w:p>
    <w:p w:rsidR="001C55F3" w:rsidRPr="000F5D6E" w:rsidRDefault="001C55F3" w:rsidP="001C55F3">
      <w:pPr>
        <w:tabs>
          <w:tab w:val="center" w:pos="4536"/>
        </w:tabs>
        <w:spacing w:line="240" w:lineRule="auto"/>
        <w:rPr>
          <w:u w:val="single"/>
        </w:rPr>
      </w:pPr>
      <w:r w:rsidRPr="000F5D6E">
        <w:rPr>
          <w:u w:val="single"/>
        </w:rPr>
        <w:t xml:space="preserve">EU methodology </w:t>
      </w:r>
    </w:p>
    <w:p w:rsidR="001C55F3" w:rsidRPr="000F5D6E" w:rsidRDefault="001C55F3" w:rsidP="001C55F3">
      <w:pPr>
        <w:spacing w:after="0" w:line="240" w:lineRule="auto"/>
      </w:pPr>
      <w:r w:rsidRPr="000F5D6E">
        <w:t>The species-wise report format for the BD includes the following topics:</w:t>
      </w:r>
    </w:p>
    <w:p w:rsidR="001C55F3" w:rsidRPr="000F5D6E" w:rsidRDefault="001C55F3" w:rsidP="00622218">
      <w:pPr>
        <w:pStyle w:val="Paragraphedeliste"/>
        <w:numPr>
          <w:ilvl w:val="0"/>
          <w:numId w:val="96"/>
        </w:numPr>
        <w:spacing w:line="240" w:lineRule="auto"/>
      </w:pPr>
      <w:r w:rsidRPr="000F5D6E">
        <w:t>Species information</w:t>
      </w:r>
    </w:p>
    <w:p w:rsidR="001C55F3" w:rsidRPr="000F5D6E" w:rsidRDefault="001C55F3" w:rsidP="00622218">
      <w:pPr>
        <w:pStyle w:val="Paragraphedeliste"/>
        <w:numPr>
          <w:ilvl w:val="0"/>
          <w:numId w:val="96"/>
        </w:numPr>
        <w:spacing w:line="240" w:lineRule="auto"/>
      </w:pPr>
      <w:r w:rsidRPr="000F5D6E">
        <w:t>Population size</w:t>
      </w:r>
    </w:p>
    <w:p w:rsidR="001C55F3" w:rsidRPr="000F5D6E" w:rsidRDefault="001C55F3" w:rsidP="00622218">
      <w:pPr>
        <w:pStyle w:val="Paragraphedeliste"/>
        <w:numPr>
          <w:ilvl w:val="0"/>
          <w:numId w:val="96"/>
        </w:numPr>
        <w:spacing w:line="240" w:lineRule="auto"/>
      </w:pPr>
      <w:r w:rsidRPr="000F5D6E">
        <w:t>Population trend</w:t>
      </w:r>
    </w:p>
    <w:p w:rsidR="001C55F3" w:rsidRPr="000F5D6E" w:rsidRDefault="001C55F3" w:rsidP="00622218">
      <w:pPr>
        <w:pStyle w:val="Paragraphedeliste"/>
        <w:numPr>
          <w:ilvl w:val="0"/>
          <w:numId w:val="96"/>
        </w:numPr>
        <w:spacing w:line="240" w:lineRule="auto"/>
      </w:pPr>
      <w:r w:rsidRPr="000F5D6E">
        <w:t>Breeding distribution map and range size</w:t>
      </w:r>
    </w:p>
    <w:p w:rsidR="001C55F3" w:rsidRPr="000F5D6E" w:rsidRDefault="001C55F3" w:rsidP="00622218">
      <w:pPr>
        <w:pStyle w:val="Paragraphedeliste"/>
        <w:numPr>
          <w:ilvl w:val="0"/>
          <w:numId w:val="96"/>
        </w:numPr>
        <w:spacing w:line="240" w:lineRule="auto"/>
      </w:pPr>
      <w:r w:rsidRPr="000F5D6E">
        <w:t>Breeding range trend</w:t>
      </w:r>
    </w:p>
    <w:p w:rsidR="001C55F3" w:rsidRPr="000F5D6E" w:rsidRDefault="001C55F3" w:rsidP="00622218">
      <w:pPr>
        <w:pStyle w:val="Paragraphedeliste"/>
        <w:numPr>
          <w:ilvl w:val="0"/>
          <w:numId w:val="96"/>
        </w:numPr>
        <w:spacing w:line="240" w:lineRule="auto"/>
      </w:pPr>
      <w:r w:rsidRPr="000F5D6E">
        <w:t>Progress in work related to international Species Action Plans, Management Plans, and Brief Management Statements</w:t>
      </w:r>
    </w:p>
    <w:p w:rsidR="001C55F3" w:rsidRPr="000F5D6E" w:rsidRDefault="001C55F3" w:rsidP="00622218">
      <w:pPr>
        <w:pStyle w:val="Paragraphedeliste"/>
        <w:numPr>
          <w:ilvl w:val="0"/>
          <w:numId w:val="96"/>
        </w:numPr>
        <w:spacing w:line="240" w:lineRule="auto"/>
      </w:pPr>
      <w:r w:rsidRPr="000F5D6E">
        <w:t>Main pressures and threats</w:t>
      </w:r>
    </w:p>
    <w:p w:rsidR="001C55F3" w:rsidRPr="000F5D6E" w:rsidRDefault="001C55F3" w:rsidP="00622218">
      <w:pPr>
        <w:pStyle w:val="Paragraphedeliste"/>
        <w:numPr>
          <w:ilvl w:val="0"/>
          <w:numId w:val="96"/>
        </w:numPr>
        <w:spacing w:line="240" w:lineRule="auto"/>
      </w:pPr>
      <w:r w:rsidRPr="000F5D6E">
        <w:t>Special Protection Areas coverage and conservation measures</w:t>
      </w:r>
    </w:p>
    <w:p w:rsidR="001C55F3" w:rsidRPr="000F5D6E" w:rsidRDefault="001C55F3" w:rsidP="001C55F3">
      <w:pPr>
        <w:spacing w:line="240" w:lineRule="auto"/>
      </w:pPr>
      <w:r w:rsidRPr="000F5D6E">
        <w:t>Sections 1 to 5 should be completed for all species and in the relevant seasons.</w:t>
      </w:r>
    </w:p>
    <w:p w:rsidR="001C55F3" w:rsidRPr="000F5D6E" w:rsidRDefault="001C55F3" w:rsidP="001C55F3">
      <w:pPr>
        <w:spacing w:line="240" w:lineRule="auto"/>
      </w:pPr>
      <w:r w:rsidRPr="000F5D6E">
        <w:t xml:space="preserve">For the population size, the type of estimate  and the method used are requested. A judgement of the quality of the data provided combining reliability, time it was made and method used should be </w:t>
      </w:r>
      <w:r w:rsidRPr="000F5D6E">
        <w:lastRenderedPageBreak/>
        <w:t xml:space="preserve">provided. Short-term trends (last 12 years) and long term trends (since 1980) should be reported for population trend and breeding range trend, including the direction and magnitude. </w:t>
      </w:r>
    </w:p>
    <w:p w:rsidR="001C55F3" w:rsidRPr="000F5D6E" w:rsidRDefault="001C55F3" w:rsidP="001C55F3">
      <w:pPr>
        <w:spacing w:line="240" w:lineRule="auto"/>
      </w:pPr>
      <w:r w:rsidRPr="000F5D6E">
        <w:t xml:space="preserve">For the Habitats Directive, conservation status was assessed using a standard methodology which was to facilitate aggregation and comparisons between Member States and biogeographical regions. Conservation status is assessed as being ‘favourable’, ‘unfavourable-inadequate’, ‘unfavourable-bad’ and ‘unknown’ based on four parameters. </w:t>
      </w:r>
    </w:p>
    <w:p w:rsidR="001C55F3" w:rsidRPr="000F5D6E" w:rsidRDefault="001C55F3" w:rsidP="001C55F3">
      <w:pPr>
        <w:spacing w:after="0" w:line="240" w:lineRule="auto"/>
      </w:pPr>
      <w:r w:rsidRPr="000F5D6E">
        <w:t xml:space="preserve">The parameters for habitats are: </w:t>
      </w:r>
    </w:p>
    <w:p w:rsidR="001C55F3" w:rsidRPr="000F5D6E" w:rsidRDefault="001C55F3" w:rsidP="00622218">
      <w:pPr>
        <w:pStyle w:val="Paragraphedeliste"/>
        <w:numPr>
          <w:ilvl w:val="0"/>
          <w:numId w:val="97"/>
        </w:numPr>
        <w:spacing w:line="240" w:lineRule="auto"/>
      </w:pPr>
      <w:r w:rsidRPr="000F5D6E">
        <w:t>range,</w:t>
      </w:r>
    </w:p>
    <w:p w:rsidR="001C55F3" w:rsidRPr="000F5D6E" w:rsidRDefault="001C55F3" w:rsidP="00622218">
      <w:pPr>
        <w:pStyle w:val="Paragraphedeliste"/>
        <w:numPr>
          <w:ilvl w:val="0"/>
          <w:numId w:val="97"/>
        </w:numPr>
        <w:spacing w:line="240" w:lineRule="auto"/>
      </w:pPr>
      <w:r w:rsidRPr="000F5D6E">
        <w:t xml:space="preserve">area, </w:t>
      </w:r>
    </w:p>
    <w:p w:rsidR="001C55F3" w:rsidRPr="000F5D6E" w:rsidRDefault="001C55F3" w:rsidP="00622218">
      <w:pPr>
        <w:pStyle w:val="Paragraphedeliste"/>
        <w:numPr>
          <w:ilvl w:val="0"/>
          <w:numId w:val="97"/>
        </w:numPr>
        <w:spacing w:line="240" w:lineRule="auto"/>
      </w:pPr>
      <w:r w:rsidRPr="000F5D6E">
        <w:t>structure and functions</w:t>
      </w:r>
    </w:p>
    <w:p w:rsidR="001C55F3" w:rsidRPr="000F5D6E" w:rsidRDefault="001C55F3" w:rsidP="00622218">
      <w:pPr>
        <w:pStyle w:val="Paragraphedeliste"/>
        <w:numPr>
          <w:ilvl w:val="0"/>
          <w:numId w:val="97"/>
        </w:numPr>
        <w:spacing w:line="240" w:lineRule="auto"/>
      </w:pPr>
      <w:r w:rsidRPr="000F5D6E">
        <w:t xml:space="preserve">future prospects. </w:t>
      </w:r>
    </w:p>
    <w:p w:rsidR="001C55F3" w:rsidRPr="000F5D6E" w:rsidRDefault="001C55F3" w:rsidP="001C55F3">
      <w:pPr>
        <w:spacing w:after="0" w:line="240" w:lineRule="auto"/>
      </w:pPr>
      <w:r w:rsidRPr="000F5D6E">
        <w:t xml:space="preserve">In the case of species the parameters are: </w:t>
      </w:r>
    </w:p>
    <w:p w:rsidR="001C55F3" w:rsidRPr="000F5D6E" w:rsidRDefault="001C55F3" w:rsidP="00622218">
      <w:pPr>
        <w:pStyle w:val="Paragraphedeliste"/>
        <w:numPr>
          <w:ilvl w:val="0"/>
          <w:numId w:val="98"/>
        </w:numPr>
        <w:spacing w:line="240" w:lineRule="auto"/>
      </w:pPr>
      <w:r w:rsidRPr="000F5D6E">
        <w:t xml:space="preserve">range, </w:t>
      </w:r>
    </w:p>
    <w:p w:rsidR="001C55F3" w:rsidRPr="000F5D6E" w:rsidRDefault="001C55F3" w:rsidP="00622218">
      <w:pPr>
        <w:pStyle w:val="Paragraphedeliste"/>
        <w:numPr>
          <w:ilvl w:val="0"/>
          <w:numId w:val="98"/>
        </w:numPr>
        <w:spacing w:line="240" w:lineRule="auto"/>
      </w:pPr>
      <w:r w:rsidRPr="000F5D6E">
        <w:t xml:space="preserve">population, </w:t>
      </w:r>
    </w:p>
    <w:p w:rsidR="001C55F3" w:rsidRPr="000F5D6E" w:rsidRDefault="001C55F3" w:rsidP="00622218">
      <w:pPr>
        <w:pStyle w:val="Paragraphedeliste"/>
        <w:numPr>
          <w:ilvl w:val="0"/>
          <w:numId w:val="98"/>
        </w:numPr>
        <w:spacing w:line="240" w:lineRule="auto"/>
      </w:pPr>
      <w:r w:rsidRPr="000F5D6E">
        <w:t>habitat of species</w:t>
      </w:r>
    </w:p>
    <w:p w:rsidR="001C55F3" w:rsidRPr="000F5D6E" w:rsidRDefault="001C55F3" w:rsidP="00622218">
      <w:pPr>
        <w:pStyle w:val="Paragraphedeliste"/>
        <w:numPr>
          <w:ilvl w:val="0"/>
          <w:numId w:val="98"/>
        </w:numPr>
        <w:spacing w:line="240" w:lineRule="auto"/>
      </w:pPr>
      <w:r w:rsidRPr="000F5D6E">
        <w:t xml:space="preserve">future prospects. </w:t>
      </w:r>
    </w:p>
    <w:p w:rsidR="001C55F3" w:rsidRPr="000F5D6E" w:rsidRDefault="001C55F3" w:rsidP="001C55F3">
      <w:pPr>
        <w:spacing w:line="240" w:lineRule="auto"/>
      </w:pPr>
      <w:r w:rsidRPr="000F5D6E">
        <w:t>The assessments of the four parameters were combined following an agreed method to give an overall assessment of conservation status. A separate assessment was carried out for each biogeographical region present in a Member State.</w:t>
      </w:r>
    </w:p>
    <w:p w:rsidR="001C55F3" w:rsidRPr="000F5D6E" w:rsidRDefault="001C55F3" w:rsidP="001C55F3">
      <w:pPr>
        <w:spacing w:line="240" w:lineRule="auto"/>
      </w:pPr>
      <w:r w:rsidRPr="000F5D6E">
        <w:t>The overall conservation status can only be ‘favourable’ if the status of all four parameters are ‘favourable’, or if three are ‘favourable’ and the fourth is ‘unknown’. If any of the parameters is ‘unfavourable-inadequate’ or ‘unfavourable-bad’ the overall conservation status is ‘unfavourable-inadequate’ or ‘unfavourable-bad’. An assessment as ‘unfavourable-bad’ indicates a critical situation.</w:t>
      </w:r>
    </w:p>
    <w:p w:rsidR="001C55F3" w:rsidRPr="00BE14DD" w:rsidRDefault="001C55F3" w:rsidP="001C55F3">
      <w:pPr>
        <w:pStyle w:val="Titre2"/>
        <w:rPr>
          <w:rFonts w:asciiTheme="minorHAnsi" w:hAnsiTheme="minorHAnsi"/>
        </w:rPr>
      </w:pPr>
      <w:bookmarkStart w:id="29" w:name="_Toc356484295"/>
      <w:r w:rsidRPr="00BE14DD">
        <w:rPr>
          <w:rFonts w:asciiTheme="minorHAnsi" w:hAnsiTheme="minorHAnsi"/>
        </w:rPr>
        <w:t>3.2 Water Framework Directive</w:t>
      </w:r>
      <w:bookmarkEnd w:id="29"/>
    </w:p>
    <w:p w:rsidR="001C55F3" w:rsidRPr="000F5D6E" w:rsidRDefault="001C55F3" w:rsidP="001C55F3">
      <w:pPr>
        <w:spacing w:line="240" w:lineRule="auto"/>
        <w:rPr>
          <w:u w:val="single"/>
        </w:rPr>
      </w:pPr>
      <w:r w:rsidRPr="000F5D6E">
        <w:rPr>
          <w:u w:val="single"/>
        </w:rPr>
        <w:t>History of reporting under the Directive</w:t>
      </w:r>
    </w:p>
    <w:p w:rsidR="001C55F3" w:rsidRPr="000F5D6E" w:rsidRDefault="001C55F3" w:rsidP="001C55F3">
      <w:pPr>
        <w:spacing w:line="240" w:lineRule="auto"/>
        <w:rPr>
          <w:b/>
        </w:rPr>
      </w:pPr>
      <w:r w:rsidRPr="000F5D6E">
        <w:t>As part of the Water Framework Directive the EC reports at least every 6 years on the progress made in the implementation of the Directive. Under the WFD Member states have to draft river basin management plans. As part of the river basin management plans an assessment of the ecological status of the various water bodies needs to be undertaken by each Member State.  As the methodology to assess good ecological status differs in the various EU Member States a process of intercalibration is taking place. In this process EU Member States exchange on the methods used to assess good ecological status under the Directive.</w:t>
      </w:r>
    </w:p>
    <w:p w:rsidR="001C55F3" w:rsidRPr="000F5D6E" w:rsidRDefault="001C55F3" w:rsidP="001C55F3">
      <w:pPr>
        <w:spacing w:line="240" w:lineRule="auto"/>
      </w:pPr>
      <w:r w:rsidRPr="000F5D6E">
        <w:t xml:space="preserve">The intercalibration technical reports – including descriptions of all national methods are currently being compiled by JRC. </w:t>
      </w:r>
    </w:p>
    <w:p w:rsidR="001C55F3" w:rsidRPr="000F5D6E" w:rsidRDefault="001C55F3" w:rsidP="001C55F3">
      <w:pPr>
        <w:spacing w:line="240" w:lineRule="auto"/>
        <w:rPr>
          <w:u w:val="single"/>
        </w:rPr>
      </w:pPr>
      <w:r w:rsidRPr="000F5D6E">
        <w:rPr>
          <w:u w:val="single"/>
        </w:rPr>
        <w:t>EU methodology</w:t>
      </w:r>
    </w:p>
    <w:p w:rsidR="001C55F3" w:rsidRPr="000F5D6E" w:rsidRDefault="001C55F3" w:rsidP="001C55F3">
      <w:pPr>
        <w:spacing w:line="240" w:lineRule="auto"/>
      </w:pPr>
      <w:r w:rsidRPr="000F5D6E">
        <w:t>Compared to the monitoring under the Habitats Directive no standardised European methodology is being applied so far. At present there is an intercalibration process on-going to streamline the monitoring and assessment under the WFD. The intercalibration technical reports currently drafted by JRC will provide information on the exact methods applied to determine ecological status as well as the species groups used.</w:t>
      </w:r>
    </w:p>
    <w:p w:rsidR="001C55F3" w:rsidRPr="000F5D6E" w:rsidRDefault="001C55F3" w:rsidP="001C55F3">
      <w:pPr>
        <w:spacing w:after="0" w:line="240" w:lineRule="auto"/>
      </w:pPr>
      <w:r w:rsidRPr="000F5D6E">
        <w:t>In the WFD 4 major ecosystems are distinguished being</w:t>
      </w:r>
    </w:p>
    <w:p w:rsidR="001C55F3" w:rsidRPr="000F5D6E" w:rsidRDefault="001C55F3" w:rsidP="001C55F3">
      <w:pPr>
        <w:spacing w:after="0" w:line="240" w:lineRule="auto"/>
      </w:pPr>
      <w:r w:rsidRPr="000F5D6E">
        <w:t>* rivers</w:t>
      </w:r>
    </w:p>
    <w:p w:rsidR="001C55F3" w:rsidRPr="000F5D6E" w:rsidRDefault="001C55F3" w:rsidP="001C55F3">
      <w:pPr>
        <w:spacing w:after="0" w:line="240" w:lineRule="auto"/>
      </w:pPr>
      <w:r w:rsidRPr="000F5D6E">
        <w:t>* lakes</w:t>
      </w:r>
    </w:p>
    <w:p w:rsidR="001C55F3" w:rsidRPr="000F5D6E" w:rsidRDefault="001C55F3" w:rsidP="001C55F3">
      <w:pPr>
        <w:spacing w:after="0" w:line="240" w:lineRule="auto"/>
      </w:pPr>
      <w:r w:rsidRPr="000F5D6E">
        <w:lastRenderedPageBreak/>
        <w:t>* transitional water</w:t>
      </w:r>
    </w:p>
    <w:p w:rsidR="001C55F3" w:rsidRPr="000F5D6E" w:rsidRDefault="001C55F3" w:rsidP="001C55F3">
      <w:pPr>
        <w:spacing w:after="0" w:line="240" w:lineRule="auto"/>
      </w:pPr>
      <w:r w:rsidRPr="000F5D6E">
        <w:t>* coastal waters</w:t>
      </w:r>
    </w:p>
    <w:p w:rsidR="001C55F3" w:rsidRPr="000F5D6E" w:rsidRDefault="001C55F3" w:rsidP="001C55F3">
      <w:pPr>
        <w:spacing w:after="0" w:line="240" w:lineRule="auto"/>
      </w:pPr>
    </w:p>
    <w:p w:rsidR="001C55F3" w:rsidRPr="000F5D6E" w:rsidRDefault="001C55F3" w:rsidP="001C55F3">
      <w:pPr>
        <w:spacing w:line="240" w:lineRule="auto"/>
      </w:pPr>
      <w:r w:rsidRPr="000F5D6E">
        <w:t>The assessment of the state of the ecosystem needs to be based on three aspects being (physic</w:t>
      </w:r>
      <w:r>
        <w:t>o</w:t>
      </w:r>
      <w:r w:rsidRPr="000F5D6E">
        <w:t xml:space="preserve">-)chemical, hydromorphological and biological. </w:t>
      </w:r>
    </w:p>
    <w:p w:rsidR="001C55F3" w:rsidRPr="000F5D6E" w:rsidRDefault="001C55F3" w:rsidP="001C55F3">
      <w:pPr>
        <w:spacing w:after="0" w:line="240" w:lineRule="auto"/>
      </w:pPr>
      <w:r w:rsidRPr="000F5D6E">
        <w:t>In the guidelines (EC, 2003) measuring of the following groups and parameters is recommended in order to assess the ecological state of the waterbodies:</w:t>
      </w:r>
    </w:p>
    <w:p w:rsidR="001C55F3" w:rsidRPr="000F5D6E" w:rsidRDefault="001C55F3" w:rsidP="00622218">
      <w:pPr>
        <w:pStyle w:val="Paragraphedeliste"/>
        <w:numPr>
          <w:ilvl w:val="0"/>
          <w:numId w:val="94"/>
        </w:numPr>
        <w:spacing w:line="240" w:lineRule="auto"/>
      </w:pPr>
      <w:r w:rsidRPr="000F5D6E">
        <w:t>Composition, abundance and biomass of phytoplankton (lakes, transitional waters, coastal waters)</w:t>
      </w:r>
    </w:p>
    <w:p w:rsidR="001C55F3" w:rsidRPr="000F5D6E" w:rsidRDefault="001C55F3" w:rsidP="00622218">
      <w:pPr>
        <w:pStyle w:val="Paragraphedeliste"/>
        <w:numPr>
          <w:ilvl w:val="0"/>
          <w:numId w:val="94"/>
        </w:numPr>
        <w:spacing w:line="240" w:lineRule="auto"/>
      </w:pPr>
      <w:r w:rsidRPr="000F5D6E">
        <w:t>Composition and abundance of other aquatic flora (rivers, lakes, transitional waters, coastal waters)</w:t>
      </w:r>
    </w:p>
    <w:p w:rsidR="001C55F3" w:rsidRPr="000F5D6E" w:rsidRDefault="001C55F3" w:rsidP="00622218">
      <w:pPr>
        <w:pStyle w:val="Paragraphedeliste"/>
        <w:numPr>
          <w:ilvl w:val="0"/>
          <w:numId w:val="94"/>
        </w:numPr>
        <w:spacing w:line="240" w:lineRule="auto"/>
      </w:pPr>
      <w:r w:rsidRPr="000F5D6E">
        <w:t>Composition and abundance of benthic invertebrate fauna (rivers, lakes, transitional waters, coastal waters)</w:t>
      </w:r>
    </w:p>
    <w:p w:rsidR="001C55F3" w:rsidRPr="000F5D6E" w:rsidRDefault="001C55F3" w:rsidP="00622218">
      <w:pPr>
        <w:pStyle w:val="Paragraphedeliste"/>
        <w:numPr>
          <w:ilvl w:val="0"/>
          <w:numId w:val="94"/>
        </w:numPr>
        <w:spacing w:line="240" w:lineRule="auto"/>
      </w:pPr>
      <w:r w:rsidRPr="000F5D6E">
        <w:t>Composition, abundance and age structure fish (rivers, lakes, transitional waters)</w:t>
      </w:r>
    </w:p>
    <w:p w:rsidR="001C55F3" w:rsidRPr="000F5D6E" w:rsidRDefault="001C55F3" w:rsidP="001C55F3">
      <w:pPr>
        <w:spacing w:line="240" w:lineRule="auto"/>
      </w:pPr>
      <w:r w:rsidRPr="000F5D6E">
        <w:t xml:space="preserve">The WFD also distinguishes groundwater bodies – the methodology used to determine quality of ground water bodies is not reviewed in this report. </w:t>
      </w:r>
    </w:p>
    <w:p w:rsidR="001C55F3" w:rsidRPr="00BE14DD" w:rsidRDefault="001C55F3" w:rsidP="001C55F3">
      <w:pPr>
        <w:pStyle w:val="Titre2"/>
        <w:rPr>
          <w:rFonts w:asciiTheme="minorHAnsi" w:hAnsiTheme="minorHAnsi"/>
        </w:rPr>
      </w:pPr>
      <w:bookmarkStart w:id="30" w:name="_Toc356484296"/>
      <w:r w:rsidRPr="00BE14DD">
        <w:rPr>
          <w:rFonts w:asciiTheme="minorHAnsi" w:hAnsiTheme="minorHAnsi"/>
        </w:rPr>
        <w:t>3.3 Marine Strategy Framework Directive</w:t>
      </w:r>
      <w:bookmarkEnd w:id="30"/>
    </w:p>
    <w:p w:rsidR="001C55F3" w:rsidRPr="002130C9" w:rsidRDefault="001C55F3" w:rsidP="001C55F3">
      <w:pPr>
        <w:spacing w:line="240" w:lineRule="auto"/>
        <w:rPr>
          <w:u w:val="single"/>
        </w:rPr>
      </w:pPr>
      <w:r w:rsidRPr="002130C9">
        <w:rPr>
          <w:u w:val="single"/>
        </w:rPr>
        <w:t>History of reporting under the Directive</w:t>
      </w:r>
    </w:p>
    <w:p w:rsidR="001C55F3" w:rsidRPr="002130C9" w:rsidRDefault="001C55F3" w:rsidP="001C55F3">
      <w:pPr>
        <w:spacing w:line="240" w:lineRule="auto"/>
      </w:pPr>
      <w:r w:rsidRPr="002130C9">
        <w:t xml:space="preserve">Of the four reviewed directives the European Marine Strategy Framework Directive (MSFD) is the most recent one; it entered into force on 15 July 2008. By 15 July 2012, each member state was required to make an Initial Assessment, determine characteristics of Good Ecological Status and establish environmental indicators and targets. </w:t>
      </w:r>
    </w:p>
    <w:p w:rsidR="001C55F3" w:rsidRPr="002130C9" w:rsidRDefault="001C55F3" w:rsidP="001C55F3">
      <w:pPr>
        <w:spacing w:line="240" w:lineRule="auto"/>
        <w:rPr>
          <w:u w:val="single"/>
        </w:rPr>
      </w:pPr>
      <w:r w:rsidRPr="002130C9">
        <w:rPr>
          <w:u w:val="single"/>
        </w:rPr>
        <w:t>EU methodology</w:t>
      </w:r>
    </w:p>
    <w:p w:rsidR="001C55F3" w:rsidRPr="002130C9" w:rsidRDefault="001C55F3" w:rsidP="001C55F3">
      <w:pPr>
        <w:spacing w:line="240" w:lineRule="auto"/>
      </w:pPr>
      <w:r w:rsidRPr="002130C9">
        <w:t>The Commission decision (C2010 5956) outlines the descriptors to be used to determine ecological status (see table 3.1). The document underlines the fact that some descriptors require further development. Of the various descriptors  there are 6 descriptors that use information on species and 3 descriptors that use information on habitats. The parameters used are</w:t>
      </w:r>
    </w:p>
    <w:p w:rsidR="001C55F3" w:rsidRPr="002130C9" w:rsidRDefault="001C55F3" w:rsidP="001C55F3">
      <w:pPr>
        <w:spacing w:after="0" w:line="240" w:lineRule="auto"/>
      </w:pPr>
      <w:r w:rsidRPr="002130C9">
        <w:t>Species level:</w:t>
      </w:r>
    </w:p>
    <w:p w:rsidR="001C55F3" w:rsidRPr="002130C9" w:rsidRDefault="001C55F3" w:rsidP="00622218">
      <w:pPr>
        <w:pStyle w:val="Paragraphedeliste"/>
        <w:numPr>
          <w:ilvl w:val="0"/>
          <w:numId w:val="103"/>
        </w:numPr>
        <w:spacing w:line="240" w:lineRule="auto"/>
      </w:pPr>
      <w:r w:rsidRPr="002130C9">
        <w:t>Species distribution (range, pattern, area )</w:t>
      </w:r>
    </w:p>
    <w:p w:rsidR="001C55F3" w:rsidRPr="002130C9" w:rsidRDefault="001C55F3" w:rsidP="00622218">
      <w:pPr>
        <w:pStyle w:val="Paragraphedeliste"/>
        <w:numPr>
          <w:ilvl w:val="0"/>
          <w:numId w:val="103"/>
        </w:numPr>
        <w:spacing w:line="240" w:lineRule="auto"/>
      </w:pPr>
      <w:r w:rsidRPr="002130C9">
        <w:t>Population size (abundance and/or biomass)</w:t>
      </w:r>
    </w:p>
    <w:p w:rsidR="001C55F3" w:rsidRPr="002130C9" w:rsidRDefault="001C55F3" w:rsidP="00622218">
      <w:pPr>
        <w:pStyle w:val="Paragraphedeliste"/>
        <w:numPr>
          <w:ilvl w:val="0"/>
          <w:numId w:val="103"/>
        </w:numPr>
        <w:spacing w:line="240" w:lineRule="auto"/>
      </w:pPr>
      <w:r w:rsidRPr="002130C9">
        <w:t>Population condition (demographic characteristics, genetic structure, spawning stock biomass, biomass indices, population age and size distribution)</w:t>
      </w:r>
    </w:p>
    <w:p w:rsidR="001C55F3" w:rsidRPr="002130C9" w:rsidRDefault="001C55F3" w:rsidP="00622218">
      <w:pPr>
        <w:pStyle w:val="Paragraphedeliste"/>
        <w:numPr>
          <w:ilvl w:val="0"/>
          <w:numId w:val="103"/>
        </w:numPr>
        <w:spacing w:line="240" w:lineRule="auto"/>
      </w:pPr>
      <w:r w:rsidRPr="002130C9">
        <w:t>Abundance and state of non-indigenous species ( abundance, temporal distribution and spatial distribution, ratio between invasive and non-invasive species)</w:t>
      </w:r>
    </w:p>
    <w:p w:rsidR="001C55F3" w:rsidRPr="002130C9" w:rsidRDefault="001C55F3" w:rsidP="00622218">
      <w:pPr>
        <w:pStyle w:val="Paragraphedeliste"/>
        <w:numPr>
          <w:ilvl w:val="0"/>
          <w:numId w:val="103"/>
        </w:numPr>
        <w:spacing w:line="240" w:lineRule="auto"/>
      </w:pPr>
      <w:r w:rsidRPr="002130C9">
        <w:t>Abundance / distribution of key predator species or key trophic groups</w:t>
      </w:r>
    </w:p>
    <w:p w:rsidR="001C55F3" w:rsidRPr="002130C9" w:rsidRDefault="001C55F3" w:rsidP="00622218">
      <w:pPr>
        <w:pStyle w:val="Paragraphedeliste"/>
        <w:numPr>
          <w:ilvl w:val="0"/>
          <w:numId w:val="103"/>
        </w:numPr>
        <w:spacing w:line="240" w:lineRule="auto"/>
      </w:pPr>
      <w:r w:rsidRPr="002130C9">
        <w:t>Indicators for nutrient enrichment (occurrence of species shifts, bloom events opportunistic macro-algae etc)</w:t>
      </w:r>
    </w:p>
    <w:p w:rsidR="001C55F3" w:rsidRPr="002130C9" w:rsidRDefault="001C55F3" w:rsidP="001C55F3">
      <w:pPr>
        <w:spacing w:after="0" w:line="240" w:lineRule="auto"/>
      </w:pPr>
      <w:r w:rsidRPr="002130C9">
        <w:t xml:space="preserve">Habitat level </w:t>
      </w:r>
    </w:p>
    <w:p w:rsidR="001C55F3" w:rsidRPr="002130C9" w:rsidRDefault="001C55F3" w:rsidP="00622218">
      <w:pPr>
        <w:pStyle w:val="Paragraphedeliste"/>
        <w:numPr>
          <w:ilvl w:val="0"/>
          <w:numId w:val="104"/>
        </w:numPr>
        <w:spacing w:line="240" w:lineRule="auto"/>
        <w:rPr>
          <w:lang w:val="fr-FR"/>
        </w:rPr>
      </w:pPr>
      <w:r w:rsidRPr="002130C9">
        <w:rPr>
          <w:lang w:val="fr-FR"/>
        </w:rPr>
        <w:t>Habitat distribution (distributional range, distributional patterns)</w:t>
      </w:r>
    </w:p>
    <w:p w:rsidR="001C55F3" w:rsidRPr="002130C9" w:rsidRDefault="001C55F3" w:rsidP="00622218">
      <w:pPr>
        <w:pStyle w:val="Paragraphedeliste"/>
        <w:numPr>
          <w:ilvl w:val="0"/>
          <w:numId w:val="104"/>
        </w:numPr>
        <w:spacing w:line="240" w:lineRule="auto"/>
        <w:rPr>
          <w:lang w:val="fr-FR"/>
        </w:rPr>
      </w:pPr>
      <w:r w:rsidRPr="002130C9">
        <w:rPr>
          <w:lang w:val="fr-FR"/>
        </w:rPr>
        <w:t>habitat extent (area, habitat volume if appropriate)</w:t>
      </w:r>
    </w:p>
    <w:p w:rsidR="001C55F3" w:rsidRPr="002130C9" w:rsidRDefault="001C55F3" w:rsidP="00622218">
      <w:pPr>
        <w:pStyle w:val="Paragraphedeliste"/>
        <w:numPr>
          <w:ilvl w:val="0"/>
          <w:numId w:val="104"/>
        </w:numPr>
        <w:spacing w:line="240" w:lineRule="auto"/>
      </w:pPr>
      <w:r w:rsidRPr="002130C9">
        <w:t>habitat condition ( condition of typical species and communities, relative abundance/ and or biomass, physical, hydrological and chemical condition)</w:t>
      </w:r>
    </w:p>
    <w:p w:rsidR="001C55F3" w:rsidRPr="002130C9" w:rsidRDefault="001C55F3" w:rsidP="001C55F3">
      <w:pPr>
        <w:spacing w:after="0" w:line="240" w:lineRule="auto"/>
      </w:pPr>
      <w:r w:rsidRPr="002130C9">
        <w:t xml:space="preserve">Ecosystem level </w:t>
      </w:r>
    </w:p>
    <w:p w:rsidR="001C55F3" w:rsidRPr="002130C9" w:rsidRDefault="001C55F3" w:rsidP="00622218">
      <w:pPr>
        <w:pStyle w:val="Paragraphedeliste"/>
        <w:numPr>
          <w:ilvl w:val="0"/>
          <w:numId w:val="105"/>
        </w:numPr>
        <w:spacing w:line="240" w:lineRule="auto"/>
      </w:pPr>
      <w:r w:rsidRPr="002130C9">
        <w:t>Ecosystem structure (composition and relative proportions of ecosystem components)</w:t>
      </w:r>
    </w:p>
    <w:p w:rsidR="001C55F3" w:rsidRPr="002130C9" w:rsidRDefault="001C55F3" w:rsidP="001C55F3">
      <w:pPr>
        <w:spacing w:line="240" w:lineRule="auto"/>
      </w:pPr>
      <w:r w:rsidRPr="002130C9">
        <w:lastRenderedPageBreak/>
        <w:t>Given the lack of biodiversity data in the marine environment several of the proposed indicators cannot yet be determined. The initial analysis will provide the overview of the current state of  progress in the Member States.</w:t>
      </w:r>
    </w:p>
    <w:p w:rsidR="001C55F3" w:rsidRPr="002130C9" w:rsidRDefault="001C55F3" w:rsidP="001C55F3">
      <w:pPr>
        <w:spacing w:line="240" w:lineRule="auto"/>
      </w:pPr>
    </w:p>
    <w:p w:rsidR="001C55F3" w:rsidRPr="00BE14DD" w:rsidRDefault="001C55F3" w:rsidP="001C55F3">
      <w:pPr>
        <w:autoSpaceDE w:val="0"/>
        <w:autoSpaceDN w:val="0"/>
        <w:adjustRightInd w:val="0"/>
        <w:spacing w:after="0" w:line="240" w:lineRule="auto"/>
        <w:rPr>
          <w:rFonts w:cs="Arial"/>
          <w:i/>
          <w:sz w:val="18"/>
          <w:szCs w:val="18"/>
        </w:rPr>
      </w:pPr>
      <w:r w:rsidRPr="00BE14DD">
        <w:rPr>
          <w:rFonts w:cs="Arial"/>
          <w:i/>
          <w:sz w:val="18"/>
          <w:szCs w:val="18"/>
        </w:rPr>
        <w:t>Table 3.1 Descriptors of Annex 1</w:t>
      </w:r>
    </w:p>
    <w:p w:rsidR="001C55F3" w:rsidRPr="00BE14DD" w:rsidRDefault="001C55F3" w:rsidP="001C55F3">
      <w:pPr>
        <w:autoSpaceDE w:val="0"/>
        <w:autoSpaceDN w:val="0"/>
        <w:adjustRightInd w:val="0"/>
        <w:spacing w:after="0" w:line="240" w:lineRule="auto"/>
        <w:rPr>
          <w:rFonts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8"/>
        <w:gridCol w:w="7618"/>
      </w:tblGrid>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1</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Biological diversity is maintained. The quality and occurrence of habitats and the distribution and abundance of species are in line with prevailing physiographic geographic and climate conditions.</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2</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Non-indigenous species introduced by human activities are at levels that do not adversely alter the ecosystem</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3</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Populations of all commercially exploited fish and shellfish are within safe biological limits, exhibiting a population age and size distribution that is indicative of a healthy stock</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4</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All elements of the marine food webs to the extent that they are known, occur at normal abundance and diversity and levels capable of ensuring the long-term abundance of the species and the retention of their full reproductive capacity</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5</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Human induced eutrophication in minimised, especially adverse effect thereof, such as the losses in biodiversity, ecosystem degradation, harmful algae blooms and oxygen deficiency in bottom waters</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6</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Sea-floor integrity is at a level that ensures that the structure and functions of the ecosystems are safeguarded and benthic ecosystems in particular are not adversely affected</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7</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Permanent alteration of hydrographical conditions does not adversely affect marine ecosystems</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8</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Concentrations of contaminants are at levels not giving rise to pollution effects</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9</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Contaminants in fish and other seafood for human consumption do not exceed levels established by Community legislation or other relevant standards</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10</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Properties and quantities of marine litter do not cause harm to coastal and marine environment</w:t>
            </w:r>
          </w:p>
        </w:tc>
      </w:tr>
      <w:tr w:rsidR="001C55F3" w:rsidRPr="00BE14DD" w:rsidTr="001C55F3">
        <w:tc>
          <w:tcPr>
            <w:tcW w:w="1668"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Descriptor 11</w:t>
            </w:r>
          </w:p>
        </w:tc>
        <w:tc>
          <w:tcPr>
            <w:tcW w:w="7620" w:type="dxa"/>
          </w:tcPr>
          <w:p w:rsidR="001C55F3" w:rsidRPr="00BE14DD" w:rsidRDefault="001C55F3" w:rsidP="001C55F3">
            <w:pPr>
              <w:autoSpaceDE w:val="0"/>
              <w:autoSpaceDN w:val="0"/>
              <w:adjustRightInd w:val="0"/>
              <w:rPr>
                <w:rFonts w:cs="Arial"/>
                <w:sz w:val="18"/>
                <w:szCs w:val="18"/>
              </w:rPr>
            </w:pPr>
            <w:r w:rsidRPr="00BE14DD">
              <w:rPr>
                <w:rFonts w:cs="Arial"/>
                <w:sz w:val="18"/>
                <w:szCs w:val="18"/>
              </w:rPr>
              <w:t>Introduction of energy, including underwater noise, is at levels that do not adversely affect the marine environment</w:t>
            </w:r>
          </w:p>
        </w:tc>
      </w:tr>
    </w:tbl>
    <w:p w:rsidR="001C55F3" w:rsidRPr="00BE14DD" w:rsidRDefault="001C55F3" w:rsidP="001C55F3">
      <w:pPr>
        <w:autoSpaceDE w:val="0"/>
        <w:autoSpaceDN w:val="0"/>
        <w:adjustRightInd w:val="0"/>
        <w:spacing w:after="0" w:line="240" w:lineRule="auto"/>
        <w:rPr>
          <w:rFonts w:cs="Arial"/>
          <w:sz w:val="18"/>
          <w:szCs w:val="18"/>
        </w:rPr>
      </w:pPr>
    </w:p>
    <w:p w:rsidR="001C55F3" w:rsidRPr="00BE14DD" w:rsidRDefault="001C55F3" w:rsidP="001C55F3">
      <w:pPr>
        <w:autoSpaceDE w:val="0"/>
        <w:autoSpaceDN w:val="0"/>
        <w:adjustRightInd w:val="0"/>
        <w:spacing w:after="0" w:line="240" w:lineRule="auto"/>
        <w:rPr>
          <w:rFonts w:cs="Arial"/>
          <w:sz w:val="21"/>
          <w:szCs w:val="21"/>
        </w:rPr>
      </w:pPr>
    </w:p>
    <w:p w:rsidR="001C55F3" w:rsidRPr="00BE14DD" w:rsidRDefault="001C55F3" w:rsidP="001C55F3">
      <w:pPr>
        <w:pStyle w:val="Titre2"/>
        <w:rPr>
          <w:rFonts w:asciiTheme="minorHAnsi" w:hAnsiTheme="minorHAnsi"/>
        </w:rPr>
      </w:pPr>
      <w:bookmarkStart w:id="31" w:name="_Toc356484297"/>
      <w:r w:rsidRPr="00BE14DD">
        <w:rPr>
          <w:rFonts w:asciiTheme="minorHAnsi" w:hAnsiTheme="minorHAnsi"/>
        </w:rPr>
        <w:t>3.4  SEBI 2010 indicators</w:t>
      </w:r>
      <w:bookmarkEnd w:id="31"/>
    </w:p>
    <w:p w:rsidR="001C55F3" w:rsidRPr="002130C9" w:rsidRDefault="001C55F3" w:rsidP="001C55F3">
      <w:pPr>
        <w:spacing w:line="240" w:lineRule="auto"/>
        <w:rPr>
          <w:u w:val="single"/>
        </w:rPr>
      </w:pPr>
      <w:r w:rsidRPr="002130C9">
        <w:rPr>
          <w:u w:val="single"/>
        </w:rPr>
        <w:t xml:space="preserve">History </w:t>
      </w:r>
    </w:p>
    <w:p w:rsidR="001C55F3" w:rsidRPr="002130C9" w:rsidRDefault="001C55F3" w:rsidP="001C55F3">
      <w:pPr>
        <w:spacing w:line="240" w:lineRule="auto"/>
      </w:pPr>
      <w:r w:rsidRPr="002130C9">
        <w:t>The Streamlining European Biodiversity Indicators (SEBI) process was started in 2005 to provide a streamlined set of biodiversity indicators for Europe to monitor progress towards the European target to halt the loss of biodiversity by 2010. The set of indicators was not intended to be comprehensive; however, the indicators can be used both individually and in combination to provide a consistent and coherent framework for assessment. The 26 indicators (see table 3.2) were selected based on 11 criteria and three additional criteria to evaluate the set as a whole (EEA, 2009). Some of the indicators directly track the impact on a component of biodiversity, whereas others reflect threats to biodiversity, its sustainable use and integrity. Of the 26 indicators 7 are using a set of indicator species as a basis for the development of the indicators (indicated in bold in table 3.2) . All of these indicators are operational although all of them require regular updating.</w:t>
      </w:r>
    </w:p>
    <w:p w:rsidR="001C55F3" w:rsidRPr="002130C9" w:rsidRDefault="001C55F3" w:rsidP="001C55F3">
      <w:pPr>
        <w:spacing w:line="240" w:lineRule="auto"/>
      </w:pPr>
      <w:r w:rsidRPr="002130C9">
        <w:lastRenderedPageBreak/>
        <w:t>The set as a whole can be used to help assess the effect of various sectoral policies on biodiversity. Different combinations of indicators facilitate different views which can be used to answer key policy questions. In relation to the new EU and global 2020 biodiversity targets, mapping the SEBI set of indicators against the targets shows the robustness of the set but also that new indicators are required to fill in some gaps and that existing indicators need regular updating and improvements in certain cases.</w:t>
      </w:r>
    </w:p>
    <w:p w:rsidR="001C55F3" w:rsidRPr="002130C9" w:rsidRDefault="001C55F3" w:rsidP="001C55F3">
      <w:pPr>
        <w:rPr>
          <w:i/>
          <w:szCs w:val="20"/>
        </w:rPr>
      </w:pPr>
      <w:r w:rsidRPr="00BE14DD">
        <w:rPr>
          <w:i/>
          <w:szCs w:val="20"/>
        </w:rPr>
        <w:t>Table 3.2. SEBI indicators with CBD focal areas and headline indicators. The indicators based on species info</w:t>
      </w:r>
      <w:r>
        <w:rPr>
          <w:i/>
          <w:szCs w:val="20"/>
        </w:rPr>
        <w:t xml:space="preserve">rmation are indicated in bold.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9"/>
        <w:gridCol w:w="3516"/>
        <w:gridCol w:w="523"/>
        <w:gridCol w:w="3148"/>
      </w:tblGrid>
      <w:tr w:rsidR="001C55F3" w:rsidRPr="00BE14DD" w:rsidTr="001C55F3">
        <w:trPr>
          <w:trHeight w:val="255"/>
        </w:trPr>
        <w:tc>
          <w:tcPr>
            <w:tcW w:w="2099" w:type="dxa"/>
            <w:hideMark/>
          </w:tcPr>
          <w:p w:rsidR="001C55F3" w:rsidRPr="00BE14DD" w:rsidRDefault="001C55F3" w:rsidP="001C55F3">
            <w:pPr>
              <w:spacing w:after="0" w:line="240" w:lineRule="auto"/>
              <w:rPr>
                <w:b/>
                <w:bCs/>
                <w:szCs w:val="20"/>
              </w:rPr>
            </w:pPr>
            <w:r w:rsidRPr="00BE14DD">
              <w:rPr>
                <w:b/>
                <w:bCs/>
                <w:szCs w:val="20"/>
              </w:rPr>
              <w:t>CBD focal area</w:t>
            </w:r>
          </w:p>
        </w:tc>
        <w:tc>
          <w:tcPr>
            <w:tcW w:w="3517" w:type="dxa"/>
            <w:hideMark/>
          </w:tcPr>
          <w:p w:rsidR="001C55F3" w:rsidRPr="00BE14DD" w:rsidRDefault="001C55F3" w:rsidP="001C55F3">
            <w:pPr>
              <w:spacing w:after="0" w:line="240" w:lineRule="auto"/>
              <w:rPr>
                <w:b/>
                <w:bCs/>
                <w:szCs w:val="20"/>
              </w:rPr>
            </w:pPr>
            <w:r w:rsidRPr="00BE14DD">
              <w:rPr>
                <w:b/>
                <w:bCs/>
                <w:szCs w:val="20"/>
              </w:rPr>
              <w:t>Headline indicator</w:t>
            </w:r>
          </w:p>
        </w:tc>
        <w:tc>
          <w:tcPr>
            <w:tcW w:w="523" w:type="dxa"/>
            <w:noWrap/>
            <w:hideMark/>
          </w:tcPr>
          <w:p w:rsidR="001C55F3" w:rsidRPr="00BE14DD" w:rsidRDefault="001C55F3" w:rsidP="001C55F3">
            <w:pPr>
              <w:spacing w:after="0" w:line="240" w:lineRule="auto"/>
              <w:rPr>
                <w:b/>
                <w:bCs/>
                <w:szCs w:val="20"/>
              </w:rPr>
            </w:pPr>
            <w:r w:rsidRPr="00BE14DD">
              <w:rPr>
                <w:b/>
                <w:bCs/>
                <w:szCs w:val="20"/>
              </w:rPr>
              <w:t>No</w:t>
            </w:r>
          </w:p>
        </w:tc>
        <w:tc>
          <w:tcPr>
            <w:tcW w:w="3149" w:type="dxa"/>
            <w:hideMark/>
          </w:tcPr>
          <w:p w:rsidR="001C55F3" w:rsidRPr="00BE14DD" w:rsidRDefault="001C55F3" w:rsidP="001C55F3">
            <w:pPr>
              <w:spacing w:after="0" w:line="240" w:lineRule="auto"/>
              <w:rPr>
                <w:b/>
                <w:bCs/>
                <w:szCs w:val="20"/>
              </w:rPr>
            </w:pPr>
            <w:r w:rsidRPr="00BE14DD">
              <w:rPr>
                <w:b/>
                <w:bCs/>
                <w:szCs w:val="20"/>
              </w:rPr>
              <w:t>SEBI 2010 specific indicator</w:t>
            </w:r>
          </w:p>
        </w:tc>
      </w:tr>
      <w:tr w:rsidR="001C55F3" w:rsidRPr="00BE14DD" w:rsidTr="001C55F3">
        <w:trPr>
          <w:trHeight w:val="255"/>
        </w:trPr>
        <w:tc>
          <w:tcPr>
            <w:tcW w:w="2099" w:type="dxa"/>
            <w:vMerge w:val="restart"/>
            <w:hideMark/>
          </w:tcPr>
          <w:p w:rsidR="001C55F3" w:rsidRPr="00BE14DD" w:rsidRDefault="001C55F3" w:rsidP="001C55F3">
            <w:pPr>
              <w:spacing w:after="0" w:line="240" w:lineRule="auto"/>
              <w:rPr>
                <w:szCs w:val="20"/>
              </w:rPr>
            </w:pPr>
            <w:r w:rsidRPr="00BE14DD">
              <w:rPr>
                <w:szCs w:val="20"/>
              </w:rPr>
              <w:t>Status and trends of the components of biological diversity</w:t>
            </w:r>
          </w:p>
        </w:tc>
        <w:tc>
          <w:tcPr>
            <w:tcW w:w="3517" w:type="dxa"/>
            <w:vMerge w:val="restart"/>
            <w:hideMark/>
          </w:tcPr>
          <w:p w:rsidR="001C55F3" w:rsidRPr="00BE14DD" w:rsidRDefault="001C55F3" w:rsidP="001C55F3">
            <w:pPr>
              <w:spacing w:after="0" w:line="240" w:lineRule="auto"/>
              <w:rPr>
                <w:szCs w:val="20"/>
              </w:rPr>
            </w:pPr>
            <w:r w:rsidRPr="00BE14DD">
              <w:rPr>
                <w:szCs w:val="20"/>
              </w:rPr>
              <w:t>Trends in the abundance and distribution of selected species</w:t>
            </w:r>
          </w:p>
        </w:tc>
        <w:tc>
          <w:tcPr>
            <w:tcW w:w="523" w:type="dxa"/>
            <w:noWrap/>
            <w:hideMark/>
          </w:tcPr>
          <w:p w:rsidR="001C55F3" w:rsidRPr="00BE14DD" w:rsidRDefault="001C55F3" w:rsidP="001C55F3">
            <w:pPr>
              <w:spacing w:after="0" w:line="240" w:lineRule="auto"/>
              <w:rPr>
                <w:b/>
                <w:szCs w:val="20"/>
              </w:rPr>
            </w:pPr>
            <w:r w:rsidRPr="00BE14DD">
              <w:rPr>
                <w:b/>
                <w:szCs w:val="20"/>
              </w:rPr>
              <w:t>1</w:t>
            </w:r>
          </w:p>
        </w:tc>
        <w:tc>
          <w:tcPr>
            <w:tcW w:w="3149" w:type="dxa"/>
            <w:hideMark/>
          </w:tcPr>
          <w:p w:rsidR="001C55F3" w:rsidRPr="00BE14DD" w:rsidRDefault="001C55F3" w:rsidP="001C55F3">
            <w:pPr>
              <w:spacing w:after="0" w:line="240" w:lineRule="auto"/>
              <w:rPr>
                <w:b/>
                <w:szCs w:val="20"/>
              </w:rPr>
            </w:pPr>
            <w:r w:rsidRPr="00BE14DD">
              <w:rPr>
                <w:b/>
                <w:szCs w:val="20"/>
              </w:rPr>
              <w:t>Abundance and distribution of selected species</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vMerge/>
            <w:hideMark/>
          </w:tcPr>
          <w:p w:rsidR="001C55F3" w:rsidRPr="00BE14DD" w:rsidRDefault="001C55F3" w:rsidP="001C55F3">
            <w:pPr>
              <w:spacing w:after="0" w:line="240" w:lineRule="auto"/>
              <w:rPr>
                <w:b/>
                <w:szCs w:val="20"/>
              </w:rPr>
            </w:pPr>
          </w:p>
        </w:tc>
        <w:tc>
          <w:tcPr>
            <w:tcW w:w="523" w:type="dxa"/>
            <w:noWrap/>
            <w:hideMark/>
          </w:tcPr>
          <w:p w:rsidR="001C55F3" w:rsidRPr="00BE14DD" w:rsidRDefault="001C55F3" w:rsidP="001C55F3">
            <w:pPr>
              <w:spacing w:after="0" w:line="240" w:lineRule="auto"/>
              <w:rPr>
                <w:szCs w:val="20"/>
              </w:rPr>
            </w:pPr>
          </w:p>
        </w:tc>
        <w:tc>
          <w:tcPr>
            <w:tcW w:w="3149" w:type="dxa"/>
            <w:hideMark/>
          </w:tcPr>
          <w:p w:rsidR="001C55F3" w:rsidRPr="00BE14DD" w:rsidRDefault="001C55F3" w:rsidP="001C55F3">
            <w:pPr>
              <w:spacing w:after="0" w:line="240" w:lineRule="auto"/>
              <w:rPr>
                <w:szCs w:val="20"/>
              </w:rPr>
            </w:pPr>
            <w:r w:rsidRPr="00BE14DD">
              <w:rPr>
                <w:szCs w:val="20"/>
              </w:rPr>
              <w:t>a. Birds</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vMerge/>
            <w:hideMark/>
          </w:tcPr>
          <w:p w:rsidR="001C55F3" w:rsidRPr="00BE14DD" w:rsidRDefault="001C55F3" w:rsidP="001C55F3">
            <w:pPr>
              <w:spacing w:after="0" w:line="240" w:lineRule="auto"/>
              <w:rPr>
                <w:b/>
                <w:szCs w:val="20"/>
              </w:rPr>
            </w:pPr>
          </w:p>
        </w:tc>
        <w:tc>
          <w:tcPr>
            <w:tcW w:w="523" w:type="dxa"/>
            <w:noWrap/>
            <w:hideMark/>
          </w:tcPr>
          <w:p w:rsidR="001C55F3" w:rsidRPr="00BE14DD" w:rsidRDefault="001C55F3" w:rsidP="001C55F3">
            <w:pPr>
              <w:spacing w:after="0" w:line="240" w:lineRule="auto"/>
              <w:rPr>
                <w:szCs w:val="20"/>
              </w:rPr>
            </w:pPr>
            <w:r w:rsidRPr="00BE14DD">
              <w:rPr>
                <w:szCs w:val="20"/>
              </w:rPr>
              <w:t> </w:t>
            </w:r>
          </w:p>
        </w:tc>
        <w:tc>
          <w:tcPr>
            <w:tcW w:w="3149" w:type="dxa"/>
            <w:hideMark/>
          </w:tcPr>
          <w:p w:rsidR="001C55F3" w:rsidRPr="00BE14DD" w:rsidRDefault="001C55F3" w:rsidP="001C55F3">
            <w:pPr>
              <w:spacing w:after="0" w:line="240" w:lineRule="auto"/>
              <w:rPr>
                <w:szCs w:val="20"/>
              </w:rPr>
            </w:pPr>
            <w:r w:rsidRPr="00BE14DD">
              <w:rPr>
                <w:szCs w:val="20"/>
              </w:rPr>
              <w:t>b. Butterflies</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vMerge w:val="restart"/>
            <w:hideMark/>
          </w:tcPr>
          <w:p w:rsidR="001C55F3" w:rsidRPr="00BE14DD" w:rsidRDefault="001C55F3" w:rsidP="001C55F3">
            <w:pPr>
              <w:spacing w:after="0" w:line="240" w:lineRule="auto"/>
              <w:rPr>
                <w:szCs w:val="20"/>
              </w:rPr>
            </w:pPr>
            <w:r w:rsidRPr="00BE14DD">
              <w:rPr>
                <w:szCs w:val="20"/>
              </w:rPr>
              <w:t>Change in status of threatened and/or protected species</w:t>
            </w:r>
          </w:p>
        </w:tc>
        <w:tc>
          <w:tcPr>
            <w:tcW w:w="523" w:type="dxa"/>
            <w:noWrap/>
            <w:hideMark/>
          </w:tcPr>
          <w:p w:rsidR="001C55F3" w:rsidRPr="00BE14DD" w:rsidRDefault="001C55F3" w:rsidP="001C55F3">
            <w:pPr>
              <w:spacing w:after="0" w:line="240" w:lineRule="auto"/>
              <w:rPr>
                <w:b/>
                <w:szCs w:val="20"/>
              </w:rPr>
            </w:pPr>
            <w:r w:rsidRPr="00BE14DD">
              <w:rPr>
                <w:b/>
                <w:szCs w:val="20"/>
              </w:rPr>
              <w:t>2</w:t>
            </w:r>
          </w:p>
        </w:tc>
        <w:tc>
          <w:tcPr>
            <w:tcW w:w="3149" w:type="dxa"/>
            <w:hideMark/>
          </w:tcPr>
          <w:p w:rsidR="001C55F3" w:rsidRPr="00BE14DD" w:rsidRDefault="001C55F3" w:rsidP="001C55F3">
            <w:pPr>
              <w:spacing w:after="0" w:line="240" w:lineRule="auto"/>
              <w:rPr>
                <w:b/>
                <w:szCs w:val="20"/>
              </w:rPr>
            </w:pPr>
            <w:r w:rsidRPr="00BE14DD">
              <w:rPr>
                <w:b/>
                <w:szCs w:val="20"/>
              </w:rPr>
              <w:t>Red List Index for European species(birds only)</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vMerge/>
            <w:hideMark/>
          </w:tcPr>
          <w:p w:rsidR="001C55F3" w:rsidRPr="00BE14DD" w:rsidRDefault="001C55F3" w:rsidP="001C55F3">
            <w:pPr>
              <w:spacing w:after="0" w:line="240" w:lineRule="auto"/>
              <w:rPr>
                <w:szCs w:val="20"/>
              </w:rPr>
            </w:pPr>
          </w:p>
        </w:tc>
        <w:tc>
          <w:tcPr>
            <w:tcW w:w="523" w:type="dxa"/>
            <w:noWrap/>
            <w:hideMark/>
          </w:tcPr>
          <w:p w:rsidR="001C55F3" w:rsidRPr="00BE14DD" w:rsidRDefault="001C55F3" w:rsidP="001C55F3">
            <w:pPr>
              <w:spacing w:after="0" w:line="240" w:lineRule="auto"/>
              <w:rPr>
                <w:b/>
                <w:szCs w:val="20"/>
              </w:rPr>
            </w:pPr>
            <w:r w:rsidRPr="00BE14DD">
              <w:rPr>
                <w:b/>
                <w:szCs w:val="20"/>
              </w:rPr>
              <w:t>3</w:t>
            </w:r>
          </w:p>
        </w:tc>
        <w:tc>
          <w:tcPr>
            <w:tcW w:w="3149" w:type="dxa"/>
            <w:hideMark/>
          </w:tcPr>
          <w:p w:rsidR="001C55F3" w:rsidRPr="00BE14DD" w:rsidRDefault="001C55F3" w:rsidP="001C55F3">
            <w:pPr>
              <w:spacing w:after="0" w:line="240" w:lineRule="auto"/>
              <w:rPr>
                <w:b/>
                <w:szCs w:val="20"/>
              </w:rPr>
            </w:pPr>
            <w:r w:rsidRPr="00BE14DD">
              <w:rPr>
                <w:b/>
                <w:szCs w:val="20"/>
              </w:rPr>
              <w:t>Species of European interest</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vMerge w:val="restart"/>
            <w:hideMark/>
          </w:tcPr>
          <w:p w:rsidR="001C55F3" w:rsidRPr="00BE14DD" w:rsidRDefault="001C55F3" w:rsidP="001C55F3">
            <w:pPr>
              <w:spacing w:after="0" w:line="240" w:lineRule="auto"/>
              <w:rPr>
                <w:szCs w:val="20"/>
              </w:rPr>
            </w:pPr>
            <w:r w:rsidRPr="00BE14DD">
              <w:rPr>
                <w:szCs w:val="20"/>
              </w:rPr>
              <w:t>Trends in extent of selected biomes, ecosystems and habitats</w:t>
            </w:r>
          </w:p>
        </w:tc>
        <w:tc>
          <w:tcPr>
            <w:tcW w:w="523" w:type="dxa"/>
            <w:noWrap/>
            <w:hideMark/>
          </w:tcPr>
          <w:p w:rsidR="001C55F3" w:rsidRPr="00BE14DD" w:rsidRDefault="001C55F3" w:rsidP="001C55F3">
            <w:pPr>
              <w:spacing w:after="0" w:line="240" w:lineRule="auto"/>
              <w:rPr>
                <w:szCs w:val="20"/>
              </w:rPr>
            </w:pPr>
            <w:r w:rsidRPr="00BE14DD">
              <w:rPr>
                <w:szCs w:val="20"/>
              </w:rPr>
              <w:t>4</w:t>
            </w:r>
          </w:p>
        </w:tc>
        <w:tc>
          <w:tcPr>
            <w:tcW w:w="3149" w:type="dxa"/>
            <w:hideMark/>
          </w:tcPr>
          <w:p w:rsidR="001C55F3" w:rsidRPr="00BE14DD" w:rsidRDefault="001C55F3" w:rsidP="001C55F3">
            <w:pPr>
              <w:spacing w:after="0" w:line="240" w:lineRule="auto"/>
              <w:rPr>
                <w:szCs w:val="20"/>
              </w:rPr>
            </w:pPr>
            <w:r w:rsidRPr="00BE14DD">
              <w:rPr>
                <w:szCs w:val="20"/>
              </w:rPr>
              <w:t>Ecosystem coverage</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vMerge/>
            <w:hideMark/>
          </w:tcPr>
          <w:p w:rsidR="001C55F3" w:rsidRPr="00BE14DD" w:rsidRDefault="001C55F3" w:rsidP="001C55F3">
            <w:pPr>
              <w:spacing w:after="0" w:line="240" w:lineRule="auto"/>
              <w:rPr>
                <w:szCs w:val="20"/>
              </w:rPr>
            </w:pPr>
          </w:p>
        </w:tc>
        <w:tc>
          <w:tcPr>
            <w:tcW w:w="523" w:type="dxa"/>
            <w:noWrap/>
            <w:hideMark/>
          </w:tcPr>
          <w:p w:rsidR="001C55F3" w:rsidRPr="00BE14DD" w:rsidRDefault="001C55F3" w:rsidP="001C55F3">
            <w:pPr>
              <w:spacing w:after="0" w:line="240" w:lineRule="auto"/>
              <w:rPr>
                <w:szCs w:val="20"/>
              </w:rPr>
            </w:pPr>
            <w:r w:rsidRPr="00BE14DD">
              <w:rPr>
                <w:szCs w:val="20"/>
              </w:rPr>
              <w:t>5</w:t>
            </w:r>
          </w:p>
        </w:tc>
        <w:tc>
          <w:tcPr>
            <w:tcW w:w="3149" w:type="dxa"/>
            <w:hideMark/>
          </w:tcPr>
          <w:p w:rsidR="001C55F3" w:rsidRPr="00BE14DD" w:rsidRDefault="001C55F3" w:rsidP="001C55F3">
            <w:pPr>
              <w:spacing w:after="0" w:line="240" w:lineRule="auto"/>
              <w:rPr>
                <w:szCs w:val="20"/>
              </w:rPr>
            </w:pPr>
            <w:r w:rsidRPr="00BE14DD">
              <w:rPr>
                <w:szCs w:val="20"/>
              </w:rPr>
              <w:t>Habitats of European interest</w:t>
            </w:r>
          </w:p>
        </w:tc>
      </w:tr>
      <w:tr w:rsidR="001C55F3" w:rsidRPr="00BE14DD" w:rsidTr="001C55F3">
        <w:trPr>
          <w:trHeight w:val="765"/>
        </w:trPr>
        <w:tc>
          <w:tcPr>
            <w:tcW w:w="2099" w:type="dxa"/>
            <w:vMerge/>
            <w:hideMark/>
          </w:tcPr>
          <w:p w:rsidR="001C55F3" w:rsidRPr="00BE14DD" w:rsidRDefault="001C55F3" w:rsidP="001C55F3">
            <w:pPr>
              <w:spacing w:after="0" w:line="240" w:lineRule="auto"/>
              <w:rPr>
                <w:szCs w:val="20"/>
              </w:rPr>
            </w:pPr>
          </w:p>
        </w:tc>
        <w:tc>
          <w:tcPr>
            <w:tcW w:w="3517" w:type="dxa"/>
            <w:hideMark/>
          </w:tcPr>
          <w:p w:rsidR="001C55F3" w:rsidRPr="00BE14DD" w:rsidRDefault="001C55F3" w:rsidP="001C55F3">
            <w:pPr>
              <w:spacing w:after="0" w:line="240" w:lineRule="auto"/>
              <w:rPr>
                <w:szCs w:val="20"/>
              </w:rPr>
            </w:pPr>
            <w:r w:rsidRPr="00BE14DD">
              <w:rPr>
                <w:szCs w:val="20"/>
              </w:rPr>
              <w:t>Trends in genetic diversity of domesticated animals, cultivated plants, and fish species of major socioeconomic importance</w:t>
            </w:r>
          </w:p>
        </w:tc>
        <w:tc>
          <w:tcPr>
            <w:tcW w:w="523" w:type="dxa"/>
            <w:noWrap/>
            <w:hideMark/>
          </w:tcPr>
          <w:p w:rsidR="001C55F3" w:rsidRPr="00BE14DD" w:rsidRDefault="001C55F3" w:rsidP="001C55F3">
            <w:pPr>
              <w:spacing w:after="0" w:line="240" w:lineRule="auto"/>
              <w:rPr>
                <w:szCs w:val="20"/>
              </w:rPr>
            </w:pPr>
            <w:r w:rsidRPr="00BE14DD">
              <w:rPr>
                <w:szCs w:val="20"/>
              </w:rPr>
              <w:t>6</w:t>
            </w:r>
          </w:p>
        </w:tc>
        <w:tc>
          <w:tcPr>
            <w:tcW w:w="3149" w:type="dxa"/>
            <w:hideMark/>
          </w:tcPr>
          <w:p w:rsidR="001C55F3" w:rsidRPr="00BE14DD" w:rsidRDefault="001C55F3" w:rsidP="001C55F3">
            <w:pPr>
              <w:spacing w:after="0" w:line="240" w:lineRule="auto"/>
              <w:rPr>
                <w:szCs w:val="20"/>
              </w:rPr>
            </w:pPr>
            <w:r w:rsidRPr="00BE14DD">
              <w:rPr>
                <w:szCs w:val="20"/>
              </w:rPr>
              <w:t>Livestock genetic diversity</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vMerge w:val="restart"/>
            <w:hideMark/>
          </w:tcPr>
          <w:p w:rsidR="001C55F3" w:rsidRPr="00BE14DD" w:rsidRDefault="001C55F3" w:rsidP="001C55F3">
            <w:pPr>
              <w:spacing w:after="0" w:line="240" w:lineRule="auto"/>
              <w:rPr>
                <w:szCs w:val="20"/>
              </w:rPr>
            </w:pPr>
            <w:r w:rsidRPr="00BE14DD">
              <w:rPr>
                <w:szCs w:val="20"/>
              </w:rPr>
              <w:t>Coverage of protected areas</w:t>
            </w:r>
          </w:p>
        </w:tc>
        <w:tc>
          <w:tcPr>
            <w:tcW w:w="523" w:type="dxa"/>
            <w:noWrap/>
            <w:hideMark/>
          </w:tcPr>
          <w:p w:rsidR="001C55F3" w:rsidRPr="00BE14DD" w:rsidRDefault="001C55F3" w:rsidP="001C55F3">
            <w:pPr>
              <w:spacing w:after="0" w:line="240" w:lineRule="auto"/>
              <w:rPr>
                <w:szCs w:val="20"/>
              </w:rPr>
            </w:pPr>
            <w:r w:rsidRPr="00BE14DD">
              <w:rPr>
                <w:szCs w:val="20"/>
              </w:rPr>
              <w:t>7</w:t>
            </w:r>
          </w:p>
        </w:tc>
        <w:tc>
          <w:tcPr>
            <w:tcW w:w="3149" w:type="dxa"/>
            <w:hideMark/>
          </w:tcPr>
          <w:p w:rsidR="001C55F3" w:rsidRPr="00BE14DD" w:rsidRDefault="001C55F3" w:rsidP="001C55F3">
            <w:pPr>
              <w:spacing w:after="0" w:line="240" w:lineRule="auto"/>
              <w:rPr>
                <w:szCs w:val="20"/>
              </w:rPr>
            </w:pPr>
            <w:r w:rsidRPr="00BE14DD">
              <w:rPr>
                <w:szCs w:val="20"/>
              </w:rPr>
              <w:t>Nationally designated protected areas</w:t>
            </w:r>
          </w:p>
        </w:tc>
      </w:tr>
      <w:tr w:rsidR="001C55F3" w:rsidRPr="00BE14DD" w:rsidTr="001C55F3">
        <w:trPr>
          <w:trHeight w:val="510"/>
        </w:trPr>
        <w:tc>
          <w:tcPr>
            <w:tcW w:w="2099" w:type="dxa"/>
            <w:vMerge/>
            <w:hideMark/>
          </w:tcPr>
          <w:p w:rsidR="001C55F3" w:rsidRPr="00BE14DD" w:rsidRDefault="001C55F3" w:rsidP="001C55F3">
            <w:pPr>
              <w:spacing w:after="0" w:line="240" w:lineRule="auto"/>
              <w:rPr>
                <w:szCs w:val="20"/>
              </w:rPr>
            </w:pPr>
          </w:p>
        </w:tc>
        <w:tc>
          <w:tcPr>
            <w:tcW w:w="3517" w:type="dxa"/>
            <w:vMerge/>
            <w:hideMark/>
          </w:tcPr>
          <w:p w:rsidR="001C55F3" w:rsidRPr="00BE14DD" w:rsidRDefault="001C55F3" w:rsidP="001C55F3">
            <w:pPr>
              <w:spacing w:after="0" w:line="240" w:lineRule="auto"/>
              <w:rPr>
                <w:szCs w:val="20"/>
              </w:rPr>
            </w:pPr>
          </w:p>
        </w:tc>
        <w:tc>
          <w:tcPr>
            <w:tcW w:w="523" w:type="dxa"/>
            <w:noWrap/>
            <w:hideMark/>
          </w:tcPr>
          <w:p w:rsidR="001C55F3" w:rsidRPr="00BE14DD" w:rsidRDefault="001C55F3" w:rsidP="001C55F3">
            <w:pPr>
              <w:spacing w:after="0" w:line="240" w:lineRule="auto"/>
              <w:rPr>
                <w:szCs w:val="20"/>
              </w:rPr>
            </w:pPr>
            <w:r w:rsidRPr="00BE14DD">
              <w:rPr>
                <w:szCs w:val="20"/>
              </w:rPr>
              <w:t>8</w:t>
            </w:r>
          </w:p>
        </w:tc>
        <w:tc>
          <w:tcPr>
            <w:tcW w:w="3149" w:type="dxa"/>
            <w:hideMark/>
          </w:tcPr>
          <w:p w:rsidR="001C55F3" w:rsidRPr="00BE14DD" w:rsidRDefault="001C55F3" w:rsidP="001C55F3">
            <w:pPr>
              <w:spacing w:after="0" w:line="240" w:lineRule="auto"/>
              <w:rPr>
                <w:szCs w:val="20"/>
              </w:rPr>
            </w:pPr>
            <w:r w:rsidRPr="00BE14DD">
              <w:rPr>
                <w:szCs w:val="20"/>
              </w:rPr>
              <w:t>Sites designated under the EU Habitats and birds Directives</w:t>
            </w:r>
          </w:p>
        </w:tc>
      </w:tr>
      <w:tr w:rsidR="001C55F3" w:rsidRPr="00BE14DD" w:rsidTr="001C55F3">
        <w:trPr>
          <w:trHeight w:val="255"/>
        </w:trPr>
        <w:tc>
          <w:tcPr>
            <w:tcW w:w="2099" w:type="dxa"/>
            <w:vMerge w:val="restart"/>
            <w:hideMark/>
          </w:tcPr>
          <w:p w:rsidR="001C55F3" w:rsidRPr="00BE14DD" w:rsidRDefault="001C55F3" w:rsidP="001C55F3">
            <w:pPr>
              <w:spacing w:after="0" w:line="240" w:lineRule="auto"/>
              <w:rPr>
                <w:szCs w:val="20"/>
              </w:rPr>
            </w:pPr>
            <w:r w:rsidRPr="00BE14DD">
              <w:rPr>
                <w:szCs w:val="20"/>
              </w:rPr>
              <w:t>Threats to biodiversity</w:t>
            </w:r>
          </w:p>
        </w:tc>
        <w:tc>
          <w:tcPr>
            <w:tcW w:w="3517" w:type="dxa"/>
            <w:hideMark/>
          </w:tcPr>
          <w:p w:rsidR="001C55F3" w:rsidRPr="00BE14DD" w:rsidRDefault="001C55F3" w:rsidP="001C55F3">
            <w:pPr>
              <w:spacing w:after="0" w:line="240" w:lineRule="auto"/>
              <w:rPr>
                <w:szCs w:val="20"/>
              </w:rPr>
            </w:pPr>
            <w:r w:rsidRPr="00BE14DD">
              <w:rPr>
                <w:szCs w:val="20"/>
              </w:rPr>
              <w:t>Nitrogen deposition</w:t>
            </w:r>
          </w:p>
        </w:tc>
        <w:tc>
          <w:tcPr>
            <w:tcW w:w="523" w:type="dxa"/>
            <w:noWrap/>
            <w:hideMark/>
          </w:tcPr>
          <w:p w:rsidR="001C55F3" w:rsidRPr="00BE14DD" w:rsidRDefault="001C55F3" w:rsidP="001C55F3">
            <w:pPr>
              <w:spacing w:after="0" w:line="240" w:lineRule="auto"/>
              <w:rPr>
                <w:szCs w:val="20"/>
              </w:rPr>
            </w:pPr>
            <w:r w:rsidRPr="00BE14DD">
              <w:rPr>
                <w:szCs w:val="20"/>
              </w:rPr>
              <w:t>9</w:t>
            </w:r>
          </w:p>
        </w:tc>
        <w:tc>
          <w:tcPr>
            <w:tcW w:w="3149" w:type="dxa"/>
            <w:hideMark/>
          </w:tcPr>
          <w:p w:rsidR="001C55F3" w:rsidRPr="00BE14DD" w:rsidRDefault="001C55F3" w:rsidP="001C55F3">
            <w:pPr>
              <w:spacing w:after="0" w:line="240" w:lineRule="auto"/>
              <w:rPr>
                <w:szCs w:val="20"/>
              </w:rPr>
            </w:pPr>
            <w:r w:rsidRPr="00BE14DD">
              <w:rPr>
                <w:szCs w:val="20"/>
              </w:rPr>
              <w:t>Critical load exceedance for nitrogen</w:t>
            </w:r>
          </w:p>
        </w:tc>
      </w:tr>
      <w:tr w:rsidR="001C55F3" w:rsidRPr="00BE14DD" w:rsidTr="001C55F3">
        <w:trPr>
          <w:trHeight w:val="510"/>
        </w:trPr>
        <w:tc>
          <w:tcPr>
            <w:tcW w:w="2099" w:type="dxa"/>
            <w:vMerge/>
            <w:hideMark/>
          </w:tcPr>
          <w:p w:rsidR="001C55F3" w:rsidRPr="00BE14DD" w:rsidRDefault="001C55F3" w:rsidP="001C55F3">
            <w:pPr>
              <w:spacing w:after="0" w:line="240" w:lineRule="auto"/>
              <w:rPr>
                <w:szCs w:val="20"/>
              </w:rPr>
            </w:pPr>
          </w:p>
        </w:tc>
        <w:tc>
          <w:tcPr>
            <w:tcW w:w="3517" w:type="dxa"/>
            <w:hideMark/>
          </w:tcPr>
          <w:p w:rsidR="001C55F3" w:rsidRPr="00BE14DD" w:rsidRDefault="001C55F3" w:rsidP="001C55F3">
            <w:pPr>
              <w:spacing w:after="0" w:line="240" w:lineRule="auto"/>
              <w:rPr>
                <w:b/>
                <w:szCs w:val="20"/>
              </w:rPr>
            </w:pPr>
            <w:r w:rsidRPr="00BE14DD">
              <w:rPr>
                <w:b/>
                <w:szCs w:val="20"/>
              </w:rPr>
              <w:t>Trends in invasive alien species (numbers and costs of invasive alien species)</w:t>
            </w:r>
          </w:p>
        </w:tc>
        <w:tc>
          <w:tcPr>
            <w:tcW w:w="523" w:type="dxa"/>
            <w:noWrap/>
            <w:hideMark/>
          </w:tcPr>
          <w:p w:rsidR="001C55F3" w:rsidRPr="00BE14DD" w:rsidRDefault="001C55F3" w:rsidP="001C55F3">
            <w:pPr>
              <w:spacing w:after="0" w:line="240" w:lineRule="auto"/>
              <w:rPr>
                <w:b/>
                <w:szCs w:val="20"/>
              </w:rPr>
            </w:pPr>
            <w:r w:rsidRPr="00BE14DD">
              <w:rPr>
                <w:b/>
                <w:szCs w:val="20"/>
              </w:rPr>
              <w:t>10</w:t>
            </w:r>
          </w:p>
        </w:tc>
        <w:tc>
          <w:tcPr>
            <w:tcW w:w="3149" w:type="dxa"/>
            <w:hideMark/>
          </w:tcPr>
          <w:p w:rsidR="001C55F3" w:rsidRPr="00BE14DD" w:rsidRDefault="001C55F3" w:rsidP="001C55F3">
            <w:pPr>
              <w:spacing w:after="0" w:line="240" w:lineRule="auto"/>
              <w:rPr>
                <w:b/>
                <w:szCs w:val="20"/>
              </w:rPr>
            </w:pPr>
            <w:r w:rsidRPr="00BE14DD">
              <w:rPr>
                <w:b/>
                <w:szCs w:val="20"/>
              </w:rPr>
              <w:t>Invasive alien species in Europe</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hideMark/>
          </w:tcPr>
          <w:p w:rsidR="001C55F3" w:rsidRPr="00BE14DD" w:rsidRDefault="001C55F3" w:rsidP="001C55F3">
            <w:pPr>
              <w:spacing w:after="0" w:line="240" w:lineRule="auto"/>
              <w:rPr>
                <w:b/>
                <w:szCs w:val="20"/>
              </w:rPr>
            </w:pPr>
            <w:r w:rsidRPr="00BE14DD">
              <w:rPr>
                <w:b/>
                <w:szCs w:val="20"/>
              </w:rPr>
              <w:t>Impact of climate change on biodiversity</w:t>
            </w:r>
          </w:p>
        </w:tc>
        <w:tc>
          <w:tcPr>
            <w:tcW w:w="523" w:type="dxa"/>
            <w:noWrap/>
            <w:hideMark/>
          </w:tcPr>
          <w:p w:rsidR="001C55F3" w:rsidRPr="00BE14DD" w:rsidRDefault="001C55F3" w:rsidP="001C55F3">
            <w:pPr>
              <w:spacing w:after="0" w:line="240" w:lineRule="auto"/>
              <w:rPr>
                <w:b/>
                <w:szCs w:val="20"/>
              </w:rPr>
            </w:pPr>
            <w:r w:rsidRPr="00BE14DD">
              <w:rPr>
                <w:b/>
                <w:szCs w:val="20"/>
              </w:rPr>
              <w:t>11</w:t>
            </w:r>
          </w:p>
        </w:tc>
        <w:tc>
          <w:tcPr>
            <w:tcW w:w="3149" w:type="dxa"/>
            <w:hideMark/>
          </w:tcPr>
          <w:p w:rsidR="001C55F3" w:rsidRPr="00BE14DD" w:rsidRDefault="001C55F3" w:rsidP="001C55F3">
            <w:pPr>
              <w:spacing w:after="0" w:line="240" w:lineRule="auto"/>
              <w:rPr>
                <w:b/>
                <w:szCs w:val="20"/>
              </w:rPr>
            </w:pPr>
            <w:r w:rsidRPr="00BE14DD">
              <w:rPr>
                <w:b/>
                <w:szCs w:val="20"/>
              </w:rPr>
              <w:t>Impact of climate change on bird populations</w:t>
            </w:r>
          </w:p>
        </w:tc>
      </w:tr>
      <w:tr w:rsidR="001C55F3" w:rsidRPr="00BE14DD" w:rsidTr="001C55F3">
        <w:trPr>
          <w:trHeight w:val="255"/>
        </w:trPr>
        <w:tc>
          <w:tcPr>
            <w:tcW w:w="2099" w:type="dxa"/>
            <w:vMerge w:val="restart"/>
            <w:hideMark/>
          </w:tcPr>
          <w:p w:rsidR="001C55F3" w:rsidRPr="00BE14DD" w:rsidRDefault="001C55F3" w:rsidP="001C55F3">
            <w:pPr>
              <w:spacing w:after="0" w:line="240" w:lineRule="auto"/>
              <w:rPr>
                <w:szCs w:val="20"/>
              </w:rPr>
            </w:pPr>
            <w:r w:rsidRPr="00BE14DD">
              <w:rPr>
                <w:szCs w:val="20"/>
              </w:rPr>
              <w:t>Ecosystem integrity and ecosystem goods and services</w:t>
            </w:r>
          </w:p>
        </w:tc>
        <w:tc>
          <w:tcPr>
            <w:tcW w:w="3517" w:type="dxa"/>
            <w:hideMark/>
          </w:tcPr>
          <w:p w:rsidR="001C55F3" w:rsidRPr="00BE14DD" w:rsidRDefault="001C55F3" w:rsidP="001C55F3">
            <w:pPr>
              <w:spacing w:after="0" w:line="240" w:lineRule="auto"/>
              <w:rPr>
                <w:b/>
                <w:szCs w:val="20"/>
              </w:rPr>
            </w:pPr>
            <w:r w:rsidRPr="00BE14DD">
              <w:rPr>
                <w:b/>
                <w:szCs w:val="20"/>
              </w:rPr>
              <w:t>Marine trophic Index</w:t>
            </w:r>
          </w:p>
        </w:tc>
        <w:tc>
          <w:tcPr>
            <w:tcW w:w="523" w:type="dxa"/>
            <w:noWrap/>
            <w:hideMark/>
          </w:tcPr>
          <w:p w:rsidR="001C55F3" w:rsidRPr="00BE14DD" w:rsidRDefault="001C55F3" w:rsidP="001C55F3">
            <w:pPr>
              <w:spacing w:after="0" w:line="240" w:lineRule="auto"/>
              <w:rPr>
                <w:b/>
                <w:szCs w:val="20"/>
              </w:rPr>
            </w:pPr>
            <w:r w:rsidRPr="00BE14DD">
              <w:rPr>
                <w:b/>
                <w:szCs w:val="20"/>
              </w:rPr>
              <w:t>12</w:t>
            </w:r>
          </w:p>
        </w:tc>
        <w:tc>
          <w:tcPr>
            <w:tcW w:w="3149" w:type="dxa"/>
            <w:hideMark/>
          </w:tcPr>
          <w:p w:rsidR="001C55F3" w:rsidRPr="00BE14DD" w:rsidRDefault="001C55F3" w:rsidP="001C55F3">
            <w:pPr>
              <w:spacing w:after="0" w:line="240" w:lineRule="auto"/>
              <w:rPr>
                <w:b/>
                <w:szCs w:val="20"/>
              </w:rPr>
            </w:pPr>
            <w:r w:rsidRPr="00BE14DD">
              <w:rPr>
                <w:b/>
                <w:szCs w:val="20"/>
              </w:rPr>
              <w:t>Marine Trophic Index of European seas</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vMerge w:val="restart"/>
            <w:hideMark/>
          </w:tcPr>
          <w:p w:rsidR="001C55F3" w:rsidRPr="00BE14DD" w:rsidRDefault="001C55F3" w:rsidP="001C55F3">
            <w:pPr>
              <w:spacing w:after="0" w:line="240" w:lineRule="auto"/>
              <w:rPr>
                <w:szCs w:val="20"/>
              </w:rPr>
            </w:pPr>
            <w:r w:rsidRPr="00BE14DD">
              <w:rPr>
                <w:szCs w:val="20"/>
              </w:rPr>
              <w:t>Connectivity/fragmentation of ecosystems</w:t>
            </w:r>
          </w:p>
        </w:tc>
        <w:tc>
          <w:tcPr>
            <w:tcW w:w="523" w:type="dxa"/>
            <w:noWrap/>
            <w:hideMark/>
          </w:tcPr>
          <w:p w:rsidR="001C55F3" w:rsidRPr="00BE14DD" w:rsidRDefault="001C55F3" w:rsidP="001C55F3">
            <w:pPr>
              <w:spacing w:after="0" w:line="240" w:lineRule="auto"/>
              <w:rPr>
                <w:szCs w:val="20"/>
              </w:rPr>
            </w:pPr>
            <w:r w:rsidRPr="00BE14DD">
              <w:rPr>
                <w:szCs w:val="20"/>
              </w:rPr>
              <w:t>13</w:t>
            </w:r>
          </w:p>
        </w:tc>
        <w:tc>
          <w:tcPr>
            <w:tcW w:w="3149" w:type="dxa"/>
            <w:hideMark/>
          </w:tcPr>
          <w:p w:rsidR="001C55F3" w:rsidRPr="00BE14DD" w:rsidRDefault="001C55F3" w:rsidP="001C55F3">
            <w:pPr>
              <w:spacing w:after="0" w:line="240" w:lineRule="auto"/>
              <w:rPr>
                <w:szCs w:val="20"/>
              </w:rPr>
            </w:pPr>
            <w:r w:rsidRPr="00BE14DD">
              <w:rPr>
                <w:szCs w:val="20"/>
              </w:rPr>
              <w:t>Fragmentation of natural and semi-natural areas</w:t>
            </w:r>
          </w:p>
        </w:tc>
      </w:tr>
      <w:tr w:rsidR="001C55F3" w:rsidRPr="00BE14DD" w:rsidTr="001C55F3">
        <w:trPr>
          <w:trHeight w:val="255"/>
        </w:trPr>
        <w:tc>
          <w:tcPr>
            <w:tcW w:w="2099" w:type="dxa"/>
            <w:vMerge/>
            <w:hideMark/>
          </w:tcPr>
          <w:p w:rsidR="001C55F3" w:rsidRPr="00BE14DD" w:rsidRDefault="001C55F3" w:rsidP="001C55F3">
            <w:pPr>
              <w:spacing w:after="0" w:line="240" w:lineRule="auto"/>
              <w:rPr>
                <w:szCs w:val="20"/>
              </w:rPr>
            </w:pPr>
          </w:p>
        </w:tc>
        <w:tc>
          <w:tcPr>
            <w:tcW w:w="3517" w:type="dxa"/>
            <w:vMerge/>
            <w:hideMark/>
          </w:tcPr>
          <w:p w:rsidR="001C55F3" w:rsidRPr="00BE14DD" w:rsidRDefault="001C55F3" w:rsidP="001C55F3">
            <w:pPr>
              <w:spacing w:after="0" w:line="240" w:lineRule="auto"/>
              <w:rPr>
                <w:szCs w:val="20"/>
              </w:rPr>
            </w:pPr>
          </w:p>
        </w:tc>
        <w:tc>
          <w:tcPr>
            <w:tcW w:w="523" w:type="dxa"/>
            <w:noWrap/>
            <w:hideMark/>
          </w:tcPr>
          <w:p w:rsidR="001C55F3" w:rsidRPr="00BE14DD" w:rsidRDefault="001C55F3" w:rsidP="001C55F3">
            <w:pPr>
              <w:spacing w:after="0" w:line="240" w:lineRule="auto"/>
              <w:rPr>
                <w:szCs w:val="20"/>
              </w:rPr>
            </w:pPr>
            <w:r w:rsidRPr="00BE14DD">
              <w:rPr>
                <w:szCs w:val="20"/>
              </w:rPr>
              <w:t>14</w:t>
            </w:r>
          </w:p>
        </w:tc>
        <w:tc>
          <w:tcPr>
            <w:tcW w:w="3149" w:type="dxa"/>
            <w:hideMark/>
          </w:tcPr>
          <w:p w:rsidR="001C55F3" w:rsidRPr="00BE14DD" w:rsidRDefault="001C55F3" w:rsidP="001C55F3">
            <w:pPr>
              <w:spacing w:after="0" w:line="240" w:lineRule="auto"/>
              <w:rPr>
                <w:szCs w:val="20"/>
              </w:rPr>
            </w:pPr>
            <w:r w:rsidRPr="00BE14DD">
              <w:rPr>
                <w:szCs w:val="20"/>
              </w:rPr>
              <w:t>Fragmentation of river systems</w:t>
            </w:r>
          </w:p>
        </w:tc>
      </w:tr>
      <w:tr w:rsidR="001C55F3" w:rsidRPr="00BE14DD" w:rsidTr="001C55F3">
        <w:trPr>
          <w:trHeight w:val="510"/>
        </w:trPr>
        <w:tc>
          <w:tcPr>
            <w:tcW w:w="2099" w:type="dxa"/>
            <w:vMerge/>
            <w:hideMark/>
          </w:tcPr>
          <w:p w:rsidR="001C55F3" w:rsidRPr="00BE14DD" w:rsidRDefault="001C55F3" w:rsidP="001C55F3">
            <w:pPr>
              <w:spacing w:line="240" w:lineRule="auto"/>
              <w:rPr>
                <w:szCs w:val="20"/>
              </w:rPr>
            </w:pPr>
          </w:p>
        </w:tc>
        <w:tc>
          <w:tcPr>
            <w:tcW w:w="3517" w:type="dxa"/>
            <w:vMerge w:val="restart"/>
            <w:hideMark/>
          </w:tcPr>
          <w:p w:rsidR="001C55F3" w:rsidRPr="00BE14DD" w:rsidRDefault="001C55F3" w:rsidP="001C55F3">
            <w:pPr>
              <w:spacing w:line="240" w:lineRule="auto"/>
              <w:rPr>
                <w:szCs w:val="20"/>
              </w:rPr>
            </w:pPr>
            <w:r w:rsidRPr="00BE14DD">
              <w:rPr>
                <w:szCs w:val="20"/>
              </w:rPr>
              <w:t>Water quality in aquatic ecosystems</w:t>
            </w:r>
          </w:p>
        </w:tc>
        <w:tc>
          <w:tcPr>
            <w:tcW w:w="523" w:type="dxa"/>
            <w:noWrap/>
            <w:hideMark/>
          </w:tcPr>
          <w:p w:rsidR="001C55F3" w:rsidRPr="00BE14DD" w:rsidRDefault="001C55F3" w:rsidP="001C55F3">
            <w:pPr>
              <w:spacing w:line="240" w:lineRule="auto"/>
              <w:rPr>
                <w:szCs w:val="20"/>
              </w:rPr>
            </w:pPr>
            <w:r w:rsidRPr="00BE14DD">
              <w:rPr>
                <w:szCs w:val="20"/>
              </w:rPr>
              <w:t>15</w:t>
            </w:r>
          </w:p>
        </w:tc>
        <w:tc>
          <w:tcPr>
            <w:tcW w:w="3149" w:type="dxa"/>
            <w:hideMark/>
          </w:tcPr>
          <w:p w:rsidR="001C55F3" w:rsidRPr="00BE14DD" w:rsidRDefault="001C55F3" w:rsidP="001C55F3">
            <w:pPr>
              <w:spacing w:line="240" w:lineRule="auto"/>
              <w:rPr>
                <w:szCs w:val="20"/>
              </w:rPr>
            </w:pPr>
            <w:r w:rsidRPr="00BE14DD">
              <w:rPr>
                <w:szCs w:val="20"/>
              </w:rPr>
              <w:t>Nutrients in transitional, coastal and marine waters</w:t>
            </w:r>
          </w:p>
        </w:tc>
      </w:tr>
      <w:tr w:rsidR="001C55F3" w:rsidRPr="00BE14DD" w:rsidTr="001C55F3">
        <w:trPr>
          <w:trHeight w:val="255"/>
        </w:trPr>
        <w:tc>
          <w:tcPr>
            <w:tcW w:w="2099" w:type="dxa"/>
            <w:vMerge/>
            <w:hideMark/>
          </w:tcPr>
          <w:p w:rsidR="001C55F3" w:rsidRPr="00BE14DD" w:rsidRDefault="001C55F3" w:rsidP="001C55F3">
            <w:pPr>
              <w:spacing w:line="240" w:lineRule="auto"/>
              <w:rPr>
                <w:szCs w:val="20"/>
              </w:rPr>
            </w:pPr>
          </w:p>
        </w:tc>
        <w:tc>
          <w:tcPr>
            <w:tcW w:w="3517" w:type="dxa"/>
            <w:vMerge/>
            <w:hideMark/>
          </w:tcPr>
          <w:p w:rsidR="001C55F3" w:rsidRPr="00BE14DD" w:rsidRDefault="001C55F3" w:rsidP="001C55F3">
            <w:pPr>
              <w:spacing w:line="240" w:lineRule="auto"/>
              <w:rPr>
                <w:szCs w:val="20"/>
              </w:rPr>
            </w:pPr>
          </w:p>
        </w:tc>
        <w:tc>
          <w:tcPr>
            <w:tcW w:w="523" w:type="dxa"/>
            <w:noWrap/>
            <w:hideMark/>
          </w:tcPr>
          <w:p w:rsidR="001C55F3" w:rsidRPr="00BE14DD" w:rsidRDefault="001C55F3" w:rsidP="001C55F3">
            <w:pPr>
              <w:spacing w:line="240" w:lineRule="auto"/>
              <w:rPr>
                <w:szCs w:val="20"/>
              </w:rPr>
            </w:pPr>
            <w:r w:rsidRPr="00BE14DD">
              <w:rPr>
                <w:szCs w:val="20"/>
              </w:rPr>
              <w:t>16</w:t>
            </w:r>
          </w:p>
        </w:tc>
        <w:tc>
          <w:tcPr>
            <w:tcW w:w="3149" w:type="dxa"/>
            <w:hideMark/>
          </w:tcPr>
          <w:p w:rsidR="001C55F3" w:rsidRPr="00BE14DD" w:rsidRDefault="001C55F3" w:rsidP="001C55F3">
            <w:pPr>
              <w:spacing w:line="240" w:lineRule="auto"/>
              <w:rPr>
                <w:szCs w:val="20"/>
              </w:rPr>
            </w:pPr>
            <w:r w:rsidRPr="00BE14DD">
              <w:rPr>
                <w:szCs w:val="20"/>
              </w:rPr>
              <w:t>Freshwater quality</w:t>
            </w:r>
          </w:p>
        </w:tc>
      </w:tr>
      <w:tr w:rsidR="001C55F3" w:rsidRPr="00BE14DD" w:rsidTr="001C55F3">
        <w:trPr>
          <w:trHeight w:val="255"/>
        </w:trPr>
        <w:tc>
          <w:tcPr>
            <w:tcW w:w="2099" w:type="dxa"/>
            <w:vMerge w:val="restart"/>
            <w:hideMark/>
          </w:tcPr>
          <w:p w:rsidR="001C55F3" w:rsidRPr="00BE14DD" w:rsidRDefault="001C55F3" w:rsidP="001C55F3">
            <w:pPr>
              <w:spacing w:line="240" w:lineRule="auto"/>
              <w:rPr>
                <w:szCs w:val="20"/>
              </w:rPr>
            </w:pPr>
            <w:r w:rsidRPr="00BE14DD">
              <w:rPr>
                <w:szCs w:val="20"/>
              </w:rPr>
              <w:t>Sustainable use</w:t>
            </w:r>
          </w:p>
        </w:tc>
        <w:tc>
          <w:tcPr>
            <w:tcW w:w="3517" w:type="dxa"/>
            <w:vMerge w:val="restart"/>
            <w:hideMark/>
          </w:tcPr>
          <w:p w:rsidR="001C55F3" w:rsidRPr="00BE14DD" w:rsidRDefault="001C55F3" w:rsidP="001C55F3">
            <w:pPr>
              <w:spacing w:line="240" w:lineRule="auto"/>
              <w:rPr>
                <w:szCs w:val="20"/>
              </w:rPr>
            </w:pPr>
            <w:r w:rsidRPr="00BE14DD">
              <w:rPr>
                <w:szCs w:val="20"/>
              </w:rPr>
              <w:t>Area of forest, agricultural, fishery and aquaculture ecosystems under sustainable management</w:t>
            </w:r>
          </w:p>
        </w:tc>
        <w:tc>
          <w:tcPr>
            <w:tcW w:w="523" w:type="dxa"/>
            <w:noWrap/>
            <w:hideMark/>
          </w:tcPr>
          <w:p w:rsidR="001C55F3" w:rsidRPr="00BE14DD" w:rsidRDefault="001C55F3" w:rsidP="001C55F3">
            <w:pPr>
              <w:spacing w:line="240" w:lineRule="auto"/>
              <w:rPr>
                <w:szCs w:val="20"/>
              </w:rPr>
            </w:pPr>
            <w:r w:rsidRPr="00BE14DD">
              <w:rPr>
                <w:szCs w:val="20"/>
              </w:rPr>
              <w:t>17</w:t>
            </w:r>
          </w:p>
        </w:tc>
        <w:tc>
          <w:tcPr>
            <w:tcW w:w="3149" w:type="dxa"/>
            <w:hideMark/>
          </w:tcPr>
          <w:p w:rsidR="001C55F3" w:rsidRPr="00BE14DD" w:rsidRDefault="001C55F3" w:rsidP="001C55F3">
            <w:pPr>
              <w:spacing w:line="240" w:lineRule="auto"/>
              <w:rPr>
                <w:szCs w:val="20"/>
              </w:rPr>
            </w:pPr>
            <w:r w:rsidRPr="00BE14DD">
              <w:rPr>
                <w:szCs w:val="20"/>
              </w:rPr>
              <w:t>Forest: growing stock, increment and fellings</w:t>
            </w:r>
          </w:p>
        </w:tc>
      </w:tr>
      <w:tr w:rsidR="001C55F3" w:rsidRPr="00BE14DD" w:rsidTr="001C55F3">
        <w:trPr>
          <w:trHeight w:val="255"/>
        </w:trPr>
        <w:tc>
          <w:tcPr>
            <w:tcW w:w="2099" w:type="dxa"/>
            <w:vMerge/>
            <w:hideMark/>
          </w:tcPr>
          <w:p w:rsidR="001C55F3" w:rsidRPr="00BE14DD" w:rsidRDefault="001C55F3" w:rsidP="001C55F3">
            <w:pPr>
              <w:spacing w:line="240" w:lineRule="auto"/>
              <w:rPr>
                <w:szCs w:val="20"/>
              </w:rPr>
            </w:pPr>
          </w:p>
        </w:tc>
        <w:tc>
          <w:tcPr>
            <w:tcW w:w="3517" w:type="dxa"/>
            <w:vMerge/>
            <w:hideMark/>
          </w:tcPr>
          <w:p w:rsidR="001C55F3" w:rsidRPr="00BE14DD" w:rsidRDefault="001C55F3" w:rsidP="001C55F3">
            <w:pPr>
              <w:spacing w:line="240" w:lineRule="auto"/>
              <w:rPr>
                <w:szCs w:val="20"/>
              </w:rPr>
            </w:pPr>
          </w:p>
        </w:tc>
        <w:tc>
          <w:tcPr>
            <w:tcW w:w="523" w:type="dxa"/>
            <w:noWrap/>
            <w:hideMark/>
          </w:tcPr>
          <w:p w:rsidR="001C55F3" w:rsidRPr="00BE14DD" w:rsidRDefault="001C55F3" w:rsidP="001C55F3">
            <w:pPr>
              <w:spacing w:line="240" w:lineRule="auto"/>
              <w:rPr>
                <w:szCs w:val="20"/>
              </w:rPr>
            </w:pPr>
            <w:r w:rsidRPr="00BE14DD">
              <w:rPr>
                <w:szCs w:val="20"/>
              </w:rPr>
              <w:t>18</w:t>
            </w:r>
          </w:p>
        </w:tc>
        <w:tc>
          <w:tcPr>
            <w:tcW w:w="3149" w:type="dxa"/>
            <w:hideMark/>
          </w:tcPr>
          <w:p w:rsidR="001C55F3" w:rsidRPr="00BE14DD" w:rsidRDefault="001C55F3" w:rsidP="001C55F3">
            <w:pPr>
              <w:spacing w:line="240" w:lineRule="auto"/>
              <w:rPr>
                <w:szCs w:val="20"/>
              </w:rPr>
            </w:pPr>
            <w:r w:rsidRPr="00BE14DD">
              <w:rPr>
                <w:szCs w:val="20"/>
              </w:rPr>
              <w:t>Forest: deadwood</w:t>
            </w:r>
          </w:p>
        </w:tc>
      </w:tr>
      <w:tr w:rsidR="001C55F3" w:rsidRPr="00BE14DD" w:rsidTr="001C55F3">
        <w:trPr>
          <w:trHeight w:val="255"/>
        </w:trPr>
        <w:tc>
          <w:tcPr>
            <w:tcW w:w="2099" w:type="dxa"/>
            <w:vMerge/>
            <w:hideMark/>
          </w:tcPr>
          <w:p w:rsidR="001C55F3" w:rsidRPr="00BE14DD" w:rsidRDefault="001C55F3" w:rsidP="001C55F3">
            <w:pPr>
              <w:spacing w:line="240" w:lineRule="auto"/>
              <w:rPr>
                <w:szCs w:val="20"/>
              </w:rPr>
            </w:pPr>
          </w:p>
        </w:tc>
        <w:tc>
          <w:tcPr>
            <w:tcW w:w="3517" w:type="dxa"/>
            <w:vMerge/>
            <w:hideMark/>
          </w:tcPr>
          <w:p w:rsidR="001C55F3" w:rsidRPr="00BE14DD" w:rsidRDefault="001C55F3" w:rsidP="001C55F3">
            <w:pPr>
              <w:spacing w:line="240" w:lineRule="auto"/>
              <w:rPr>
                <w:szCs w:val="20"/>
              </w:rPr>
            </w:pPr>
          </w:p>
        </w:tc>
        <w:tc>
          <w:tcPr>
            <w:tcW w:w="523" w:type="dxa"/>
            <w:noWrap/>
            <w:hideMark/>
          </w:tcPr>
          <w:p w:rsidR="001C55F3" w:rsidRPr="00BE14DD" w:rsidRDefault="001C55F3" w:rsidP="001C55F3">
            <w:pPr>
              <w:spacing w:line="240" w:lineRule="auto"/>
              <w:rPr>
                <w:szCs w:val="20"/>
              </w:rPr>
            </w:pPr>
            <w:r w:rsidRPr="00BE14DD">
              <w:rPr>
                <w:szCs w:val="20"/>
              </w:rPr>
              <w:t>19</w:t>
            </w:r>
          </w:p>
        </w:tc>
        <w:tc>
          <w:tcPr>
            <w:tcW w:w="3149" w:type="dxa"/>
            <w:hideMark/>
          </w:tcPr>
          <w:p w:rsidR="001C55F3" w:rsidRPr="00BE14DD" w:rsidRDefault="001C55F3" w:rsidP="001C55F3">
            <w:pPr>
              <w:spacing w:line="240" w:lineRule="auto"/>
              <w:rPr>
                <w:szCs w:val="20"/>
              </w:rPr>
            </w:pPr>
            <w:r w:rsidRPr="00BE14DD">
              <w:rPr>
                <w:szCs w:val="20"/>
              </w:rPr>
              <w:t>Agriculture: nitrogen balance</w:t>
            </w:r>
          </w:p>
        </w:tc>
      </w:tr>
      <w:tr w:rsidR="001C55F3" w:rsidRPr="00BE14DD" w:rsidTr="001C55F3">
        <w:trPr>
          <w:trHeight w:val="510"/>
        </w:trPr>
        <w:tc>
          <w:tcPr>
            <w:tcW w:w="2099" w:type="dxa"/>
            <w:vMerge/>
            <w:hideMark/>
          </w:tcPr>
          <w:p w:rsidR="001C55F3" w:rsidRPr="00BE14DD" w:rsidRDefault="001C55F3" w:rsidP="001C55F3">
            <w:pPr>
              <w:spacing w:line="240" w:lineRule="auto"/>
              <w:rPr>
                <w:szCs w:val="20"/>
              </w:rPr>
            </w:pPr>
          </w:p>
        </w:tc>
        <w:tc>
          <w:tcPr>
            <w:tcW w:w="3517" w:type="dxa"/>
            <w:vMerge/>
            <w:hideMark/>
          </w:tcPr>
          <w:p w:rsidR="001C55F3" w:rsidRPr="00BE14DD" w:rsidRDefault="001C55F3" w:rsidP="001C55F3">
            <w:pPr>
              <w:spacing w:line="240" w:lineRule="auto"/>
              <w:rPr>
                <w:szCs w:val="20"/>
              </w:rPr>
            </w:pPr>
          </w:p>
        </w:tc>
        <w:tc>
          <w:tcPr>
            <w:tcW w:w="523" w:type="dxa"/>
            <w:noWrap/>
            <w:hideMark/>
          </w:tcPr>
          <w:p w:rsidR="001C55F3" w:rsidRPr="00BE14DD" w:rsidRDefault="001C55F3" w:rsidP="001C55F3">
            <w:pPr>
              <w:spacing w:line="240" w:lineRule="auto"/>
              <w:rPr>
                <w:szCs w:val="20"/>
              </w:rPr>
            </w:pPr>
            <w:r w:rsidRPr="00BE14DD">
              <w:rPr>
                <w:szCs w:val="20"/>
              </w:rPr>
              <w:t>20</w:t>
            </w:r>
          </w:p>
        </w:tc>
        <w:tc>
          <w:tcPr>
            <w:tcW w:w="3149" w:type="dxa"/>
            <w:hideMark/>
          </w:tcPr>
          <w:p w:rsidR="001C55F3" w:rsidRPr="00BE14DD" w:rsidRDefault="001C55F3" w:rsidP="001C55F3">
            <w:pPr>
              <w:spacing w:line="240" w:lineRule="auto"/>
              <w:rPr>
                <w:szCs w:val="20"/>
              </w:rPr>
            </w:pPr>
            <w:r w:rsidRPr="00BE14DD">
              <w:rPr>
                <w:szCs w:val="20"/>
              </w:rPr>
              <w:t>Agriculture: area under management practices potentially supporting biodiversity</w:t>
            </w:r>
          </w:p>
        </w:tc>
      </w:tr>
      <w:tr w:rsidR="001C55F3" w:rsidRPr="00BE14DD" w:rsidTr="001C55F3">
        <w:trPr>
          <w:trHeight w:val="255"/>
        </w:trPr>
        <w:tc>
          <w:tcPr>
            <w:tcW w:w="2099" w:type="dxa"/>
            <w:vMerge/>
            <w:hideMark/>
          </w:tcPr>
          <w:p w:rsidR="001C55F3" w:rsidRPr="00BE14DD" w:rsidRDefault="001C55F3" w:rsidP="001C55F3">
            <w:pPr>
              <w:spacing w:line="240" w:lineRule="auto"/>
              <w:rPr>
                <w:szCs w:val="20"/>
              </w:rPr>
            </w:pPr>
          </w:p>
        </w:tc>
        <w:tc>
          <w:tcPr>
            <w:tcW w:w="3517" w:type="dxa"/>
            <w:vMerge/>
            <w:hideMark/>
          </w:tcPr>
          <w:p w:rsidR="001C55F3" w:rsidRPr="00BE14DD" w:rsidRDefault="001C55F3" w:rsidP="001C55F3">
            <w:pPr>
              <w:spacing w:line="240" w:lineRule="auto"/>
              <w:rPr>
                <w:szCs w:val="20"/>
              </w:rPr>
            </w:pPr>
          </w:p>
        </w:tc>
        <w:tc>
          <w:tcPr>
            <w:tcW w:w="523" w:type="dxa"/>
            <w:noWrap/>
            <w:hideMark/>
          </w:tcPr>
          <w:p w:rsidR="001C55F3" w:rsidRPr="00BE14DD" w:rsidRDefault="001C55F3" w:rsidP="001C55F3">
            <w:pPr>
              <w:spacing w:line="240" w:lineRule="auto"/>
              <w:rPr>
                <w:b/>
                <w:szCs w:val="20"/>
              </w:rPr>
            </w:pPr>
            <w:r w:rsidRPr="00BE14DD">
              <w:rPr>
                <w:b/>
                <w:szCs w:val="20"/>
              </w:rPr>
              <w:t>21</w:t>
            </w:r>
          </w:p>
        </w:tc>
        <w:tc>
          <w:tcPr>
            <w:tcW w:w="3149" w:type="dxa"/>
            <w:hideMark/>
          </w:tcPr>
          <w:p w:rsidR="001C55F3" w:rsidRPr="00BE14DD" w:rsidRDefault="001C55F3" w:rsidP="001C55F3">
            <w:pPr>
              <w:spacing w:line="240" w:lineRule="auto"/>
              <w:rPr>
                <w:b/>
                <w:szCs w:val="20"/>
              </w:rPr>
            </w:pPr>
            <w:r w:rsidRPr="00BE14DD">
              <w:rPr>
                <w:b/>
                <w:szCs w:val="20"/>
              </w:rPr>
              <w:t>Fisheries: European commercial fish stocks</w:t>
            </w:r>
          </w:p>
        </w:tc>
      </w:tr>
      <w:tr w:rsidR="001C55F3" w:rsidRPr="00BE14DD" w:rsidTr="001C55F3">
        <w:trPr>
          <w:trHeight w:val="510"/>
        </w:trPr>
        <w:tc>
          <w:tcPr>
            <w:tcW w:w="2099" w:type="dxa"/>
            <w:vMerge/>
            <w:hideMark/>
          </w:tcPr>
          <w:p w:rsidR="001C55F3" w:rsidRPr="00BE14DD" w:rsidRDefault="001C55F3" w:rsidP="001C55F3">
            <w:pPr>
              <w:spacing w:line="240" w:lineRule="auto"/>
              <w:rPr>
                <w:szCs w:val="20"/>
              </w:rPr>
            </w:pPr>
          </w:p>
        </w:tc>
        <w:tc>
          <w:tcPr>
            <w:tcW w:w="3517" w:type="dxa"/>
            <w:vMerge/>
            <w:hideMark/>
          </w:tcPr>
          <w:p w:rsidR="001C55F3" w:rsidRPr="00BE14DD" w:rsidRDefault="001C55F3" w:rsidP="001C55F3">
            <w:pPr>
              <w:spacing w:line="240" w:lineRule="auto"/>
              <w:rPr>
                <w:szCs w:val="20"/>
              </w:rPr>
            </w:pPr>
          </w:p>
        </w:tc>
        <w:tc>
          <w:tcPr>
            <w:tcW w:w="523" w:type="dxa"/>
            <w:noWrap/>
            <w:hideMark/>
          </w:tcPr>
          <w:p w:rsidR="001C55F3" w:rsidRPr="00BE14DD" w:rsidRDefault="001C55F3" w:rsidP="001C55F3">
            <w:pPr>
              <w:spacing w:line="240" w:lineRule="auto"/>
              <w:rPr>
                <w:szCs w:val="20"/>
              </w:rPr>
            </w:pPr>
            <w:r w:rsidRPr="00BE14DD">
              <w:rPr>
                <w:szCs w:val="20"/>
              </w:rPr>
              <w:t>22</w:t>
            </w:r>
          </w:p>
        </w:tc>
        <w:tc>
          <w:tcPr>
            <w:tcW w:w="3149" w:type="dxa"/>
            <w:hideMark/>
          </w:tcPr>
          <w:p w:rsidR="001C55F3" w:rsidRPr="00BE14DD" w:rsidRDefault="001C55F3" w:rsidP="001C55F3">
            <w:pPr>
              <w:spacing w:line="240" w:lineRule="auto"/>
              <w:rPr>
                <w:szCs w:val="20"/>
              </w:rPr>
            </w:pPr>
            <w:r w:rsidRPr="00BE14DD">
              <w:rPr>
                <w:szCs w:val="20"/>
              </w:rPr>
              <w:t>Aquaculture: effluent water quality from finfish farms</w:t>
            </w:r>
          </w:p>
        </w:tc>
      </w:tr>
      <w:tr w:rsidR="001C55F3" w:rsidRPr="00BE14DD" w:rsidTr="001C55F3">
        <w:trPr>
          <w:trHeight w:val="255"/>
        </w:trPr>
        <w:tc>
          <w:tcPr>
            <w:tcW w:w="2099" w:type="dxa"/>
            <w:vMerge/>
            <w:hideMark/>
          </w:tcPr>
          <w:p w:rsidR="001C55F3" w:rsidRPr="00BE14DD" w:rsidRDefault="001C55F3" w:rsidP="001C55F3">
            <w:pPr>
              <w:spacing w:line="240" w:lineRule="auto"/>
              <w:rPr>
                <w:szCs w:val="20"/>
              </w:rPr>
            </w:pPr>
          </w:p>
        </w:tc>
        <w:tc>
          <w:tcPr>
            <w:tcW w:w="3517" w:type="dxa"/>
            <w:hideMark/>
          </w:tcPr>
          <w:p w:rsidR="001C55F3" w:rsidRPr="00BE14DD" w:rsidRDefault="001C55F3" w:rsidP="001C55F3">
            <w:pPr>
              <w:spacing w:line="240" w:lineRule="auto"/>
              <w:rPr>
                <w:szCs w:val="20"/>
              </w:rPr>
            </w:pPr>
            <w:r w:rsidRPr="00BE14DD">
              <w:rPr>
                <w:szCs w:val="20"/>
              </w:rPr>
              <w:t>Ecological Footprint of European countries</w:t>
            </w:r>
          </w:p>
        </w:tc>
        <w:tc>
          <w:tcPr>
            <w:tcW w:w="523" w:type="dxa"/>
            <w:noWrap/>
            <w:hideMark/>
          </w:tcPr>
          <w:p w:rsidR="001C55F3" w:rsidRPr="00BE14DD" w:rsidRDefault="001C55F3" w:rsidP="001C55F3">
            <w:pPr>
              <w:spacing w:line="240" w:lineRule="auto"/>
              <w:rPr>
                <w:szCs w:val="20"/>
              </w:rPr>
            </w:pPr>
            <w:r w:rsidRPr="00BE14DD">
              <w:rPr>
                <w:szCs w:val="20"/>
              </w:rPr>
              <w:t>23</w:t>
            </w:r>
          </w:p>
        </w:tc>
        <w:tc>
          <w:tcPr>
            <w:tcW w:w="3149" w:type="dxa"/>
            <w:hideMark/>
          </w:tcPr>
          <w:p w:rsidR="001C55F3" w:rsidRPr="00BE14DD" w:rsidRDefault="001C55F3" w:rsidP="001C55F3">
            <w:pPr>
              <w:spacing w:line="240" w:lineRule="auto"/>
              <w:rPr>
                <w:szCs w:val="20"/>
              </w:rPr>
            </w:pPr>
            <w:r w:rsidRPr="00BE14DD">
              <w:rPr>
                <w:szCs w:val="20"/>
              </w:rPr>
              <w:t>Ecological Footprint of European countries</w:t>
            </w:r>
          </w:p>
        </w:tc>
      </w:tr>
      <w:tr w:rsidR="001C55F3" w:rsidRPr="00BE14DD" w:rsidTr="001C55F3">
        <w:trPr>
          <w:trHeight w:val="510"/>
        </w:trPr>
        <w:tc>
          <w:tcPr>
            <w:tcW w:w="2099" w:type="dxa"/>
            <w:hideMark/>
          </w:tcPr>
          <w:p w:rsidR="001C55F3" w:rsidRPr="00BE14DD" w:rsidRDefault="001C55F3" w:rsidP="001C55F3">
            <w:pPr>
              <w:spacing w:line="240" w:lineRule="auto"/>
              <w:rPr>
                <w:szCs w:val="20"/>
              </w:rPr>
            </w:pPr>
            <w:r w:rsidRPr="00BE14DD">
              <w:rPr>
                <w:szCs w:val="20"/>
              </w:rPr>
              <w:t>Status of access and benefits sharing</w:t>
            </w:r>
          </w:p>
        </w:tc>
        <w:tc>
          <w:tcPr>
            <w:tcW w:w="3517" w:type="dxa"/>
            <w:hideMark/>
          </w:tcPr>
          <w:p w:rsidR="001C55F3" w:rsidRPr="00BE14DD" w:rsidRDefault="001C55F3" w:rsidP="001C55F3">
            <w:pPr>
              <w:spacing w:line="240" w:lineRule="auto"/>
              <w:rPr>
                <w:szCs w:val="20"/>
              </w:rPr>
            </w:pPr>
            <w:r w:rsidRPr="00BE14DD">
              <w:rPr>
                <w:szCs w:val="20"/>
              </w:rPr>
              <w:t>Percentage of European patent applications for inventions based on genetic resources</w:t>
            </w:r>
          </w:p>
        </w:tc>
        <w:tc>
          <w:tcPr>
            <w:tcW w:w="523" w:type="dxa"/>
            <w:noWrap/>
            <w:hideMark/>
          </w:tcPr>
          <w:p w:rsidR="001C55F3" w:rsidRPr="00BE14DD" w:rsidRDefault="001C55F3" w:rsidP="001C55F3">
            <w:pPr>
              <w:spacing w:line="240" w:lineRule="auto"/>
              <w:rPr>
                <w:szCs w:val="20"/>
              </w:rPr>
            </w:pPr>
            <w:r w:rsidRPr="00BE14DD">
              <w:rPr>
                <w:szCs w:val="20"/>
              </w:rPr>
              <w:t>24</w:t>
            </w:r>
          </w:p>
        </w:tc>
        <w:tc>
          <w:tcPr>
            <w:tcW w:w="3149" w:type="dxa"/>
            <w:hideMark/>
          </w:tcPr>
          <w:p w:rsidR="001C55F3" w:rsidRPr="00BE14DD" w:rsidRDefault="001C55F3" w:rsidP="001C55F3">
            <w:pPr>
              <w:spacing w:line="240" w:lineRule="auto"/>
              <w:rPr>
                <w:szCs w:val="20"/>
              </w:rPr>
            </w:pPr>
            <w:r w:rsidRPr="00BE14DD">
              <w:rPr>
                <w:szCs w:val="20"/>
              </w:rPr>
              <w:t>Patent applications for inventions based on genetic resources</w:t>
            </w:r>
          </w:p>
        </w:tc>
      </w:tr>
      <w:tr w:rsidR="001C55F3" w:rsidRPr="00BE14DD" w:rsidTr="001C55F3">
        <w:trPr>
          <w:trHeight w:val="255"/>
        </w:trPr>
        <w:tc>
          <w:tcPr>
            <w:tcW w:w="2099" w:type="dxa"/>
            <w:hideMark/>
          </w:tcPr>
          <w:p w:rsidR="001C55F3" w:rsidRPr="00BE14DD" w:rsidRDefault="001C55F3" w:rsidP="001C55F3">
            <w:pPr>
              <w:spacing w:line="240" w:lineRule="auto"/>
              <w:rPr>
                <w:szCs w:val="20"/>
              </w:rPr>
            </w:pPr>
            <w:r w:rsidRPr="00BE14DD">
              <w:rPr>
                <w:szCs w:val="20"/>
              </w:rPr>
              <w:t>Status of resource transfers</w:t>
            </w:r>
          </w:p>
        </w:tc>
        <w:tc>
          <w:tcPr>
            <w:tcW w:w="3517" w:type="dxa"/>
            <w:hideMark/>
          </w:tcPr>
          <w:p w:rsidR="001C55F3" w:rsidRPr="00BE14DD" w:rsidRDefault="001C55F3" w:rsidP="001C55F3">
            <w:pPr>
              <w:spacing w:line="240" w:lineRule="auto"/>
              <w:rPr>
                <w:szCs w:val="20"/>
              </w:rPr>
            </w:pPr>
            <w:r w:rsidRPr="00BE14DD">
              <w:rPr>
                <w:szCs w:val="20"/>
              </w:rPr>
              <w:t>Funding to biodiversity</w:t>
            </w:r>
          </w:p>
        </w:tc>
        <w:tc>
          <w:tcPr>
            <w:tcW w:w="523" w:type="dxa"/>
            <w:noWrap/>
            <w:hideMark/>
          </w:tcPr>
          <w:p w:rsidR="001C55F3" w:rsidRPr="00BE14DD" w:rsidRDefault="001C55F3" w:rsidP="001C55F3">
            <w:pPr>
              <w:spacing w:line="240" w:lineRule="auto"/>
              <w:rPr>
                <w:szCs w:val="20"/>
              </w:rPr>
            </w:pPr>
            <w:r w:rsidRPr="00BE14DD">
              <w:rPr>
                <w:szCs w:val="20"/>
              </w:rPr>
              <w:t>25</w:t>
            </w:r>
          </w:p>
        </w:tc>
        <w:tc>
          <w:tcPr>
            <w:tcW w:w="3149" w:type="dxa"/>
            <w:hideMark/>
          </w:tcPr>
          <w:p w:rsidR="001C55F3" w:rsidRPr="00BE14DD" w:rsidRDefault="001C55F3" w:rsidP="001C55F3">
            <w:pPr>
              <w:spacing w:line="240" w:lineRule="auto"/>
              <w:rPr>
                <w:szCs w:val="20"/>
              </w:rPr>
            </w:pPr>
            <w:r w:rsidRPr="00BE14DD">
              <w:rPr>
                <w:szCs w:val="20"/>
              </w:rPr>
              <w:t>Financing biodiversity management</w:t>
            </w:r>
          </w:p>
        </w:tc>
      </w:tr>
      <w:tr w:rsidR="001C55F3" w:rsidRPr="00BE14DD" w:rsidTr="001C55F3">
        <w:trPr>
          <w:trHeight w:val="510"/>
        </w:trPr>
        <w:tc>
          <w:tcPr>
            <w:tcW w:w="2099" w:type="dxa"/>
            <w:hideMark/>
          </w:tcPr>
          <w:p w:rsidR="001C55F3" w:rsidRPr="00BE14DD" w:rsidRDefault="001C55F3" w:rsidP="001C55F3">
            <w:pPr>
              <w:spacing w:line="240" w:lineRule="auto"/>
              <w:rPr>
                <w:szCs w:val="20"/>
              </w:rPr>
            </w:pPr>
            <w:r w:rsidRPr="00BE14DD">
              <w:rPr>
                <w:szCs w:val="20"/>
              </w:rPr>
              <w:t>Public opinion (additional EU focal area)</w:t>
            </w:r>
          </w:p>
        </w:tc>
        <w:tc>
          <w:tcPr>
            <w:tcW w:w="3517" w:type="dxa"/>
            <w:hideMark/>
          </w:tcPr>
          <w:p w:rsidR="001C55F3" w:rsidRPr="00BE14DD" w:rsidRDefault="001C55F3" w:rsidP="001C55F3">
            <w:pPr>
              <w:spacing w:line="240" w:lineRule="auto"/>
              <w:rPr>
                <w:szCs w:val="20"/>
              </w:rPr>
            </w:pPr>
            <w:r w:rsidRPr="00BE14DD">
              <w:rPr>
                <w:szCs w:val="20"/>
              </w:rPr>
              <w:t>Public awareness and participation</w:t>
            </w:r>
          </w:p>
        </w:tc>
        <w:tc>
          <w:tcPr>
            <w:tcW w:w="523" w:type="dxa"/>
            <w:noWrap/>
            <w:hideMark/>
          </w:tcPr>
          <w:p w:rsidR="001C55F3" w:rsidRPr="00BE14DD" w:rsidRDefault="001C55F3" w:rsidP="001C55F3">
            <w:pPr>
              <w:spacing w:line="240" w:lineRule="auto"/>
              <w:rPr>
                <w:szCs w:val="20"/>
              </w:rPr>
            </w:pPr>
            <w:r w:rsidRPr="00BE14DD">
              <w:rPr>
                <w:szCs w:val="20"/>
              </w:rPr>
              <w:t>26</w:t>
            </w:r>
          </w:p>
        </w:tc>
        <w:tc>
          <w:tcPr>
            <w:tcW w:w="3149" w:type="dxa"/>
            <w:hideMark/>
          </w:tcPr>
          <w:p w:rsidR="001C55F3" w:rsidRPr="00BE14DD" w:rsidRDefault="001C55F3" w:rsidP="001C55F3">
            <w:pPr>
              <w:spacing w:line="240" w:lineRule="auto"/>
              <w:rPr>
                <w:szCs w:val="20"/>
              </w:rPr>
            </w:pPr>
            <w:r w:rsidRPr="00BE14DD">
              <w:rPr>
                <w:szCs w:val="20"/>
              </w:rPr>
              <w:t>Public awareness</w:t>
            </w:r>
          </w:p>
        </w:tc>
      </w:tr>
    </w:tbl>
    <w:p w:rsidR="001C55F3" w:rsidRPr="00BE14DD" w:rsidRDefault="001C55F3" w:rsidP="001C55F3">
      <w:pPr>
        <w:rPr>
          <w:szCs w:val="20"/>
        </w:rPr>
      </w:pPr>
      <w:r w:rsidRPr="00BE14DD">
        <w:rPr>
          <w:szCs w:val="20"/>
        </w:rPr>
        <w:t>Source: EEA, 2009</w:t>
      </w:r>
    </w:p>
    <w:p w:rsidR="001C55F3" w:rsidRPr="002130C9" w:rsidRDefault="001C55F3" w:rsidP="001C55F3">
      <w:pPr>
        <w:pBdr>
          <w:top w:val="single" w:sz="4" w:space="1" w:color="auto"/>
          <w:left w:val="single" w:sz="4" w:space="4" w:color="auto"/>
          <w:bottom w:val="single" w:sz="4" w:space="1" w:color="auto"/>
          <w:right w:val="single" w:sz="4" w:space="4" w:color="auto"/>
        </w:pBdr>
        <w:spacing w:line="240" w:lineRule="auto"/>
        <w:rPr>
          <w:i/>
        </w:rPr>
      </w:pPr>
      <w:r w:rsidRPr="002130C9">
        <w:rPr>
          <w:i/>
        </w:rPr>
        <w:t>General note</w:t>
      </w:r>
    </w:p>
    <w:p w:rsidR="001C55F3" w:rsidRPr="002130C9" w:rsidRDefault="001C55F3" w:rsidP="001C55F3">
      <w:pPr>
        <w:pBdr>
          <w:top w:val="single" w:sz="4" w:space="1" w:color="auto"/>
          <w:left w:val="single" w:sz="4" w:space="4" w:color="auto"/>
          <w:bottom w:val="single" w:sz="4" w:space="1" w:color="auto"/>
          <w:right w:val="single" w:sz="4" w:space="4" w:color="auto"/>
        </w:pBdr>
        <w:spacing w:line="240" w:lineRule="auto"/>
        <w:rPr>
          <w:i/>
        </w:rPr>
      </w:pPr>
      <w:r w:rsidRPr="002130C9">
        <w:rPr>
          <w:i/>
        </w:rPr>
        <w:t>It is important to realize that the way in which (indicator) species are used in the WFD is very different from the approach developed under the Birds and Habitats Directive. The assessment is based not on an assessment at the species level but in changes in the composition (f.i. number of species of specific trophic groups or gilds), abundance (biomass) or the presence of unwanted species or increase in the abundance of species (algae bloom). The MSFD combines both approaches but also introduces several indicators for species population conditions.</w:t>
      </w:r>
    </w:p>
    <w:p w:rsidR="001C55F3" w:rsidRPr="002130C9" w:rsidRDefault="001C55F3" w:rsidP="001C55F3">
      <w:pPr>
        <w:pBdr>
          <w:top w:val="single" w:sz="4" w:space="1" w:color="auto"/>
          <w:left w:val="single" w:sz="4" w:space="4" w:color="auto"/>
          <w:bottom w:val="single" w:sz="4" w:space="1" w:color="auto"/>
          <w:right w:val="single" w:sz="4" w:space="4" w:color="auto"/>
        </w:pBdr>
        <w:spacing w:line="240" w:lineRule="auto"/>
        <w:rPr>
          <w:i/>
        </w:rPr>
      </w:pPr>
      <w:r w:rsidRPr="002130C9">
        <w:rPr>
          <w:i/>
        </w:rPr>
        <w:t xml:space="preserve">Furthermore the overview presented on in table 2.2 which allocates the species listed on the Habitats Directive  based on their preference/ occurrence in a specific ecosystem is not based on a detailed assessment of the value of these species as indicator species for those ecosystem types. </w:t>
      </w:r>
    </w:p>
    <w:p w:rsidR="001C55F3" w:rsidRPr="00BE14DD" w:rsidRDefault="001C55F3" w:rsidP="001C55F3">
      <w:pPr>
        <w:pStyle w:val="Titre2"/>
        <w:rPr>
          <w:rFonts w:asciiTheme="minorHAnsi" w:hAnsiTheme="minorHAnsi"/>
        </w:rPr>
      </w:pPr>
      <w:r w:rsidRPr="00BE14DD">
        <w:rPr>
          <w:rFonts w:asciiTheme="minorHAnsi" w:hAnsiTheme="minorHAnsi"/>
        </w:rPr>
        <w:t>References</w:t>
      </w:r>
    </w:p>
    <w:p w:rsidR="001C55F3" w:rsidRPr="002130C9" w:rsidRDefault="001C55F3" w:rsidP="001C55F3">
      <w:pPr>
        <w:spacing w:line="240" w:lineRule="auto"/>
        <w:ind w:left="720" w:hanging="720"/>
      </w:pPr>
      <w:r w:rsidRPr="002130C9">
        <w:t xml:space="preserve">EC, 2003. </w:t>
      </w:r>
      <w:r w:rsidRPr="002130C9">
        <w:rPr>
          <w:lang w:val="en-US"/>
        </w:rPr>
        <w:t xml:space="preserve">Guidance document n. 7. </w:t>
      </w:r>
      <w:r w:rsidRPr="002130C9">
        <w:t>Monitoring under the Water Framework directive. Luxembourg Office of Official Publications of the European Community.</w:t>
      </w:r>
    </w:p>
    <w:p w:rsidR="001C55F3" w:rsidRPr="002130C9" w:rsidRDefault="001C55F3" w:rsidP="001C55F3">
      <w:pPr>
        <w:spacing w:line="240" w:lineRule="auto"/>
        <w:ind w:left="720" w:hanging="720"/>
      </w:pPr>
      <w:r w:rsidRPr="002130C9">
        <w:t>EEA, 2007. Halting the loss of biodiversity by 2010: proposal for a first set of indicators to monitor progress in Europe, p. 186. EEA, Copenhagen.</w:t>
      </w:r>
    </w:p>
    <w:p w:rsidR="001C55F3" w:rsidRPr="002130C9" w:rsidRDefault="001C55F3" w:rsidP="001C55F3">
      <w:pPr>
        <w:spacing w:line="240" w:lineRule="auto"/>
        <w:ind w:left="720" w:hanging="720"/>
      </w:pPr>
      <w:r w:rsidRPr="002130C9">
        <w:t>EEA, 2009 Progress towards the European 2010 biodiversity target. EEA Report No 4/2009. Office for Official Publications of the European Union.</w:t>
      </w:r>
    </w:p>
    <w:p w:rsidR="001C55F3" w:rsidRPr="00BE14DD" w:rsidRDefault="001C55F3" w:rsidP="001C55F3">
      <w:pPr>
        <w:spacing w:line="240" w:lineRule="auto"/>
      </w:pPr>
      <w:r w:rsidRPr="002130C9">
        <w:br w:type="page"/>
      </w:r>
    </w:p>
    <w:p w:rsidR="001C55F3" w:rsidRPr="002130C9" w:rsidRDefault="001C55F3" w:rsidP="00622218">
      <w:pPr>
        <w:pStyle w:val="Titre1"/>
        <w:numPr>
          <w:ilvl w:val="0"/>
          <w:numId w:val="109"/>
        </w:numPr>
        <w:rPr>
          <w:rFonts w:asciiTheme="minorHAnsi" w:hAnsiTheme="minorHAnsi"/>
          <w:sz w:val="36"/>
          <w:szCs w:val="36"/>
        </w:rPr>
      </w:pPr>
      <w:bookmarkStart w:id="32" w:name="_Toc356484298"/>
      <w:r w:rsidRPr="002130C9">
        <w:rPr>
          <w:rFonts w:asciiTheme="minorHAnsi" w:hAnsiTheme="minorHAnsi"/>
          <w:sz w:val="36"/>
          <w:szCs w:val="36"/>
        </w:rPr>
        <w:lastRenderedPageBreak/>
        <w:t>Country Case studies</w:t>
      </w:r>
      <w:bookmarkEnd w:id="32"/>
    </w:p>
    <w:p w:rsidR="001C55F3" w:rsidRPr="00BE14DD" w:rsidRDefault="001C55F3" w:rsidP="001C55F3"/>
    <w:p w:rsidR="001C55F3" w:rsidRPr="006C7372" w:rsidRDefault="001C55F3" w:rsidP="001C55F3">
      <w:pPr>
        <w:spacing w:line="240" w:lineRule="auto"/>
      </w:pPr>
      <w:r w:rsidRPr="006C7372">
        <w:t>In this chapter for three countries (Netherlands, Spain, Austria) and 1 region (Flanders) information on the national assessments are provided and the relationship with the reporting mechanism under the four Directives are discussed.</w:t>
      </w:r>
    </w:p>
    <w:p w:rsidR="001C55F3" w:rsidRPr="006C7372" w:rsidRDefault="001C55F3" w:rsidP="001C55F3">
      <w:pPr>
        <w:spacing w:after="0" w:line="240" w:lineRule="auto"/>
      </w:pPr>
      <w:r w:rsidRPr="006C7372">
        <w:t>For each country or region the following information is presented</w:t>
      </w:r>
    </w:p>
    <w:p w:rsidR="001C55F3" w:rsidRPr="006C7372" w:rsidRDefault="001C55F3" w:rsidP="00622218">
      <w:pPr>
        <w:pStyle w:val="Paragraphedeliste"/>
        <w:numPr>
          <w:ilvl w:val="0"/>
          <w:numId w:val="94"/>
        </w:numPr>
        <w:spacing w:line="240" w:lineRule="auto"/>
      </w:pPr>
      <w:r w:rsidRPr="006C7372">
        <w:t>General information on the assessments undertaken in the country or region</w:t>
      </w:r>
    </w:p>
    <w:p w:rsidR="001C55F3" w:rsidRPr="006C7372" w:rsidRDefault="001C55F3" w:rsidP="00622218">
      <w:pPr>
        <w:pStyle w:val="Paragraphedeliste"/>
        <w:numPr>
          <w:ilvl w:val="0"/>
          <w:numId w:val="94"/>
        </w:numPr>
        <w:spacing w:line="240" w:lineRule="auto"/>
        <w:rPr>
          <w:i/>
        </w:rPr>
      </w:pPr>
      <w:r w:rsidRPr="006C7372">
        <w:t>Specific information on the monitoring for  species, habitats and ecosystems</w:t>
      </w:r>
    </w:p>
    <w:p w:rsidR="001C55F3" w:rsidRPr="006C7372" w:rsidRDefault="001C55F3" w:rsidP="00622218">
      <w:pPr>
        <w:pStyle w:val="Paragraphedeliste"/>
        <w:numPr>
          <w:ilvl w:val="0"/>
          <w:numId w:val="94"/>
        </w:numPr>
        <w:spacing w:line="240" w:lineRule="auto"/>
        <w:rPr>
          <w:i/>
        </w:rPr>
      </w:pPr>
      <w:r w:rsidRPr="006C7372">
        <w:t>Relation between national assessments and EU reporting obligations on ecosystem state</w:t>
      </w:r>
    </w:p>
    <w:p w:rsidR="001C55F3" w:rsidRPr="006C7372" w:rsidRDefault="001C55F3" w:rsidP="00622218">
      <w:pPr>
        <w:pStyle w:val="Paragraphedeliste"/>
        <w:numPr>
          <w:ilvl w:val="0"/>
          <w:numId w:val="94"/>
        </w:numPr>
        <w:spacing w:line="240" w:lineRule="auto"/>
        <w:rPr>
          <w:i/>
        </w:rPr>
      </w:pPr>
      <w:r w:rsidRPr="006C7372">
        <w:t>Conclusions</w:t>
      </w:r>
    </w:p>
    <w:p w:rsidR="001C55F3" w:rsidRPr="006C7372" w:rsidRDefault="001C55F3" w:rsidP="001C55F3">
      <w:pPr>
        <w:spacing w:line="240" w:lineRule="auto"/>
      </w:pPr>
      <w:r w:rsidRPr="006C7372">
        <w:t xml:space="preserve">For Spain information is also provided on the use of this information in the national ecosystem services assessment. </w:t>
      </w:r>
    </w:p>
    <w:p w:rsidR="001C55F3" w:rsidRPr="00BE14DD" w:rsidRDefault="001C55F3" w:rsidP="001C55F3">
      <w:pPr>
        <w:pStyle w:val="Titre2"/>
        <w:rPr>
          <w:rFonts w:asciiTheme="minorHAnsi" w:hAnsiTheme="minorHAnsi"/>
        </w:rPr>
      </w:pPr>
      <w:bookmarkStart w:id="33" w:name="_Toc356484299"/>
      <w:r w:rsidRPr="00BE14DD">
        <w:rPr>
          <w:rFonts w:asciiTheme="minorHAnsi" w:hAnsiTheme="minorHAnsi"/>
        </w:rPr>
        <w:t>4.1 The Netherlands</w:t>
      </w:r>
      <w:bookmarkEnd w:id="33"/>
    </w:p>
    <w:p w:rsidR="001C55F3" w:rsidRPr="006C7372" w:rsidRDefault="001C55F3" w:rsidP="001C55F3">
      <w:pPr>
        <w:pStyle w:val="Titre3"/>
        <w:rPr>
          <w:rFonts w:asciiTheme="minorHAnsi" w:hAnsiTheme="minorHAnsi"/>
          <w:sz w:val="22"/>
        </w:rPr>
      </w:pPr>
      <w:r w:rsidRPr="006C7372">
        <w:rPr>
          <w:rFonts w:asciiTheme="minorHAnsi" w:hAnsiTheme="minorHAnsi"/>
          <w:sz w:val="22"/>
        </w:rPr>
        <w:t>4.1.1 General information on the national or regional assessment</w:t>
      </w:r>
    </w:p>
    <w:p w:rsidR="001C55F3" w:rsidRPr="006C7372" w:rsidRDefault="001C55F3" w:rsidP="001C55F3">
      <w:pPr>
        <w:spacing w:line="240" w:lineRule="auto"/>
      </w:pPr>
      <w:r w:rsidRPr="006C7372">
        <w:t>In the Netherlands a two yearly national assessment on the state of the environment (Balans van de Leefomgeving) is published</w:t>
      </w:r>
      <w:r w:rsidRPr="006C7372">
        <w:rPr>
          <w:rStyle w:val="Appelnotedebasdep"/>
        </w:rPr>
        <w:footnoteReference w:id="6"/>
      </w:r>
      <w:r w:rsidRPr="006C7372">
        <w:t xml:space="preserve">.  Reporting on the status of nature and biodiversity in the Netherlands  is legally established and assigned to the </w:t>
      </w:r>
      <w:r w:rsidRPr="006C7372">
        <w:rPr>
          <w:lang/>
        </w:rPr>
        <w:t>Netherlands Environmental Assessment Agency (http://www.pbl.nl/en/)</w:t>
      </w:r>
      <w:r w:rsidRPr="006C7372">
        <w:t xml:space="preserve">. For the national assessments a broad range of indicators have been developed following the DPSIR frameworks (http://www.compendiumvoordeleefomgeving.nl/). </w:t>
      </w:r>
    </w:p>
    <w:p w:rsidR="001C55F3" w:rsidRPr="006C7372" w:rsidRDefault="001C55F3" w:rsidP="001C55F3">
      <w:pPr>
        <w:spacing w:line="240" w:lineRule="auto"/>
      </w:pPr>
      <w:r w:rsidRPr="006C7372">
        <w:t>For biodiversity information a national monitoring network is operational that provides the majority of information for the national assessments. This network, the Network of Ecological monitoring (NEM) is supported by several NGO that yearly assess the presence and abundance of a large number of species. The CNS – Statistics Netherlands and the Netherlands Environmental Assessment Agency are responsible for data analysis and reporting.</w:t>
      </w:r>
    </w:p>
    <w:p w:rsidR="001C55F3" w:rsidRPr="006C7372" w:rsidRDefault="001C55F3" w:rsidP="001C55F3">
      <w:pPr>
        <w:spacing w:line="240" w:lineRule="auto"/>
      </w:pPr>
      <w:r w:rsidRPr="006C7372">
        <w:t>On a regular basis information is provided to asses trends in species and based on a selection of indicator species the status of the major ecosystem groups is determined.  Recently a new system has been introduced to assess the quality of specific ecosystem types which are the target of Dutch policy and management of both state and private NGO’s. This system is still under development.</w:t>
      </w:r>
    </w:p>
    <w:p w:rsidR="001C55F3" w:rsidRPr="006C7372" w:rsidRDefault="001C55F3" w:rsidP="001C55F3">
      <w:pPr>
        <w:spacing w:after="0" w:line="240" w:lineRule="auto"/>
      </w:pPr>
      <w:r w:rsidRPr="006C7372">
        <w:t>The next paragraph illustrates some of the most frequently used biotic data sources.</w:t>
      </w:r>
    </w:p>
    <w:p w:rsidR="001C55F3" w:rsidRDefault="001C55F3" w:rsidP="001C55F3">
      <w:pPr>
        <w:pStyle w:val="Titre3"/>
        <w:rPr>
          <w:rFonts w:asciiTheme="minorHAnsi" w:hAnsiTheme="minorHAnsi"/>
          <w:sz w:val="22"/>
          <w:u w:val="single"/>
        </w:rPr>
      </w:pPr>
      <w:r w:rsidRPr="006C7372">
        <w:rPr>
          <w:rFonts w:asciiTheme="minorHAnsi" w:hAnsiTheme="minorHAnsi"/>
          <w:sz w:val="22"/>
        </w:rPr>
        <w:t>4.1.2 Components of biodiversity monitored or surveyed</w:t>
      </w:r>
    </w:p>
    <w:p w:rsidR="001C55F3" w:rsidRPr="006C7372" w:rsidRDefault="001C55F3" w:rsidP="001C55F3"/>
    <w:p w:rsidR="001C55F3" w:rsidRPr="006C7372" w:rsidRDefault="001C55F3" w:rsidP="00622218">
      <w:pPr>
        <w:pStyle w:val="Paragraphedeliste"/>
        <w:numPr>
          <w:ilvl w:val="0"/>
          <w:numId w:val="106"/>
        </w:numPr>
        <w:spacing w:after="0" w:line="240" w:lineRule="auto"/>
        <w:rPr>
          <w:u w:val="single"/>
        </w:rPr>
      </w:pPr>
      <w:r w:rsidRPr="006C7372">
        <w:rPr>
          <w:u w:val="single"/>
        </w:rPr>
        <w:t xml:space="preserve">SPECIES </w:t>
      </w:r>
    </w:p>
    <w:p w:rsidR="001C55F3" w:rsidRPr="006C7372" w:rsidRDefault="001C55F3" w:rsidP="001C55F3">
      <w:pPr>
        <w:spacing w:line="240" w:lineRule="auto"/>
      </w:pPr>
      <w:r w:rsidRPr="006C7372">
        <w:t xml:space="preserve">In the NEM- network trend data based on a standardised sampling method at specific locations are gathered </w:t>
      </w:r>
      <w:r w:rsidRPr="006C7372">
        <w:rPr>
          <w:b/>
        </w:rPr>
        <w:t>yearly</w:t>
      </w:r>
      <w:r w:rsidRPr="006C7372">
        <w:t xml:space="preserve"> for the following species groups: Butterflies, Mammals, Reptiles, Amphibians, Breeding birds, water birds, meadow birds, Dragonflies, Fungi (see below for the specific approach for each species groups</w:t>
      </w:r>
      <w:r w:rsidRPr="006C7372">
        <w:rPr>
          <w:rStyle w:val="Appelnotedebasdep"/>
        </w:rPr>
        <w:footnoteReference w:id="7"/>
      </w:r>
      <w:r w:rsidRPr="006C7372">
        <w:t>). Additionally a monitoring scheme is operational that inventories the presence and for some species groups the abundance in 1*1 km squares in the Netherlands.  This scheme is operational for the before mentioned species groups as well as for fish and plants species.</w:t>
      </w:r>
    </w:p>
    <w:p w:rsidR="001C55F3" w:rsidRPr="006C7372" w:rsidRDefault="001C55F3" w:rsidP="001C55F3">
      <w:pPr>
        <w:spacing w:line="240" w:lineRule="auto"/>
      </w:pPr>
      <w:r w:rsidRPr="006C7372">
        <w:lastRenderedPageBreak/>
        <w:t>In order to ensure data-quality for all groups field manuals and research descriptions have been developed to instruct the volunteers participating in the monitoring schemes (see http://www.netwerkecologischemonitoring.nl/meetnetten)</w:t>
      </w:r>
    </w:p>
    <w:p w:rsidR="001C55F3" w:rsidRPr="006C7372" w:rsidRDefault="001C55F3" w:rsidP="001C55F3">
      <w:pPr>
        <w:spacing w:after="0" w:line="240" w:lineRule="auto"/>
        <w:rPr>
          <w:i/>
        </w:rPr>
      </w:pPr>
      <w:r w:rsidRPr="006C7372">
        <w:rPr>
          <w:i/>
        </w:rPr>
        <w:t>Breeding Birds</w:t>
      </w:r>
    </w:p>
    <w:p w:rsidR="001C55F3" w:rsidRPr="006C7372" w:rsidRDefault="001C55F3" w:rsidP="001C55F3">
      <w:pPr>
        <w:pStyle w:val="NormalWeb"/>
        <w:rPr>
          <w:rFonts w:asciiTheme="minorHAnsi" w:hAnsiTheme="minorHAnsi" w:cs="Arial"/>
          <w:sz w:val="22"/>
          <w:szCs w:val="22"/>
        </w:rPr>
      </w:pPr>
      <w:r w:rsidRPr="006C7372">
        <w:rPr>
          <w:rFonts w:asciiTheme="minorHAnsi" w:hAnsiTheme="minorHAnsi" w:cs="TT2BDBO00"/>
          <w:sz w:val="22"/>
          <w:szCs w:val="22"/>
        </w:rPr>
        <w:t>The Dutch Breeding Bird Monitoring program</w:t>
      </w:r>
      <w:r w:rsidRPr="006C7372">
        <w:rPr>
          <w:rFonts w:asciiTheme="minorHAnsi" w:hAnsiTheme="minorHAnsi" w:cs="Arial"/>
          <w:sz w:val="22"/>
          <w:szCs w:val="22"/>
        </w:rPr>
        <w:t xml:space="preserve"> consist of two projects  Breeding Birds Monitoring Project ( ‘ Broedvogel Monitoring Project ‘) en the country wide survey for breeding birds (Landelijk Soortonderzoek Broedvogels).</w:t>
      </w:r>
    </w:p>
    <w:p w:rsidR="001C55F3" w:rsidRPr="006C7372" w:rsidRDefault="001C55F3" w:rsidP="001C55F3">
      <w:pPr>
        <w:pStyle w:val="NormalWeb"/>
        <w:rPr>
          <w:rFonts w:asciiTheme="minorHAnsi" w:hAnsiTheme="minorHAnsi" w:cs="Arial"/>
          <w:sz w:val="22"/>
          <w:szCs w:val="22"/>
        </w:rPr>
      </w:pPr>
      <w:r w:rsidRPr="006C7372">
        <w:rPr>
          <w:rFonts w:asciiTheme="minorHAnsi" w:hAnsiTheme="minorHAnsi" w:cs="Arial"/>
          <w:sz w:val="22"/>
          <w:szCs w:val="22"/>
        </w:rPr>
        <w:t>In the BMP common and less rare species are monitored. On approximately 1000 permanent locations (on average 100 ha large)  At each location all species are counted or in some cases a limited number of species (meadow birds, birds of prey) . In the LSB project all rare species and colony birds are counted – in principle all breeding pairs are counted, for some of the rare species this is not feasible but in this case the core areas are counted which harbour 50% of the population.</w:t>
      </w:r>
    </w:p>
    <w:p w:rsidR="001C55F3" w:rsidRPr="006C7372" w:rsidRDefault="001C55F3" w:rsidP="001C55F3">
      <w:pPr>
        <w:spacing w:after="0" w:line="240" w:lineRule="auto"/>
        <w:rPr>
          <w:i/>
        </w:rPr>
      </w:pPr>
      <w:r w:rsidRPr="006C7372">
        <w:rPr>
          <w:i/>
        </w:rPr>
        <w:t>Water birds</w:t>
      </w:r>
    </w:p>
    <w:p w:rsidR="001C55F3" w:rsidRPr="006C7372" w:rsidRDefault="001C55F3" w:rsidP="001C55F3">
      <w:pPr>
        <w:spacing w:after="0" w:line="240" w:lineRule="auto"/>
        <w:rPr>
          <w:rFonts w:eastAsia="Times New Roman" w:cs="Arial"/>
          <w:lang w:eastAsia="en-GB"/>
        </w:rPr>
      </w:pPr>
      <w:r w:rsidRPr="006C7372">
        <w:rPr>
          <w:rFonts w:eastAsia="Times New Roman" w:cs="Arial"/>
          <w:lang w:eastAsia="en-GB"/>
        </w:rPr>
        <w:t xml:space="preserve">The core of the monitoring network for water birds consist of monitoring area which in which the bird species are counted on a monthly basis of in a specific time of the year. Aim  is to monitor the occurrence of species in the large Dutch water bodies as well as SPA and Ramsar sites. </w:t>
      </w:r>
    </w:p>
    <w:p w:rsidR="001C55F3" w:rsidRPr="006C7372" w:rsidRDefault="001C55F3" w:rsidP="001C55F3">
      <w:pPr>
        <w:spacing w:after="0" w:line="240" w:lineRule="auto"/>
        <w:rPr>
          <w:rFonts w:eastAsia="Times New Roman" w:cs="Arial"/>
          <w:lang w:eastAsia="en-GB"/>
        </w:rPr>
      </w:pPr>
    </w:p>
    <w:p w:rsidR="001C55F3" w:rsidRPr="006C7372" w:rsidRDefault="001C55F3" w:rsidP="001C55F3">
      <w:pPr>
        <w:pStyle w:val="NormalWeb"/>
        <w:rPr>
          <w:rFonts w:asciiTheme="minorHAnsi" w:hAnsiTheme="minorHAnsi" w:cs="Arial"/>
          <w:i/>
          <w:sz w:val="22"/>
          <w:szCs w:val="22"/>
        </w:rPr>
      </w:pPr>
      <w:r w:rsidRPr="006C7372">
        <w:rPr>
          <w:rFonts w:asciiTheme="minorHAnsi" w:hAnsiTheme="minorHAnsi" w:cs="Arial"/>
          <w:i/>
          <w:sz w:val="22"/>
          <w:szCs w:val="22"/>
        </w:rPr>
        <w:t>Mammals</w:t>
      </w:r>
    </w:p>
    <w:p w:rsidR="001C55F3" w:rsidRPr="006C7372" w:rsidRDefault="001C55F3" w:rsidP="001C55F3">
      <w:pPr>
        <w:pStyle w:val="NormalWeb"/>
        <w:rPr>
          <w:rFonts w:asciiTheme="minorHAnsi" w:hAnsiTheme="minorHAnsi" w:cs="Arial"/>
          <w:sz w:val="22"/>
          <w:szCs w:val="22"/>
        </w:rPr>
      </w:pPr>
      <w:r w:rsidRPr="006C7372">
        <w:rPr>
          <w:rFonts w:asciiTheme="minorHAnsi" w:hAnsiTheme="minorHAnsi" w:cs="Arial"/>
          <w:sz w:val="22"/>
          <w:szCs w:val="22"/>
        </w:rPr>
        <w:t>The counting of day-active mammals is occurring simultaneously with the counting of the  BMP monitoring plots, A sample of the BMP is taken. For rabbits an additional monitoring scheme is operational in the dune areas.</w:t>
      </w:r>
    </w:p>
    <w:p w:rsidR="001C55F3" w:rsidRPr="006C7372" w:rsidRDefault="001C55F3" w:rsidP="001C55F3">
      <w:pPr>
        <w:pStyle w:val="NormalWeb"/>
        <w:rPr>
          <w:rFonts w:asciiTheme="minorHAnsi" w:hAnsiTheme="minorHAnsi" w:cs="Arial"/>
          <w:sz w:val="22"/>
          <w:szCs w:val="22"/>
        </w:rPr>
      </w:pPr>
    </w:p>
    <w:p w:rsidR="001C55F3" w:rsidRPr="006C7372" w:rsidRDefault="001C55F3" w:rsidP="001C55F3">
      <w:pPr>
        <w:spacing w:after="0" w:line="240" w:lineRule="auto"/>
        <w:rPr>
          <w:i/>
        </w:rPr>
      </w:pPr>
      <w:r w:rsidRPr="006C7372">
        <w:rPr>
          <w:i/>
        </w:rPr>
        <w:t>Butterflies</w:t>
      </w:r>
    </w:p>
    <w:p w:rsidR="001C55F3" w:rsidRPr="006C7372" w:rsidRDefault="001C55F3" w:rsidP="001C55F3">
      <w:pPr>
        <w:spacing w:after="0" w:line="240" w:lineRule="auto"/>
      </w:pPr>
      <w:r w:rsidRPr="006C7372">
        <w:rPr>
          <w:rFonts w:cs="Arial"/>
        </w:rPr>
        <w:t xml:space="preserve">The monitoring of butterflies species is occurring along permanent routes of approx. 1 km length. Between 1 April and 1 October  weekly counting of all butterfly species take place. Additional there are routes which focus on counting of a particular species, counting occurs in when the majority of the species is expected to be present. Additionally there are three species of butterflies of which the eggs are counted as a monitoring system for the adults is not possible.  </w:t>
      </w:r>
    </w:p>
    <w:p w:rsidR="001C55F3" w:rsidRPr="006C7372" w:rsidRDefault="001C55F3" w:rsidP="001C55F3">
      <w:pPr>
        <w:spacing w:after="0" w:line="240" w:lineRule="auto"/>
      </w:pPr>
    </w:p>
    <w:p w:rsidR="001C55F3" w:rsidRPr="006C7372" w:rsidRDefault="001C55F3" w:rsidP="001C55F3">
      <w:pPr>
        <w:spacing w:after="0" w:line="240" w:lineRule="auto"/>
        <w:rPr>
          <w:i/>
        </w:rPr>
      </w:pPr>
      <w:r w:rsidRPr="006C7372">
        <w:rPr>
          <w:i/>
        </w:rPr>
        <w:t xml:space="preserve">Reptiles </w:t>
      </w:r>
    </w:p>
    <w:p w:rsidR="001C55F3" w:rsidRPr="006C7372" w:rsidRDefault="001C55F3" w:rsidP="001C55F3">
      <w:pPr>
        <w:spacing w:after="0" w:line="240" w:lineRule="auto"/>
      </w:pPr>
      <w:r w:rsidRPr="006C7372">
        <w:rPr>
          <w:rFonts w:cs="Arial"/>
        </w:rPr>
        <w:t xml:space="preserve">Permanent monitoring plots of a few hectares which are visited 7 times a year. During the visits all reptiles species occurring are registered.  An exception is the common wall lizard - the species is very rare in the Netherlands therefore all locations and individuals are counted. </w:t>
      </w:r>
    </w:p>
    <w:p w:rsidR="001C55F3" w:rsidRPr="006C7372" w:rsidRDefault="001C55F3" w:rsidP="001C55F3">
      <w:pPr>
        <w:spacing w:line="240" w:lineRule="auto"/>
      </w:pPr>
    </w:p>
    <w:p w:rsidR="001C55F3" w:rsidRPr="006C7372" w:rsidRDefault="001C55F3" w:rsidP="001C55F3">
      <w:pPr>
        <w:spacing w:after="0" w:line="240" w:lineRule="auto"/>
        <w:rPr>
          <w:i/>
        </w:rPr>
      </w:pPr>
      <w:r w:rsidRPr="006C7372">
        <w:rPr>
          <w:i/>
        </w:rPr>
        <w:t>Amphibians</w:t>
      </w:r>
    </w:p>
    <w:p w:rsidR="001C55F3" w:rsidRPr="006C7372" w:rsidRDefault="001C55F3" w:rsidP="001C55F3">
      <w:pPr>
        <w:spacing w:after="0" w:line="240" w:lineRule="auto"/>
      </w:pPr>
      <w:r w:rsidRPr="006C7372">
        <w:rPr>
          <w:rFonts w:cs="Arial"/>
        </w:rPr>
        <w:t xml:space="preserve">On permanent monitoring plots of around. 100 ha the water bodies present are yearly monitored using various techniques (sight, sound, scope net). For a few rare species their entire(known) range is monitored. </w:t>
      </w:r>
    </w:p>
    <w:p w:rsidR="001C55F3" w:rsidRPr="006C7372" w:rsidRDefault="001C55F3" w:rsidP="001C55F3">
      <w:pPr>
        <w:spacing w:after="0" w:line="240" w:lineRule="auto"/>
      </w:pPr>
    </w:p>
    <w:p w:rsidR="001C55F3" w:rsidRPr="006C7372" w:rsidRDefault="001C55F3" w:rsidP="001C55F3">
      <w:pPr>
        <w:spacing w:after="0" w:line="240" w:lineRule="auto"/>
        <w:rPr>
          <w:i/>
        </w:rPr>
      </w:pPr>
      <w:r w:rsidRPr="006C7372">
        <w:rPr>
          <w:i/>
        </w:rPr>
        <w:t>Dragonflies</w:t>
      </w:r>
    </w:p>
    <w:p w:rsidR="001C55F3" w:rsidRPr="006C7372" w:rsidRDefault="001C55F3" w:rsidP="001C55F3">
      <w:pPr>
        <w:spacing w:after="0" w:line="240" w:lineRule="auto"/>
        <w:rPr>
          <w:rFonts w:eastAsia="Times New Roman" w:cs="Arial"/>
          <w:lang w:eastAsia="en-GB"/>
        </w:rPr>
      </w:pPr>
      <w:r w:rsidRPr="006C7372">
        <w:rPr>
          <w:rFonts w:eastAsia="Times New Roman" w:cs="Arial"/>
          <w:lang w:eastAsia="en-GB"/>
        </w:rPr>
        <w:t xml:space="preserve">Permanent routes of approx. 250 metres long are monitored nine times during the period of flight of the adults . All species present are recorded. </w:t>
      </w:r>
      <w:r w:rsidRPr="006C7372">
        <w:rPr>
          <w:rFonts w:cs="Arial"/>
        </w:rPr>
        <w:t>Additional there are routes which focus on counting of a particular species, counting occurs in when the majority of the species is expected to be present</w:t>
      </w:r>
      <w:r w:rsidRPr="006C7372">
        <w:rPr>
          <w:rFonts w:eastAsia="Times New Roman" w:cs="Arial"/>
          <w:lang w:eastAsia="en-GB"/>
        </w:rPr>
        <w:t xml:space="preserve"> .</w:t>
      </w:r>
    </w:p>
    <w:p w:rsidR="001C55F3" w:rsidRPr="006C7372" w:rsidRDefault="001C55F3" w:rsidP="001C55F3">
      <w:pPr>
        <w:spacing w:after="0" w:line="240" w:lineRule="auto"/>
      </w:pPr>
    </w:p>
    <w:p w:rsidR="001C55F3" w:rsidRPr="006C7372" w:rsidRDefault="001C55F3" w:rsidP="001C55F3">
      <w:pPr>
        <w:spacing w:after="0" w:line="240" w:lineRule="auto"/>
        <w:rPr>
          <w:i/>
        </w:rPr>
      </w:pPr>
      <w:r w:rsidRPr="006C7372">
        <w:rPr>
          <w:i/>
        </w:rPr>
        <w:t>Fungi</w:t>
      </w:r>
    </w:p>
    <w:p w:rsidR="001C55F3" w:rsidRPr="006C7372" w:rsidRDefault="001C55F3" w:rsidP="001C55F3">
      <w:pPr>
        <w:spacing w:after="0" w:line="240" w:lineRule="auto"/>
        <w:rPr>
          <w:rFonts w:cs="Arial"/>
        </w:rPr>
      </w:pPr>
      <w:r w:rsidRPr="006C7372">
        <w:rPr>
          <w:rFonts w:cs="Arial"/>
        </w:rPr>
        <w:t xml:space="preserve">Permanent plots  in the sandy areas of the Netherlands (forest, dunes and inland sand dunes) are monitored between 3-5 times in  the period July- December to determine the presence of approx. 100 easily identifiable forest mushrooms.  </w:t>
      </w:r>
    </w:p>
    <w:p w:rsidR="001C55F3" w:rsidRPr="006C7372" w:rsidRDefault="001C55F3" w:rsidP="001C55F3">
      <w:pPr>
        <w:spacing w:after="0" w:line="240" w:lineRule="auto"/>
      </w:pPr>
    </w:p>
    <w:p w:rsidR="001C55F3" w:rsidRPr="006C7372" w:rsidRDefault="001C55F3" w:rsidP="001C55F3">
      <w:pPr>
        <w:spacing w:line="240" w:lineRule="auto"/>
      </w:pPr>
      <w:r w:rsidRPr="006C7372">
        <w:lastRenderedPageBreak/>
        <w:t xml:space="preserve">Table 4.1 list how many of the species regularly occurring in the Netherlands are monitored in the framework of the NEM- network. </w:t>
      </w:r>
    </w:p>
    <w:p w:rsidR="001C55F3" w:rsidRPr="00BE14DD" w:rsidRDefault="001C55F3" w:rsidP="001C55F3">
      <w:pPr>
        <w:rPr>
          <w:szCs w:val="20"/>
        </w:rPr>
      </w:pPr>
      <w:r w:rsidRPr="00BE14DD">
        <w:rPr>
          <w:szCs w:val="20"/>
        </w:rPr>
        <w:t xml:space="preserve">The data allow to present the trend in generalist species, red list species and threatened red list species (see figure 4.1). The information allows trends in specific species groups to be distinguished. </w:t>
      </w:r>
    </w:p>
    <w:p w:rsidR="001C55F3" w:rsidRPr="00BE14DD" w:rsidRDefault="001C55F3" w:rsidP="001C55F3">
      <w:pPr>
        <w:jc w:val="center"/>
        <w:rPr>
          <w:szCs w:val="20"/>
        </w:rPr>
      </w:pPr>
      <w:r w:rsidRPr="00BE14DD">
        <w:rPr>
          <w:rFonts w:cs="Arial"/>
          <w:noProof/>
          <w:szCs w:val="20"/>
          <w:lang w:val="fr-BE" w:eastAsia="fr-BE"/>
        </w:rPr>
        <w:drawing>
          <wp:inline distT="0" distB="0" distL="0" distR="0">
            <wp:extent cx="4601162" cy="2996809"/>
            <wp:effectExtent l="0" t="0" r="9525" b="0"/>
            <wp:docPr id="122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02557" cy="2997717"/>
                    </a:xfrm>
                    <a:prstGeom prst="rect">
                      <a:avLst/>
                    </a:prstGeom>
                    <a:noFill/>
                    <a:ln>
                      <a:noFill/>
                    </a:ln>
                  </pic:spPr>
                </pic:pic>
              </a:graphicData>
            </a:graphic>
          </wp:inline>
        </w:drawing>
      </w:r>
    </w:p>
    <w:p w:rsidR="001C55F3" w:rsidRPr="006C7372" w:rsidRDefault="001C55F3" w:rsidP="001C55F3">
      <w:pPr>
        <w:rPr>
          <w:i/>
          <w:szCs w:val="20"/>
        </w:rPr>
      </w:pPr>
      <w:r w:rsidRPr="00BE14DD">
        <w:rPr>
          <w:i/>
          <w:szCs w:val="20"/>
        </w:rPr>
        <w:t>Figure 4.1. The figure depicts the trend in non-red list species (green line), red list species (blue line) and threatened red list sp</w:t>
      </w:r>
      <w:r>
        <w:rPr>
          <w:i/>
          <w:szCs w:val="20"/>
        </w:rPr>
        <w:t>ecies (red line)</w:t>
      </w:r>
    </w:p>
    <w:p w:rsidR="001C55F3" w:rsidRPr="00BE14DD" w:rsidRDefault="001C55F3" w:rsidP="001C55F3">
      <w:pPr>
        <w:rPr>
          <w:i/>
          <w:szCs w:val="20"/>
        </w:rPr>
      </w:pPr>
      <w:r w:rsidRPr="00BE14DD">
        <w:rPr>
          <w:i/>
          <w:szCs w:val="20"/>
        </w:rPr>
        <w:t xml:space="preserve">Table 4.1 Overview of species reported on as part of the National Monitoring Network. </w:t>
      </w:r>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9"/>
        <w:gridCol w:w="1843"/>
        <w:gridCol w:w="400"/>
        <w:gridCol w:w="1863"/>
        <w:gridCol w:w="1417"/>
        <w:gridCol w:w="2126"/>
      </w:tblGrid>
      <w:tr w:rsidR="001C55F3" w:rsidRPr="00BE14DD" w:rsidTr="001C55F3">
        <w:trPr>
          <w:cantSplit/>
          <w:trHeight w:val="1125"/>
        </w:trPr>
        <w:tc>
          <w:tcPr>
            <w:tcW w:w="833" w:type="pct"/>
            <w:shd w:val="clear" w:color="auto" w:fill="auto"/>
            <w:noWrap/>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Species groups</w:t>
            </w:r>
          </w:p>
        </w:tc>
        <w:tc>
          <w:tcPr>
            <w:tcW w:w="1004" w:type="pct"/>
            <w:shd w:val="clear" w:color="auto" w:fill="auto"/>
            <w:noWrap/>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218" w:type="pct"/>
          </w:tcPr>
          <w:p w:rsidR="001C55F3" w:rsidRPr="00BE14DD" w:rsidRDefault="001C55F3" w:rsidP="001C55F3">
            <w:pPr>
              <w:spacing w:after="0" w:line="240" w:lineRule="auto"/>
              <w:rPr>
                <w:rFonts w:eastAsia="Times New Roman" w:cs="Times New Roman"/>
                <w:color w:val="000000"/>
                <w:lang w:eastAsia="en-GB"/>
              </w:rPr>
            </w:pPr>
          </w:p>
        </w:tc>
        <w:tc>
          <w:tcPr>
            <w:tcW w:w="1015" w:type="pct"/>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Number of species present in the Netherlands</w:t>
            </w:r>
          </w:p>
        </w:tc>
        <w:tc>
          <w:tcPr>
            <w:tcW w:w="772" w:type="pct"/>
            <w:shd w:val="clear" w:color="auto" w:fill="auto"/>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Na</w:t>
            </w:r>
            <w:r>
              <w:rPr>
                <w:rFonts w:eastAsia="Times New Roman" w:cs="Times New Roman"/>
                <w:color w:val="000000"/>
                <w:lang w:eastAsia="en-GB"/>
              </w:rPr>
              <w:t>tional monitoring network (NEM)</w:t>
            </w:r>
          </w:p>
        </w:tc>
        <w:tc>
          <w:tcPr>
            <w:tcW w:w="1158" w:type="pct"/>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of Dutch species in NEM</w:t>
            </w:r>
          </w:p>
        </w:tc>
      </w:tr>
      <w:tr w:rsidR="001C55F3" w:rsidRPr="00BE14DD" w:rsidTr="001C55F3">
        <w:trPr>
          <w:trHeight w:val="300"/>
        </w:trPr>
        <w:tc>
          <w:tcPr>
            <w:tcW w:w="833"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Vertebrates</w:t>
            </w:r>
          </w:p>
        </w:tc>
        <w:tc>
          <w:tcPr>
            <w:tcW w:w="1004"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Mammals</w:t>
            </w:r>
          </w:p>
        </w:tc>
        <w:tc>
          <w:tcPr>
            <w:tcW w:w="218" w:type="pct"/>
          </w:tcPr>
          <w:p w:rsidR="001C55F3" w:rsidRPr="00BE14DD" w:rsidRDefault="001C55F3" w:rsidP="001C55F3">
            <w:pPr>
              <w:spacing w:after="0" w:line="240" w:lineRule="auto"/>
              <w:jc w:val="right"/>
              <w:rPr>
                <w:rFonts w:eastAsia="Times New Roman" w:cs="Times New Roman"/>
                <w:color w:val="000000"/>
                <w:lang w:eastAsia="en-GB"/>
              </w:rPr>
            </w:pPr>
          </w:p>
        </w:tc>
        <w:tc>
          <w:tcPr>
            <w:tcW w:w="1015"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71</w:t>
            </w:r>
          </w:p>
        </w:tc>
        <w:tc>
          <w:tcPr>
            <w:tcW w:w="772" w:type="pct"/>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14</w:t>
            </w:r>
          </w:p>
        </w:tc>
        <w:tc>
          <w:tcPr>
            <w:tcW w:w="1158"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20%</w:t>
            </w:r>
          </w:p>
        </w:tc>
      </w:tr>
      <w:tr w:rsidR="001C55F3" w:rsidRPr="00BE14DD" w:rsidTr="001C55F3">
        <w:trPr>
          <w:trHeight w:val="300"/>
        </w:trPr>
        <w:tc>
          <w:tcPr>
            <w:tcW w:w="833"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004"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Amphibians</w:t>
            </w:r>
          </w:p>
        </w:tc>
        <w:tc>
          <w:tcPr>
            <w:tcW w:w="218" w:type="pct"/>
          </w:tcPr>
          <w:p w:rsidR="001C55F3" w:rsidRPr="00BE14DD" w:rsidRDefault="001C55F3" w:rsidP="001C55F3">
            <w:pPr>
              <w:spacing w:after="0" w:line="240" w:lineRule="auto"/>
              <w:jc w:val="right"/>
              <w:rPr>
                <w:rFonts w:eastAsia="Times New Roman" w:cs="Times New Roman"/>
                <w:color w:val="000000"/>
                <w:lang w:eastAsia="en-GB"/>
              </w:rPr>
            </w:pPr>
          </w:p>
        </w:tc>
        <w:tc>
          <w:tcPr>
            <w:tcW w:w="1015"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17</w:t>
            </w:r>
          </w:p>
        </w:tc>
        <w:tc>
          <w:tcPr>
            <w:tcW w:w="772" w:type="pct"/>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14</w:t>
            </w:r>
          </w:p>
        </w:tc>
        <w:tc>
          <w:tcPr>
            <w:tcW w:w="1158"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82 %</w:t>
            </w:r>
          </w:p>
        </w:tc>
      </w:tr>
      <w:tr w:rsidR="001C55F3" w:rsidRPr="00BE14DD" w:rsidTr="001C55F3">
        <w:trPr>
          <w:trHeight w:val="300"/>
        </w:trPr>
        <w:tc>
          <w:tcPr>
            <w:tcW w:w="833"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004"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Birds (breeding)</w:t>
            </w:r>
          </w:p>
        </w:tc>
        <w:tc>
          <w:tcPr>
            <w:tcW w:w="218" w:type="pct"/>
          </w:tcPr>
          <w:p w:rsidR="001C55F3" w:rsidRPr="00BE14DD" w:rsidRDefault="001C55F3" w:rsidP="001C55F3">
            <w:pPr>
              <w:spacing w:after="0" w:line="240" w:lineRule="auto"/>
              <w:jc w:val="right"/>
              <w:rPr>
                <w:rFonts w:eastAsia="Times New Roman" w:cs="Times New Roman"/>
                <w:color w:val="000000"/>
                <w:lang w:eastAsia="en-GB"/>
              </w:rPr>
            </w:pPr>
          </w:p>
        </w:tc>
        <w:tc>
          <w:tcPr>
            <w:tcW w:w="1015"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203</w:t>
            </w:r>
          </w:p>
        </w:tc>
        <w:tc>
          <w:tcPr>
            <w:tcW w:w="772" w:type="pct"/>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166</w:t>
            </w:r>
          </w:p>
        </w:tc>
        <w:tc>
          <w:tcPr>
            <w:tcW w:w="1158"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82%</w:t>
            </w:r>
          </w:p>
        </w:tc>
      </w:tr>
      <w:tr w:rsidR="001C55F3" w:rsidRPr="00BE14DD" w:rsidTr="001C55F3">
        <w:trPr>
          <w:trHeight w:val="300"/>
        </w:trPr>
        <w:tc>
          <w:tcPr>
            <w:tcW w:w="833"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004"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Birds (non-breeding)</w:t>
            </w:r>
          </w:p>
        </w:tc>
        <w:tc>
          <w:tcPr>
            <w:tcW w:w="218" w:type="pct"/>
          </w:tcPr>
          <w:p w:rsidR="001C55F3" w:rsidRPr="00BE14DD" w:rsidRDefault="001C55F3" w:rsidP="001C55F3">
            <w:pPr>
              <w:spacing w:after="0" w:line="240" w:lineRule="auto"/>
              <w:jc w:val="right"/>
              <w:rPr>
                <w:rFonts w:eastAsia="Times New Roman" w:cs="Times New Roman"/>
                <w:color w:val="000000"/>
                <w:lang w:eastAsia="en-GB"/>
              </w:rPr>
            </w:pPr>
          </w:p>
        </w:tc>
        <w:tc>
          <w:tcPr>
            <w:tcW w:w="1015" w:type="pct"/>
          </w:tcPr>
          <w:p w:rsidR="001C55F3" w:rsidRPr="00BE14DD" w:rsidRDefault="001C55F3" w:rsidP="001C55F3">
            <w:pPr>
              <w:spacing w:after="0" w:line="240" w:lineRule="auto"/>
              <w:jc w:val="right"/>
              <w:rPr>
                <w:rFonts w:eastAsia="Times New Roman" w:cs="Times New Roman"/>
                <w:color w:val="000000"/>
                <w:lang w:eastAsia="en-GB"/>
              </w:rPr>
            </w:pPr>
          </w:p>
        </w:tc>
        <w:tc>
          <w:tcPr>
            <w:tcW w:w="772" w:type="pct"/>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107</w:t>
            </w:r>
          </w:p>
        </w:tc>
        <w:tc>
          <w:tcPr>
            <w:tcW w:w="1158" w:type="pct"/>
          </w:tcPr>
          <w:p w:rsidR="001C55F3" w:rsidRPr="00BE14DD" w:rsidRDefault="001C55F3" w:rsidP="001C55F3">
            <w:pPr>
              <w:spacing w:after="0" w:line="240" w:lineRule="auto"/>
              <w:jc w:val="right"/>
              <w:rPr>
                <w:rFonts w:eastAsia="Times New Roman" w:cs="Times New Roman"/>
                <w:color w:val="000000"/>
                <w:lang w:eastAsia="en-GB"/>
              </w:rPr>
            </w:pPr>
          </w:p>
        </w:tc>
      </w:tr>
      <w:tr w:rsidR="001C55F3" w:rsidRPr="00BE14DD" w:rsidTr="001C55F3">
        <w:trPr>
          <w:trHeight w:val="300"/>
        </w:trPr>
        <w:tc>
          <w:tcPr>
            <w:tcW w:w="833"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004"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Reptiles</w:t>
            </w:r>
          </w:p>
        </w:tc>
        <w:tc>
          <w:tcPr>
            <w:tcW w:w="218" w:type="pct"/>
          </w:tcPr>
          <w:p w:rsidR="001C55F3" w:rsidRPr="00BE14DD" w:rsidRDefault="001C55F3" w:rsidP="001C55F3">
            <w:pPr>
              <w:spacing w:after="0" w:line="240" w:lineRule="auto"/>
              <w:jc w:val="right"/>
              <w:rPr>
                <w:rFonts w:eastAsia="Times New Roman" w:cs="Times New Roman"/>
                <w:color w:val="000000"/>
                <w:lang w:eastAsia="en-GB"/>
              </w:rPr>
            </w:pPr>
          </w:p>
        </w:tc>
        <w:tc>
          <w:tcPr>
            <w:tcW w:w="1015"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17</w:t>
            </w:r>
          </w:p>
        </w:tc>
        <w:tc>
          <w:tcPr>
            <w:tcW w:w="772" w:type="pct"/>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7</w:t>
            </w:r>
          </w:p>
        </w:tc>
        <w:tc>
          <w:tcPr>
            <w:tcW w:w="1158"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41%</w:t>
            </w:r>
          </w:p>
        </w:tc>
      </w:tr>
      <w:tr w:rsidR="001C55F3" w:rsidRPr="00BE14DD" w:rsidTr="001C55F3">
        <w:trPr>
          <w:trHeight w:val="300"/>
        </w:trPr>
        <w:tc>
          <w:tcPr>
            <w:tcW w:w="833"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Invertebrates</w:t>
            </w:r>
          </w:p>
        </w:tc>
        <w:tc>
          <w:tcPr>
            <w:tcW w:w="1004"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Butterflies</w:t>
            </w:r>
          </w:p>
        </w:tc>
        <w:tc>
          <w:tcPr>
            <w:tcW w:w="218" w:type="pct"/>
          </w:tcPr>
          <w:p w:rsidR="001C55F3" w:rsidRPr="00BE14DD" w:rsidRDefault="001C55F3" w:rsidP="001C55F3">
            <w:pPr>
              <w:spacing w:after="0" w:line="240" w:lineRule="auto"/>
              <w:jc w:val="right"/>
              <w:rPr>
                <w:rFonts w:eastAsia="Times New Roman" w:cs="Times New Roman"/>
                <w:color w:val="000000"/>
                <w:lang w:eastAsia="en-GB"/>
              </w:rPr>
            </w:pPr>
          </w:p>
        </w:tc>
        <w:tc>
          <w:tcPr>
            <w:tcW w:w="1015"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53</w:t>
            </w:r>
          </w:p>
        </w:tc>
        <w:tc>
          <w:tcPr>
            <w:tcW w:w="772" w:type="pct"/>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51</w:t>
            </w:r>
          </w:p>
        </w:tc>
        <w:tc>
          <w:tcPr>
            <w:tcW w:w="1158"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96%</w:t>
            </w:r>
          </w:p>
        </w:tc>
      </w:tr>
      <w:tr w:rsidR="001C55F3" w:rsidRPr="00BE14DD" w:rsidTr="001C55F3">
        <w:trPr>
          <w:trHeight w:val="300"/>
        </w:trPr>
        <w:tc>
          <w:tcPr>
            <w:tcW w:w="833"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004"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Dragonflies</w:t>
            </w:r>
          </w:p>
        </w:tc>
        <w:tc>
          <w:tcPr>
            <w:tcW w:w="218" w:type="pct"/>
          </w:tcPr>
          <w:p w:rsidR="001C55F3" w:rsidRPr="00BE14DD" w:rsidRDefault="001C55F3" w:rsidP="001C55F3">
            <w:pPr>
              <w:spacing w:after="0" w:line="240" w:lineRule="auto"/>
              <w:jc w:val="right"/>
              <w:rPr>
                <w:rFonts w:eastAsia="Times New Roman" w:cs="Times New Roman"/>
                <w:color w:val="000000"/>
                <w:lang w:eastAsia="en-GB"/>
              </w:rPr>
            </w:pPr>
          </w:p>
        </w:tc>
        <w:tc>
          <w:tcPr>
            <w:tcW w:w="1015"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66</w:t>
            </w:r>
          </w:p>
        </w:tc>
        <w:tc>
          <w:tcPr>
            <w:tcW w:w="772" w:type="pct"/>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38</w:t>
            </w:r>
          </w:p>
        </w:tc>
        <w:tc>
          <w:tcPr>
            <w:tcW w:w="1158"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58%</w:t>
            </w:r>
          </w:p>
        </w:tc>
      </w:tr>
      <w:tr w:rsidR="001C55F3" w:rsidRPr="00BE14DD" w:rsidTr="001C55F3">
        <w:trPr>
          <w:trHeight w:val="300"/>
        </w:trPr>
        <w:tc>
          <w:tcPr>
            <w:tcW w:w="833"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xml:space="preserve">Plants </w:t>
            </w:r>
          </w:p>
        </w:tc>
        <w:tc>
          <w:tcPr>
            <w:tcW w:w="1004"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xml:space="preserve">Vascular plants </w:t>
            </w:r>
          </w:p>
        </w:tc>
        <w:tc>
          <w:tcPr>
            <w:tcW w:w="218" w:type="pct"/>
          </w:tcPr>
          <w:p w:rsidR="001C55F3" w:rsidRPr="00BE14DD" w:rsidRDefault="001C55F3" w:rsidP="001C55F3">
            <w:pPr>
              <w:spacing w:after="0" w:line="240" w:lineRule="auto"/>
              <w:jc w:val="right"/>
              <w:rPr>
                <w:rFonts w:eastAsia="Times New Roman" w:cs="Times New Roman"/>
                <w:color w:val="000000"/>
                <w:lang w:eastAsia="en-GB"/>
              </w:rPr>
            </w:pPr>
          </w:p>
        </w:tc>
        <w:tc>
          <w:tcPr>
            <w:tcW w:w="1015"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1581</w:t>
            </w:r>
          </w:p>
        </w:tc>
        <w:tc>
          <w:tcPr>
            <w:tcW w:w="772" w:type="pct"/>
            <w:shd w:val="clear" w:color="auto" w:fill="auto"/>
            <w:noWrap/>
            <w:vAlign w:val="bottom"/>
            <w:hideMark/>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X</w:t>
            </w:r>
          </w:p>
        </w:tc>
        <w:tc>
          <w:tcPr>
            <w:tcW w:w="1158" w:type="pct"/>
          </w:tcPr>
          <w:p w:rsidR="001C55F3" w:rsidRPr="00BE14DD" w:rsidRDefault="001C55F3" w:rsidP="001C55F3">
            <w:pPr>
              <w:spacing w:after="0" w:line="240" w:lineRule="auto"/>
              <w:jc w:val="right"/>
              <w:rPr>
                <w:rFonts w:eastAsia="Times New Roman" w:cs="Times New Roman"/>
                <w:color w:val="000000"/>
                <w:lang w:eastAsia="en-GB"/>
              </w:rPr>
            </w:pPr>
            <w:r w:rsidRPr="00BE14DD">
              <w:rPr>
                <w:rFonts w:eastAsia="Times New Roman" w:cs="Times New Roman"/>
                <w:color w:val="000000"/>
                <w:lang w:eastAsia="en-GB"/>
              </w:rPr>
              <w:t>0%</w:t>
            </w:r>
          </w:p>
        </w:tc>
      </w:tr>
      <w:tr w:rsidR="001C55F3" w:rsidRPr="00BE14DD" w:rsidTr="001C55F3">
        <w:trPr>
          <w:trHeight w:val="300"/>
        </w:trPr>
        <w:tc>
          <w:tcPr>
            <w:tcW w:w="833"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Other species</w:t>
            </w:r>
          </w:p>
        </w:tc>
        <w:tc>
          <w:tcPr>
            <w:tcW w:w="1004" w:type="pct"/>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Fungi</w:t>
            </w:r>
          </w:p>
        </w:tc>
        <w:tc>
          <w:tcPr>
            <w:tcW w:w="218" w:type="pct"/>
          </w:tcPr>
          <w:p w:rsidR="001C55F3" w:rsidRPr="00BE14DD" w:rsidRDefault="001C55F3" w:rsidP="001C55F3">
            <w:pPr>
              <w:spacing w:after="0" w:line="240" w:lineRule="auto"/>
              <w:rPr>
                <w:rFonts w:eastAsia="Times New Roman" w:cs="Times New Roman"/>
                <w:color w:val="000000"/>
                <w:lang w:eastAsia="en-GB"/>
              </w:rPr>
            </w:pPr>
          </w:p>
        </w:tc>
        <w:tc>
          <w:tcPr>
            <w:tcW w:w="1015" w:type="pct"/>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10300</w:t>
            </w:r>
          </w:p>
        </w:tc>
        <w:tc>
          <w:tcPr>
            <w:tcW w:w="772" w:type="pct"/>
            <w:shd w:val="clear" w:color="auto" w:fill="auto"/>
            <w:noWrap/>
            <w:vAlign w:val="bottom"/>
            <w:hideMark/>
          </w:tcPr>
          <w:p w:rsidR="001C55F3" w:rsidRPr="00BE14DD" w:rsidRDefault="001C55F3" w:rsidP="00622218">
            <w:pPr>
              <w:pStyle w:val="Paragraphedeliste"/>
              <w:numPr>
                <w:ilvl w:val="0"/>
                <w:numId w:val="100"/>
              </w:numPr>
              <w:spacing w:after="0" w:line="240" w:lineRule="auto"/>
              <w:jc w:val="right"/>
              <w:rPr>
                <w:rFonts w:eastAsia="Times New Roman" w:cs="Times New Roman"/>
                <w:color w:val="000000"/>
                <w:lang w:eastAsia="en-GB"/>
              </w:rPr>
            </w:pPr>
          </w:p>
        </w:tc>
        <w:tc>
          <w:tcPr>
            <w:tcW w:w="1158" w:type="pct"/>
          </w:tcPr>
          <w:p w:rsidR="001C55F3" w:rsidRPr="00BE14DD" w:rsidRDefault="001C55F3" w:rsidP="001C55F3">
            <w:pPr>
              <w:pStyle w:val="Paragraphedeliste"/>
              <w:spacing w:after="0" w:line="240" w:lineRule="auto"/>
              <w:jc w:val="both"/>
              <w:rPr>
                <w:rFonts w:eastAsia="Times New Roman" w:cs="Times New Roman"/>
                <w:color w:val="000000"/>
                <w:lang w:eastAsia="en-GB"/>
              </w:rPr>
            </w:pPr>
            <w:r w:rsidRPr="00BE14DD">
              <w:rPr>
                <w:rFonts w:eastAsia="Times New Roman" w:cs="Times New Roman"/>
                <w:color w:val="000000"/>
                <w:lang w:eastAsia="en-GB"/>
              </w:rPr>
              <w:t>&lt;1%</w:t>
            </w:r>
          </w:p>
        </w:tc>
      </w:tr>
      <w:tr w:rsidR="001C55F3" w:rsidRPr="00BE14DD" w:rsidTr="001C55F3">
        <w:trPr>
          <w:trHeight w:val="300"/>
        </w:trPr>
        <w:tc>
          <w:tcPr>
            <w:tcW w:w="833" w:type="pct"/>
            <w:shd w:val="clear" w:color="auto" w:fill="auto"/>
            <w:noWrap/>
            <w:vAlign w:val="bottom"/>
          </w:tcPr>
          <w:p w:rsidR="001C55F3" w:rsidRPr="00BE14DD" w:rsidRDefault="001C55F3" w:rsidP="001C55F3">
            <w:pPr>
              <w:spacing w:after="0" w:line="240" w:lineRule="auto"/>
              <w:rPr>
                <w:rFonts w:eastAsia="Times New Roman" w:cs="Times New Roman"/>
                <w:color w:val="000000"/>
                <w:lang w:eastAsia="en-GB"/>
              </w:rPr>
            </w:pPr>
          </w:p>
        </w:tc>
        <w:tc>
          <w:tcPr>
            <w:tcW w:w="1004" w:type="pct"/>
            <w:shd w:val="clear" w:color="auto" w:fill="auto"/>
            <w:noWrap/>
            <w:vAlign w:val="bottom"/>
          </w:tcPr>
          <w:p w:rsidR="001C55F3" w:rsidRPr="00BE14DD" w:rsidRDefault="001C55F3" w:rsidP="001C55F3">
            <w:pPr>
              <w:spacing w:after="0" w:line="240" w:lineRule="auto"/>
              <w:rPr>
                <w:rFonts w:eastAsia="Times New Roman" w:cs="Times New Roman"/>
                <w:color w:val="000000"/>
                <w:lang w:eastAsia="en-GB"/>
              </w:rPr>
            </w:pPr>
          </w:p>
        </w:tc>
        <w:tc>
          <w:tcPr>
            <w:tcW w:w="218" w:type="pct"/>
          </w:tcPr>
          <w:p w:rsidR="001C55F3" w:rsidRPr="00BE14DD" w:rsidRDefault="001C55F3" w:rsidP="001C55F3">
            <w:pPr>
              <w:spacing w:after="0" w:line="240" w:lineRule="auto"/>
              <w:rPr>
                <w:rFonts w:eastAsia="Times New Roman" w:cs="Times New Roman"/>
                <w:color w:val="000000"/>
                <w:lang w:eastAsia="en-GB"/>
              </w:rPr>
            </w:pPr>
          </w:p>
        </w:tc>
        <w:tc>
          <w:tcPr>
            <w:tcW w:w="1015" w:type="pct"/>
          </w:tcPr>
          <w:p w:rsidR="001C55F3" w:rsidRPr="00BE14DD" w:rsidRDefault="001C55F3" w:rsidP="001C55F3">
            <w:pPr>
              <w:spacing w:after="0" w:line="240" w:lineRule="auto"/>
              <w:rPr>
                <w:rFonts w:eastAsia="Times New Roman" w:cs="Times New Roman"/>
                <w:color w:val="000000"/>
                <w:lang w:eastAsia="en-GB"/>
              </w:rPr>
            </w:pPr>
          </w:p>
        </w:tc>
        <w:tc>
          <w:tcPr>
            <w:tcW w:w="772" w:type="pct"/>
            <w:shd w:val="clear" w:color="auto" w:fill="auto"/>
            <w:noWrap/>
            <w:vAlign w:val="bottom"/>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397</w:t>
            </w:r>
          </w:p>
        </w:tc>
        <w:tc>
          <w:tcPr>
            <w:tcW w:w="1158" w:type="pct"/>
          </w:tcPr>
          <w:p w:rsidR="001C55F3" w:rsidRPr="00BE14DD" w:rsidRDefault="001C55F3" w:rsidP="001C55F3">
            <w:pPr>
              <w:spacing w:after="0" w:line="240" w:lineRule="auto"/>
              <w:rPr>
                <w:rFonts w:eastAsia="Times New Roman" w:cs="Times New Roman"/>
                <w:color w:val="000000"/>
                <w:lang w:eastAsia="en-GB"/>
              </w:rPr>
            </w:pPr>
          </w:p>
        </w:tc>
      </w:tr>
    </w:tbl>
    <w:p w:rsidR="001C55F3" w:rsidRPr="00BE14DD" w:rsidRDefault="001C55F3" w:rsidP="001C55F3">
      <w:pPr>
        <w:rPr>
          <w:szCs w:val="20"/>
        </w:rPr>
      </w:pPr>
    </w:p>
    <w:p w:rsidR="001C55F3" w:rsidRPr="00C56C28" w:rsidRDefault="001C55F3" w:rsidP="00622218">
      <w:pPr>
        <w:pStyle w:val="Paragraphedeliste"/>
        <w:numPr>
          <w:ilvl w:val="0"/>
          <w:numId w:val="106"/>
        </w:numPr>
        <w:spacing w:line="240" w:lineRule="auto"/>
        <w:rPr>
          <w:u w:val="single"/>
          <w:lang w:val="nl-NL"/>
        </w:rPr>
      </w:pPr>
      <w:r w:rsidRPr="00C56C28">
        <w:rPr>
          <w:u w:val="single"/>
          <w:lang w:val="nl-NL"/>
        </w:rPr>
        <w:t>HABITAT TYPES</w:t>
      </w:r>
    </w:p>
    <w:p w:rsidR="001C55F3" w:rsidRPr="00C56C28" w:rsidRDefault="001C55F3" w:rsidP="001C55F3">
      <w:pPr>
        <w:spacing w:line="240" w:lineRule="auto"/>
      </w:pPr>
      <w:r w:rsidRPr="00C56C28">
        <w:t xml:space="preserve">Presently in the Netherlands two monitoring systems are available that provide information for national assessment on the state of habitat types. The first monitoring system Flora, Milieu and </w:t>
      </w:r>
      <w:r w:rsidRPr="00C56C28">
        <w:lastRenderedPageBreak/>
        <w:t>Natuurkwaliteit has been up and running for several years (see text box).  The second system  has been developed as part of Dutch government policy in consultation with various stakeholders; the ‘beheertypen’ (management types)  system has therefore been developed primarily as a system to allocate subsidies and monitor the impact of the subsidies and related management of Dutch nature areas.</w:t>
      </w:r>
    </w:p>
    <w:p w:rsidR="001C55F3" w:rsidRPr="00C56C28" w:rsidRDefault="001C55F3" w:rsidP="001C55F3">
      <w:pPr>
        <w:spacing w:line="240" w:lineRule="auto"/>
      </w:pPr>
      <w:r w:rsidRPr="00C56C28">
        <w:t xml:space="preserve">Some of the ‘beheertypen’ correspond with the habitat types as defined in the directives. However also some large natural units are distinguished that consist of different habitat types and in some cases even ecosystems. At present it is proposed that the state of these ecosystems is at least assessed based on the following aspects: </w:t>
      </w:r>
    </w:p>
    <w:p w:rsidR="001C55F3" w:rsidRPr="00C56C28" w:rsidRDefault="001C55F3" w:rsidP="00622218">
      <w:pPr>
        <w:pStyle w:val="Paragraphedeliste"/>
        <w:numPr>
          <w:ilvl w:val="0"/>
          <w:numId w:val="92"/>
        </w:numPr>
        <w:spacing w:line="240" w:lineRule="auto"/>
      </w:pPr>
      <w:r w:rsidRPr="00C56C28">
        <w:t>occurrence of the presence ( and abundance) of associated flora and fauna species</w:t>
      </w:r>
    </w:p>
    <w:p w:rsidR="001C55F3" w:rsidRPr="00C56C28" w:rsidRDefault="001C55F3" w:rsidP="00622218">
      <w:pPr>
        <w:pStyle w:val="Paragraphedeliste"/>
        <w:numPr>
          <w:ilvl w:val="0"/>
          <w:numId w:val="92"/>
        </w:numPr>
        <w:spacing w:line="240" w:lineRule="auto"/>
      </w:pPr>
      <w:r w:rsidRPr="00C56C28">
        <w:t>physical structure ( based on specific elements that need to be present)</w:t>
      </w:r>
    </w:p>
    <w:p w:rsidR="001C55F3" w:rsidRPr="00C56C28" w:rsidRDefault="001C55F3" w:rsidP="00622218">
      <w:pPr>
        <w:pStyle w:val="Paragraphedeliste"/>
        <w:numPr>
          <w:ilvl w:val="0"/>
          <w:numId w:val="92"/>
        </w:numPr>
        <w:spacing w:line="240" w:lineRule="auto"/>
      </w:pPr>
      <w:r w:rsidRPr="00C56C28">
        <w:t>abiotic conditions</w:t>
      </w:r>
    </w:p>
    <w:p w:rsidR="001C55F3" w:rsidRPr="00C56C28" w:rsidRDefault="001C55F3" w:rsidP="001C55F3">
      <w:pPr>
        <w:spacing w:line="240" w:lineRule="auto"/>
      </w:pPr>
      <w:r w:rsidRPr="00C56C28">
        <w:t>For some systems additional criteria have been defined such as spatial connectivity and naturalness is assessed. The frequency for assessment is once every 6 years ( and for some aspects once every 3 or 12 years).</w:t>
      </w:r>
    </w:p>
    <w:p w:rsidR="001C55F3" w:rsidRPr="00C56C28" w:rsidRDefault="001C55F3" w:rsidP="001C55F3">
      <w:pPr>
        <w:spacing w:line="240" w:lineRule="auto"/>
      </w:pPr>
    </w:p>
    <w:p w:rsidR="001C55F3" w:rsidRPr="00C56C28" w:rsidRDefault="001C55F3" w:rsidP="001C55F3">
      <w:pPr>
        <w:pBdr>
          <w:top w:val="single" w:sz="4" w:space="1" w:color="auto"/>
          <w:left w:val="single" w:sz="4" w:space="4" w:color="auto"/>
          <w:bottom w:val="single" w:sz="4" w:space="1" w:color="auto"/>
          <w:right w:val="single" w:sz="4" w:space="4" w:color="auto"/>
        </w:pBdr>
        <w:spacing w:line="240" w:lineRule="auto"/>
        <w:rPr>
          <w:b/>
        </w:rPr>
      </w:pPr>
      <w:r w:rsidRPr="00C56C28">
        <w:rPr>
          <w:b/>
        </w:rPr>
        <w:t>Short descripton Monitoring system Flora, Milieu and Natuurkwaliteit</w:t>
      </w:r>
    </w:p>
    <w:p w:rsidR="001C55F3" w:rsidRPr="00C56C28" w:rsidRDefault="001C55F3" w:rsidP="001C55F3">
      <w:pPr>
        <w:pBdr>
          <w:top w:val="single" w:sz="4" w:space="1" w:color="auto"/>
          <w:left w:val="single" w:sz="4" w:space="4" w:color="auto"/>
          <w:bottom w:val="single" w:sz="4" w:space="1" w:color="auto"/>
          <w:right w:val="single" w:sz="4" w:space="4" w:color="auto"/>
        </w:pBdr>
        <w:spacing w:line="240" w:lineRule="auto"/>
      </w:pPr>
      <w:r w:rsidRPr="00C56C28">
        <w:t xml:space="preserve">In more than 10.000 permanent plots the presence and abundance of all vascular plants are monitored. The plots are distributed all over the Netherlands representing 50 different combinations of physical- geographical regions, vegetation types and environmental variables. Every plot is measured once every four years. </w:t>
      </w:r>
    </w:p>
    <w:p w:rsidR="001C55F3" w:rsidRPr="00C56C28" w:rsidRDefault="001C55F3" w:rsidP="001C55F3">
      <w:pPr>
        <w:pBdr>
          <w:top w:val="single" w:sz="4" w:space="1" w:color="auto"/>
          <w:left w:val="single" w:sz="4" w:space="4" w:color="auto"/>
          <w:bottom w:val="single" w:sz="4" w:space="1" w:color="auto"/>
          <w:right w:val="single" w:sz="4" w:space="4" w:color="auto"/>
        </w:pBdr>
        <w:spacing w:line="240" w:lineRule="auto"/>
      </w:pPr>
      <w:r w:rsidRPr="00C56C28">
        <w:t>The monitoring network is not focusing on species as are the networks monitoring specific species groups.  Focus is on determining trends in species richness, changes in hydrological conditions and increasing coverage of grasses and species indicating changes in management.</w:t>
      </w:r>
    </w:p>
    <w:p w:rsidR="001C55F3" w:rsidRPr="00C56C28" w:rsidRDefault="001C55F3" w:rsidP="001C55F3">
      <w:pPr>
        <w:spacing w:line="240" w:lineRule="auto"/>
        <w:rPr>
          <w:u w:val="single"/>
        </w:rPr>
      </w:pPr>
    </w:p>
    <w:p w:rsidR="001C55F3" w:rsidRPr="00C56C28" w:rsidRDefault="001C55F3" w:rsidP="001C55F3">
      <w:pPr>
        <w:spacing w:after="0" w:line="240" w:lineRule="auto"/>
      </w:pPr>
      <w:r w:rsidRPr="00C56C28">
        <w:rPr>
          <w:u w:val="single"/>
        </w:rPr>
        <w:t xml:space="preserve">III ECOSYSTEMS </w:t>
      </w:r>
    </w:p>
    <w:p w:rsidR="001C55F3" w:rsidRPr="00C56C28" w:rsidRDefault="001C55F3" w:rsidP="001C55F3">
      <w:pPr>
        <w:spacing w:line="240" w:lineRule="auto"/>
      </w:pPr>
      <w:r w:rsidRPr="00C56C28">
        <w:t xml:space="preserve">In the national assessment different indicators have been developed. The most recent indicator (Natuurwaarde graadmeter) for ecosystem states assess on the basis of change in various ecosystems an overall parameter for change of the Dutch terrestrial systems (Reijnen et al, 2010) based on area of the various ecosystems as well as their quality (determined on the presence of indicator species). </w:t>
      </w:r>
    </w:p>
    <w:p w:rsidR="001C55F3" w:rsidRPr="00C56C28" w:rsidRDefault="001C55F3" w:rsidP="001C55F3">
      <w:pPr>
        <w:spacing w:line="240" w:lineRule="auto"/>
        <w:rPr>
          <w:lang w:val="en-US"/>
        </w:rPr>
      </w:pPr>
      <w:r w:rsidRPr="00C56C28">
        <w:t xml:space="preserve">As part of the indicator the changes of 5 ecosystems are calculated based on yearly trends of indicator species.  </w:t>
      </w:r>
      <w:r w:rsidRPr="00C56C28">
        <w:rPr>
          <w:lang w:val="en-US"/>
        </w:rPr>
        <w:t xml:space="preserve">The Natuurwaarde graadmeter is parameterized for a set of species belonging to the taxonomic groups of vascular plants, butterflies, and breeding birds. These three groups have been chosen because they operate at various scales of the ecosystem (Carignan &amp; Villard, 2002), and together they provide a better representation of biodiversity than a single taxon (Wolters et al., 2006; Eglington et al., 2012). The selected species are important target species of nature policy in the Netherlands and other European countries, including species protected under the European Habitats and Birds Directives (EC, 1992; EC, 2009). </w:t>
      </w:r>
    </w:p>
    <w:p w:rsidR="001C55F3" w:rsidRPr="00BE14DD" w:rsidRDefault="001C55F3" w:rsidP="001C55F3">
      <w:pPr>
        <w:rPr>
          <w:i/>
          <w:szCs w:val="20"/>
          <w:lang w:val="en-US"/>
        </w:rPr>
      </w:pPr>
      <w:r w:rsidRPr="00BE14DD">
        <w:rPr>
          <w:i/>
          <w:szCs w:val="20"/>
          <w:lang w:val="en-US"/>
        </w:rPr>
        <w:t>Table 4.2 Number of indicator species for the selected ecosystems used in the Natuurwaarde Graadmeter. Between brackets the number of species reported on under the Habitats/Birds directive is provided.</w:t>
      </w:r>
    </w:p>
    <w:tbl>
      <w:tblPr>
        <w:tblW w:w="0" w:type="auto"/>
        <w:tblLook w:val="04A0"/>
      </w:tblPr>
      <w:tblGrid>
        <w:gridCol w:w="1728"/>
        <w:gridCol w:w="1242"/>
        <w:gridCol w:w="1363"/>
        <w:gridCol w:w="1421"/>
        <w:gridCol w:w="1323"/>
        <w:gridCol w:w="1198"/>
        <w:gridCol w:w="1011"/>
      </w:tblGrid>
      <w:tr w:rsidR="001C55F3" w:rsidRPr="00BE14DD" w:rsidTr="001C55F3">
        <w:tc>
          <w:tcPr>
            <w:tcW w:w="1729"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lastRenderedPageBreak/>
              <w:t>Ecosystemtype</w:t>
            </w:r>
          </w:p>
        </w:tc>
        <w:tc>
          <w:tcPr>
            <w:tcW w:w="124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Plants</w:t>
            </w:r>
          </w:p>
        </w:tc>
        <w:tc>
          <w:tcPr>
            <w:tcW w:w="136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Breeding birds</w:t>
            </w:r>
          </w:p>
        </w:tc>
        <w:tc>
          <w:tcPr>
            <w:tcW w:w="1421"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Butterflies</w:t>
            </w:r>
          </w:p>
        </w:tc>
        <w:tc>
          <w:tcPr>
            <w:tcW w:w="132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Reptiles</w:t>
            </w:r>
          </w:p>
        </w:tc>
        <w:tc>
          <w:tcPr>
            <w:tcW w:w="1198"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Total</w:t>
            </w:r>
          </w:p>
        </w:tc>
        <w:tc>
          <w:tcPr>
            <w:tcW w:w="1011"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 species of BHD</w:t>
            </w:r>
          </w:p>
        </w:tc>
      </w:tr>
      <w:tr w:rsidR="001C55F3" w:rsidRPr="00BE14DD" w:rsidTr="001C55F3">
        <w:tc>
          <w:tcPr>
            <w:tcW w:w="1729"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Forest</w:t>
            </w:r>
          </w:p>
        </w:tc>
        <w:tc>
          <w:tcPr>
            <w:tcW w:w="124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76 (2)</w:t>
            </w:r>
          </w:p>
        </w:tc>
        <w:tc>
          <w:tcPr>
            <w:tcW w:w="136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27 (4)</w:t>
            </w:r>
          </w:p>
        </w:tc>
        <w:tc>
          <w:tcPr>
            <w:tcW w:w="1421"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17</w:t>
            </w:r>
          </w:p>
        </w:tc>
        <w:tc>
          <w:tcPr>
            <w:tcW w:w="132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p>
        </w:tc>
        <w:tc>
          <w:tcPr>
            <w:tcW w:w="1198"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120 (6)</w:t>
            </w:r>
          </w:p>
        </w:tc>
        <w:tc>
          <w:tcPr>
            <w:tcW w:w="1011" w:type="dxa"/>
            <w:tcBorders>
              <w:top w:val="single" w:sz="4" w:space="0" w:color="auto"/>
              <w:left w:val="single" w:sz="4" w:space="0" w:color="auto"/>
              <w:bottom w:val="single" w:sz="4" w:space="0" w:color="auto"/>
              <w:right w:val="single" w:sz="4" w:space="0" w:color="auto"/>
            </w:tcBorders>
            <w:vAlign w:val="bottom"/>
          </w:tcPr>
          <w:p w:rsidR="001C55F3" w:rsidRPr="00BE14DD" w:rsidRDefault="001C55F3" w:rsidP="001C55F3">
            <w:pPr>
              <w:rPr>
                <w:szCs w:val="20"/>
                <w:lang w:val="en-US"/>
              </w:rPr>
            </w:pPr>
            <w:r w:rsidRPr="00BE14DD">
              <w:rPr>
                <w:color w:val="000000"/>
              </w:rPr>
              <w:t>5%</w:t>
            </w:r>
          </w:p>
        </w:tc>
      </w:tr>
      <w:tr w:rsidR="001C55F3" w:rsidRPr="00BE14DD" w:rsidTr="001C55F3">
        <w:tc>
          <w:tcPr>
            <w:tcW w:w="1729"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Heathland</w:t>
            </w:r>
          </w:p>
        </w:tc>
        <w:tc>
          <w:tcPr>
            <w:tcW w:w="124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35 (4)</w:t>
            </w:r>
          </w:p>
        </w:tc>
        <w:tc>
          <w:tcPr>
            <w:tcW w:w="136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34 (10)</w:t>
            </w:r>
          </w:p>
        </w:tc>
        <w:tc>
          <w:tcPr>
            <w:tcW w:w="1421"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19</w:t>
            </w:r>
          </w:p>
        </w:tc>
        <w:tc>
          <w:tcPr>
            <w:tcW w:w="132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5 (2)</w:t>
            </w:r>
          </w:p>
        </w:tc>
        <w:tc>
          <w:tcPr>
            <w:tcW w:w="1198"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93 (16)</w:t>
            </w:r>
          </w:p>
        </w:tc>
        <w:tc>
          <w:tcPr>
            <w:tcW w:w="1011" w:type="dxa"/>
            <w:tcBorders>
              <w:top w:val="single" w:sz="4" w:space="0" w:color="auto"/>
              <w:left w:val="single" w:sz="4" w:space="0" w:color="auto"/>
              <w:bottom w:val="single" w:sz="4" w:space="0" w:color="auto"/>
              <w:right w:val="single" w:sz="4" w:space="0" w:color="auto"/>
            </w:tcBorders>
            <w:vAlign w:val="bottom"/>
          </w:tcPr>
          <w:p w:rsidR="001C55F3" w:rsidRPr="00BE14DD" w:rsidRDefault="001C55F3" w:rsidP="001C55F3">
            <w:pPr>
              <w:rPr>
                <w:szCs w:val="20"/>
                <w:lang w:val="en-US"/>
              </w:rPr>
            </w:pPr>
            <w:r w:rsidRPr="00BE14DD">
              <w:rPr>
                <w:color w:val="000000"/>
              </w:rPr>
              <w:t>17%</w:t>
            </w:r>
          </w:p>
        </w:tc>
      </w:tr>
      <w:tr w:rsidR="001C55F3" w:rsidRPr="00BE14DD" w:rsidTr="001C55F3">
        <w:tc>
          <w:tcPr>
            <w:tcW w:w="1729"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Open Dune</w:t>
            </w:r>
          </w:p>
        </w:tc>
        <w:tc>
          <w:tcPr>
            <w:tcW w:w="124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88 (1)</w:t>
            </w:r>
          </w:p>
        </w:tc>
        <w:tc>
          <w:tcPr>
            <w:tcW w:w="136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43 (14)</w:t>
            </w:r>
          </w:p>
        </w:tc>
        <w:tc>
          <w:tcPr>
            <w:tcW w:w="1421"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18</w:t>
            </w:r>
          </w:p>
        </w:tc>
        <w:tc>
          <w:tcPr>
            <w:tcW w:w="132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 (1)</w:t>
            </w:r>
          </w:p>
        </w:tc>
        <w:tc>
          <w:tcPr>
            <w:tcW w:w="1198"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150 (16)</w:t>
            </w:r>
          </w:p>
        </w:tc>
        <w:tc>
          <w:tcPr>
            <w:tcW w:w="1011" w:type="dxa"/>
            <w:tcBorders>
              <w:top w:val="single" w:sz="4" w:space="0" w:color="auto"/>
              <w:left w:val="single" w:sz="4" w:space="0" w:color="auto"/>
              <w:bottom w:val="single" w:sz="4" w:space="0" w:color="auto"/>
              <w:right w:val="single" w:sz="4" w:space="0" w:color="auto"/>
            </w:tcBorders>
            <w:vAlign w:val="bottom"/>
          </w:tcPr>
          <w:p w:rsidR="001C55F3" w:rsidRPr="00BE14DD" w:rsidRDefault="001C55F3" w:rsidP="001C55F3">
            <w:pPr>
              <w:rPr>
                <w:szCs w:val="20"/>
                <w:lang w:val="en-US"/>
              </w:rPr>
            </w:pPr>
            <w:r w:rsidRPr="00BE14DD">
              <w:rPr>
                <w:color w:val="000000"/>
              </w:rPr>
              <w:t>11%</w:t>
            </w:r>
          </w:p>
        </w:tc>
      </w:tr>
      <w:tr w:rsidR="001C55F3" w:rsidRPr="00BE14DD" w:rsidTr="001C55F3">
        <w:tc>
          <w:tcPr>
            <w:tcW w:w="1729"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Marsh/fen</w:t>
            </w:r>
          </w:p>
        </w:tc>
        <w:tc>
          <w:tcPr>
            <w:tcW w:w="124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43 (1)</w:t>
            </w:r>
          </w:p>
        </w:tc>
        <w:tc>
          <w:tcPr>
            <w:tcW w:w="136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35 (11)</w:t>
            </w:r>
          </w:p>
        </w:tc>
        <w:tc>
          <w:tcPr>
            <w:tcW w:w="1421"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p>
        </w:tc>
        <w:tc>
          <w:tcPr>
            <w:tcW w:w="132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w:t>
            </w:r>
          </w:p>
        </w:tc>
        <w:tc>
          <w:tcPr>
            <w:tcW w:w="1198"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79(12)</w:t>
            </w:r>
          </w:p>
        </w:tc>
        <w:tc>
          <w:tcPr>
            <w:tcW w:w="1011" w:type="dxa"/>
            <w:tcBorders>
              <w:top w:val="single" w:sz="4" w:space="0" w:color="auto"/>
              <w:left w:val="single" w:sz="4" w:space="0" w:color="auto"/>
              <w:bottom w:val="single" w:sz="4" w:space="0" w:color="auto"/>
              <w:right w:val="single" w:sz="4" w:space="0" w:color="auto"/>
            </w:tcBorders>
            <w:vAlign w:val="bottom"/>
          </w:tcPr>
          <w:p w:rsidR="001C55F3" w:rsidRPr="00BE14DD" w:rsidRDefault="001C55F3" w:rsidP="001C55F3">
            <w:pPr>
              <w:rPr>
                <w:szCs w:val="20"/>
                <w:lang w:val="en-US"/>
              </w:rPr>
            </w:pPr>
            <w:r w:rsidRPr="00BE14DD">
              <w:rPr>
                <w:color w:val="000000"/>
              </w:rPr>
              <w:t>15%</w:t>
            </w:r>
          </w:p>
        </w:tc>
      </w:tr>
      <w:tr w:rsidR="001C55F3" w:rsidRPr="00BE14DD" w:rsidTr="001C55F3">
        <w:tc>
          <w:tcPr>
            <w:tcW w:w="1729"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Semi-natural grassland</w:t>
            </w:r>
          </w:p>
        </w:tc>
        <w:tc>
          <w:tcPr>
            <w:tcW w:w="124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155 (0)</w:t>
            </w:r>
          </w:p>
        </w:tc>
        <w:tc>
          <w:tcPr>
            <w:tcW w:w="136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19 (4)</w:t>
            </w:r>
          </w:p>
        </w:tc>
        <w:tc>
          <w:tcPr>
            <w:tcW w:w="1421"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27 (2)</w:t>
            </w:r>
          </w:p>
        </w:tc>
        <w:tc>
          <w:tcPr>
            <w:tcW w:w="132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p>
        </w:tc>
        <w:tc>
          <w:tcPr>
            <w:tcW w:w="1198"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201 (6)</w:t>
            </w:r>
          </w:p>
        </w:tc>
        <w:tc>
          <w:tcPr>
            <w:tcW w:w="1011" w:type="dxa"/>
            <w:tcBorders>
              <w:top w:val="single" w:sz="4" w:space="0" w:color="auto"/>
              <w:left w:val="single" w:sz="4" w:space="0" w:color="auto"/>
              <w:bottom w:val="single" w:sz="4" w:space="0" w:color="auto"/>
              <w:right w:val="single" w:sz="4" w:space="0" w:color="auto"/>
            </w:tcBorders>
            <w:vAlign w:val="bottom"/>
          </w:tcPr>
          <w:p w:rsidR="001C55F3" w:rsidRPr="00BE14DD" w:rsidRDefault="001C55F3" w:rsidP="001C55F3">
            <w:pPr>
              <w:rPr>
                <w:szCs w:val="20"/>
                <w:lang w:val="en-US"/>
              </w:rPr>
            </w:pPr>
            <w:r w:rsidRPr="00BE14DD">
              <w:rPr>
                <w:color w:val="000000"/>
              </w:rPr>
              <w:t>3%</w:t>
            </w:r>
          </w:p>
        </w:tc>
      </w:tr>
      <w:tr w:rsidR="001C55F3" w:rsidRPr="00BE14DD" w:rsidTr="001C55F3">
        <w:tc>
          <w:tcPr>
            <w:tcW w:w="1729"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Agricultural used land</w:t>
            </w:r>
          </w:p>
        </w:tc>
        <w:tc>
          <w:tcPr>
            <w:tcW w:w="124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p>
        </w:tc>
        <w:tc>
          <w:tcPr>
            <w:tcW w:w="136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29 (5)</w:t>
            </w:r>
          </w:p>
        </w:tc>
        <w:tc>
          <w:tcPr>
            <w:tcW w:w="1421"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14 (1)</w:t>
            </w:r>
          </w:p>
        </w:tc>
        <w:tc>
          <w:tcPr>
            <w:tcW w:w="1323"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p>
        </w:tc>
        <w:tc>
          <w:tcPr>
            <w:tcW w:w="1198"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rPr>
                <w:szCs w:val="20"/>
                <w:lang w:val="en-US"/>
              </w:rPr>
            </w:pPr>
            <w:r w:rsidRPr="00BE14DD">
              <w:rPr>
                <w:szCs w:val="20"/>
                <w:lang w:val="en-US"/>
              </w:rPr>
              <w:t>43 (6)</w:t>
            </w:r>
          </w:p>
        </w:tc>
        <w:tc>
          <w:tcPr>
            <w:tcW w:w="1011" w:type="dxa"/>
            <w:tcBorders>
              <w:top w:val="single" w:sz="4" w:space="0" w:color="auto"/>
              <w:left w:val="single" w:sz="4" w:space="0" w:color="auto"/>
              <w:bottom w:val="single" w:sz="4" w:space="0" w:color="auto"/>
              <w:right w:val="single" w:sz="4" w:space="0" w:color="auto"/>
            </w:tcBorders>
            <w:vAlign w:val="bottom"/>
          </w:tcPr>
          <w:p w:rsidR="001C55F3" w:rsidRPr="00BE14DD" w:rsidRDefault="001C55F3" w:rsidP="001C55F3">
            <w:pPr>
              <w:rPr>
                <w:szCs w:val="20"/>
                <w:lang w:val="en-US"/>
              </w:rPr>
            </w:pPr>
            <w:r w:rsidRPr="00BE14DD">
              <w:rPr>
                <w:color w:val="000000"/>
              </w:rPr>
              <w:t>14%</w:t>
            </w:r>
          </w:p>
        </w:tc>
      </w:tr>
    </w:tbl>
    <w:p w:rsidR="001C55F3" w:rsidRPr="00C56C28" w:rsidRDefault="001C55F3" w:rsidP="001C55F3">
      <w:pPr>
        <w:spacing w:line="240" w:lineRule="auto"/>
        <w:rPr>
          <w:lang w:val="en-US"/>
        </w:rPr>
      </w:pPr>
    </w:p>
    <w:p w:rsidR="001C55F3" w:rsidRPr="00C56C28" w:rsidRDefault="001C55F3" w:rsidP="001C55F3">
      <w:pPr>
        <w:spacing w:line="240" w:lineRule="auto"/>
      </w:pPr>
      <w:r w:rsidRPr="00C56C28">
        <w:t xml:space="preserve">Next to the Natuurwaarde Graadmeter in national assessments the state of ecosystems is reported based on the trend in indicator species for the following ecosystems : forest, grasslands, mashes, dunes, cities and  open water. </w:t>
      </w:r>
    </w:p>
    <w:p w:rsidR="001C55F3" w:rsidRPr="00C56C28" w:rsidRDefault="001C55F3" w:rsidP="001C55F3">
      <w:pPr>
        <w:pStyle w:val="Titre3"/>
        <w:rPr>
          <w:rFonts w:asciiTheme="minorHAnsi" w:hAnsiTheme="minorHAnsi"/>
          <w:sz w:val="22"/>
        </w:rPr>
      </w:pPr>
      <w:r w:rsidRPr="00C56C28">
        <w:rPr>
          <w:rFonts w:asciiTheme="minorHAnsi" w:hAnsiTheme="minorHAnsi"/>
          <w:sz w:val="22"/>
        </w:rPr>
        <w:t>4.1.3 Comparison of the national assessments on ecosystem state with EU reporting obligations</w:t>
      </w:r>
    </w:p>
    <w:p w:rsidR="001C55F3" w:rsidRPr="00C56C28" w:rsidRDefault="001C55F3" w:rsidP="001C55F3">
      <w:pPr>
        <w:spacing w:line="240" w:lineRule="auto"/>
      </w:pPr>
      <w:r w:rsidRPr="00C56C28">
        <w:t>In this section we review the relation between the way in which the status of biodiversity is assessed in national assessment and as part of the EU reporting obligations. If we compare the methodology used in national assessment for species assessments we can notice the following differences between the Dutch assessment and the EU reporting obligations:</w:t>
      </w:r>
    </w:p>
    <w:p w:rsidR="001C55F3" w:rsidRPr="00C56C28" w:rsidRDefault="001C55F3" w:rsidP="00622218">
      <w:pPr>
        <w:pStyle w:val="Paragraphedeliste"/>
        <w:numPr>
          <w:ilvl w:val="0"/>
          <w:numId w:val="95"/>
        </w:numPr>
        <w:spacing w:line="240" w:lineRule="auto"/>
      </w:pPr>
      <w:r w:rsidRPr="00C56C28">
        <w:t>Difference in time period: For species used for national assessment an assessment is undertaken every year instead of 6 yearly.</w:t>
      </w:r>
    </w:p>
    <w:p w:rsidR="001C55F3" w:rsidRPr="00C56C28" w:rsidRDefault="001C55F3" w:rsidP="00622218">
      <w:pPr>
        <w:pStyle w:val="Paragraphedeliste"/>
        <w:numPr>
          <w:ilvl w:val="0"/>
          <w:numId w:val="95"/>
        </w:numPr>
        <w:spacing w:line="240" w:lineRule="auto"/>
      </w:pPr>
      <w:r w:rsidRPr="00C56C28">
        <w:t>Difference in parameters: In national assessment for species, trend is used as a parameter to determine state; under the Habitats Directive range, population size, habitat for speciesand future prospects are used in order to determine state.</w:t>
      </w:r>
    </w:p>
    <w:p w:rsidR="001C55F3" w:rsidRPr="00C56C28" w:rsidRDefault="001C55F3" w:rsidP="00622218">
      <w:pPr>
        <w:pStyle w:val="Paragraphedeliste"/>
        <w:numPr>
          <w:ilvl w:val="0"/>
          <w:numId w:val="95"/>
        </w:numPr>
        <w:spacing w:line="240" w:lineRule="auto"/>
      </w:pPr>
      <w:r w:rsidRPr="00C56C28">
        <w:t>Difference in spatial detail. The assessment under the Habitats Directive provides an estimate for the whole of the country, the data in the NEM network on trends allow for differentiation within the country ( f.i between different regions)</w:t>
      </w:r>
    </w:p>
    <w:p w:rsidR="001C55F3" w:rsidRPr="00C56C28" w:rsidRDefault="001C55F3" w:rsidP="001C55F3">
      <w:pPr>
        <w:spacing w:line="240" w:lineRule="auto"/>
      </w:pPr>
      <w:r w:rsidRPr="00C56C28">
        <w:t>If we look at the species used in national assessments a review was undertaken to assess the overlap between species reported on in the NEM and those species which need to be reported on or are used in the framework of the four reviewed  EU Directives. Table 4.3 outlines the result of this review. It shows that at least 397 species are yearly monitored in the framework of the NEM. Only around 25 % of those species also fall under EU reporting obligations, this is mainly the result of a discrepancy in breeding birds, butterflies, dragonflies and fungi. In addition, the fact that the NEM does not report on fish species is causing the low overlap. This is partly due to the history of the Dutch nature policy and the  national assessment that traditionally focus more on terrestrial than aquatic habitats. In order to fulfil the reporting obligations for the EU Directives some additional species groups are being monitored.</w:t>
      </w:r>
    </w:p>
    <w:p w:rsidR="001C55F3" w:rsidRPr="00BE14DD" w:rsidRDefault="001C55F3" w:rsidP="001C55F3">
      <w:pPr>
        <w:rPr>
          <w:i/>
          <w:szCs w:val="20"/>
        </w:rPr>
      </w:pPr>
      <w:r w:rsidRPr="00BE14DD">
        <w:rPr>
          <w:i/>
          <w:szCs w:val="20"/>
        </w:rPr>
        <w:lastRenderedPageBreak/>
        <w:t>Table 4.3 Overview of species reported on as part of the National Monitoring Network. The number between brackets in column ‘Directives’ shows the number of species that are reported on under the four directives that are part of the NEM network.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6"/>
        <w:gridCol w:w="1506"/>
        <w:gridCol w:w="904"/>
        <w:gridCol w:w="708"/>
        <w:gridCol w:w="619"/>
        <w:gridCol w:w="941"/>
        <w:gridCol w:w="425"/>
        <w:gridCol w:w="567"/>
        <w:gridCol w:w="2092"/>
      </w:tblGrid>
      <w:tr w:rsidR="001C55F3" w:rsidRPr="00044039" w:rsidTr="001C55F3">
        <w:trPr>
          <w:cantSplit/>
          <w:trHeight w:val="4422"/>
        </w:trPr>
        <w:tc>
          <w:tcPr>
            <w:tcW w:w="1526" w:type="dxa"/>
            <w:shd w:val="clear" w:color="auto" w:fill="auto"/>
            <w:noWrap/>
            <w:textDirection w:val="tbRl"/>
            <w:vAlign w:val="bottom"/>
            <w:hideMark/>
          </w:tcPr>
          <w:p w:rsidR="001C55F3" w:rsidRPr="00BE14DD" w:rsidRDefault="001C55F3" w:rsidP="001C55F3">
            <w:pPr>
              <w:spacing w:after="0" w:line="240" w:lineRule="auto"/>
              <w:ind w:left="113" w:right="113"/>
              <w:rPr>
                <w:rFonts w:eastAsia="Times New Roman" w:cs="Times New Roman"/>
                <w:color w:val="000000"/>
                <w:lang w:eastAsia="en-GB"/>
              </w:rPr>
            </w:pPr>
            <w:r w:rsidRPr="00BE14DD">
              <w:rPr>
                <w:rFonts w:eastAsia="Times New Roman" w:cs="Times New Roman"/>
                <w:color w:val="000000"/>
                <w:lang w:eastAsia="en-GB"/>
              </w:rPr>
              <w:t>Species groups</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904" w:type="dxa"/>
            <w:shd w:val="clear" w:color="auto" w:fill="auto"/>
            <w:textDirection w:val="tbRl"/>
            <w:hideMark/>
          </w:tcPr>
          <w:p w:rsidR="001C55F3" w:rsidRPr="00BE14DD" w:rsidRDefault="001C55F3" w:rsidP="001C55F3">
            <w:pPr>
              <w:spacing w:after="0" w:line="240" w:lineRule="auto"/>
              <w:ind w:left="113" w:right="113"/>
              <w:rPr>
                <w:rFonts w:eastAsia="Times New Roman" w:cs="Times New Roman"/>
                <w:color w:val="000000"/>
                <w:lang w:eastAsia="en-GB"/>
              </w:rPr>
            </w:pPr>
            <w:r w:rsidRPr="00BE14DD">
              <w:rPr>
                <w:rFonts w:eastAsia="Times New Roman" w:cs="Times New Roman"/>
                <w:color w:val="000000"/>
                <w:lang w:eastAsia="en-GB"/>
              </w:rPr>
              <w:t>National monitoring network (NEM)</w:t>
            </w:r>
          </w:p>
          <w:p w:rsidR="001C55F3" w:rsidRPr="00BE14DD" w:rsidRDefault="001C55F3" w:rsidP="001C55F3">
            <w:pPr>
              <w:spacing w:after="0" w:line="240" w:lineRule="auto"/>
              <w:ind w:left="113" w:right="113"/>
              <w:rPr>
                <w:rFonts w:eastAsia="Times New Roman" w:cs="Times New Roman"/>
                <w:color w:val="000000"/>
                <w:lang w:eastAsia="en-GB"/>
              </w:rPr>
            </w:pPr>
          </w:p>
        </w:tc>
        <w:tc>
          <w:tcPr>
            <w:tcW w:w="708" w:type="dxa"/>
            <w:shd w:val="clear" w:color="auto" w:fill="auto"/>
            <w:noWrap/>
            <w:textDirection w:val="tbRl"/>
            <w:vAlign w:val="bottom"/>
            <w:hideMark/>
          </w:tcPr>
          <w:p w:rsidR="001C55F3" w:rsidRPr="00BE14DD" w:rsidRDefault="001C55F3" w:rsidP="001C55F3">
            <w:pPr>
              <w:spacing w:after="0" w:line="240" w:lineRule="auto"/>
              <w:ind w:left="113" w:right="113"/>
              <w:rPr>
                <w:rFonts w:eastAsia="Times New Roman" w:cs="Times New Roman"/>
                <w:color w:val="000000"/>
                <w:lang w:eastAsia="en-GB"/>
              </w:rPr>
            </w:pPr>
            <w:r w:rsidRPr="00BE14DD">
              <w:rPr>
                <w:rFonts w:eastAsia="Times New Roman" w:cs="Times New Roman"/>
                <w:color w:val="000000"/>
                <w:lang w:eastAsia="en-GB"/>
              </w:rPr>
              <w:t>Birds &amp; Habitat Directives</w:t>
            </w:r>
          </w:p>
        </w:tc>
        <w:tc>
          <w:tcPr>
            <w:tcW w:w="619" w:type="dxa"/>
            <w:shd w:val="clear" w:color="auto" w:fill="BFBFBF" w:themeFill="background1" w:themeFillShade="BF"/>
            <w:textDirection w:val="tbRl"/>
          </w:tcPr>
          <w:p w:rsidR="001C55F3" w:rsidRPr="00BE14DD" w:rsidRDefault="001C55F3" w:rsidP="001C55F3">
            <w:pPr>
              <w:spacing w:after="0" w:line="240" w:lineRule="auto"/>
              <w:ind w:left="113" w:right="113"/>
              <w:rPr>
                <w:rFonts w:eastAsia="Times New Roman" w:cs="Times New Roman"/>
                <w:color w:val="000000"/>
                <w:lang w:val="nl-NL" w:eastAsia="en-GB"/>
              </w:rPr>
            </w:pPr>
            <w:r w:rsidRPr="00BE14DD">
              <w:rPr>
                <w:rFonts w:eastAsia="Times New Roman" w:cs="Times New Roman"/>
                <w:color w:val="000000"/>
                <w:lang w:val="nl-NL" w:eastAsia="en-GB"/>
              </w:rPr>
              <w:t>Overlap in species NEM - BHDirective</w:t>
            </w:r>
          </w:p>
        </w:tc>
        <w:tc>
          <w:tcPr>
            <w:tcW w:w="941" w:type="dxa"/>
            <w:shd w:val="clear" w:color="auto" w:fill="auto"/>
            <w:noWrap/>
            <w:textDirection w:val="tbRl"/>
            <w:vAlign w:val="bottom"/>
            <w:hideMark/>
          </w:tcPr>
          <w:p w:rsidR="001C55F3" w:rsidRPr="00BE14DD" w:rsidRDefault="001C55F3" w:rsidP="001C55F3">
            <w:pPr>
              <w:spacing w:after="0" w:line="240" w:lineRule="auto"/>
              <w:ind w:left="113" w:right="113"/>
              <w:rPr>
                <w:rFonts w:eastAsia="Times New Roman" w:cs="Times New Roman"/>
                <w:color w:val="000000"/>
                <w:lang w:eastAsia="en-GB"/>
              </w:rPr>
            </w:pPr>
            <w:r w:rsidRPr="00BE14DD">
              <w:rPr>
                <w:rFonts w:eastAsia="Times New Roman" w:cs="Times New Roman"/>
                <w:color w:val="000000"/>
                <w:lang w:eastAsia="en-GB"/>
              </w:rPr>
              <w:t>Water Framework Directive</w:t>
            </w:r>
          </w:p>
        </w:tc>
        <w:tc>
          <w:tcPr>
            <w:tcW w:w="425" w:type="dxa"/>
            <w:shd w:val="clear" w:color="auto" w:fill="BFBFBF" w:themeFill="background1" w:themeFillShade="BF"/>
            <w:textDirection w:val="tbRl"/>
          </w:tcPr>
          <w:p w:rsidR="001C55F3" w:rsidRPr="00BE14DD" w:rsidRDefault="001C55F3" w:rsidP="001C55F3">
            <w:pPr>
              <w:spacing w:after="0" w:line="240" w:lineRule="auto"/>
              <w:ind w:left="113" w:right="113"/>
              <w:rPr>
                <w:rFonts w:eastAsia="Times New Roman" w:cs="Times New Roman"/>
                <w:color w:val="000000"/>
                <w:lang w:val="nl-NL" w:eastAsia="en-GB"/>
              </w:rPr>
            </w:pPr>
            <w:r w:rsidRPr="00BE14DD">
              <w:rPr>
                <w:rFonts w:eastAsia="Times New Roman" w:cs="Times New Roman"/>
                <w:color w:val="000000"/>
                <w:lang w:val="nl-NL" w:eastAsia="en-GB"/>
              </w:rPr>
              <w:t>Overlap in species NEM- WFD</w:t>
            </w:r>
          </w:p>
        </w:tc>
        <w:tc>
          <w:tcPr>
            <w:tcW w:w="567" w:type="dxa"/>
            <w:textDirection w:val="tbRl"/>
          </w:tcPr>
          <w:p w:rsidR="001C55F3" w:rsidRPr="00BE14DD" w:rsidRDefault="001C55F3" w:rsidP="001C55F3">
            <w:pPr>
              <w:spacing w:after="0" w:line="240" w:lineRule="auto"/>
              <w:ind w:left="113" w:right="113"/>
              <w:rPr>
                <w:rFonts w:eastAsia="Times New Roman" w:cs="Times New Roman"/>
                <w:color w:val="000000"/>
                <w:lang w:eastAsia="en-GB"/>
              </w:rPr>
            </w:pPr>
            <w:r w:rsidRPr="00BE14DD">
              <w:rPr>
                <w:rFonts w:eastAsia="Times New Roman" w:cs="Times New Roman"/>
                <w:color w:val="000000"/>
                <w:lang w:eastAsia="en-GB"/>
              </w:rPr>
              <w:t>Marine Strategic Framework Directive</w:t>
            </w:r>
          </w:p>
        </w:tc>
        <w:tc>
          <w:tcPr>
            <w:tcW w:w="2092" w:type="dxa"/>
            <w:shd w:val="clear" w:color="auto" w:fill="BFBFBF" w:themeFill="background1" w:themeFillShade="BF"/>
            <w:textDirection w:val="tbRl"/>
          </w:tcPr>
          <w:p w:rsidR="001C55F3" w:rsidRPr="00BE14DD" w:rsidRDefault="001C55F3" w:rsidP="001C55F3">
            <w:pPr>
              <w:spacing w:after="0" w:line="240" w:lineRule="auto"/>
              <w:ind w:left="113" w:right="113"/>
              <w:rPr>
                <w:rFonts w:eastAsia="Times New Roman" w:cs="Times New Roman"/>
                <w:color w:val="000000"/>
                <w:lang w:val="nl-NL" w:eastAsia="en-GB"/>
              </w:rPr>
            </w:pPr>
            <w:r w:rsidRPr="00BE14DD">
              <w:rPr>
                <w:rFonts w:eastAsia="Times New Roman" w:cs="Times New Roman"/>
                <w:color w:val="000000"/>
                <w:lang w:val="nl-NL" w:eastAsia="en-GB"/>
              </w:rPr>
              <w:t>Overlap in species</w:t>
            </w:r>
          </w:p>
          <w:p w:rsidR="001C55F3" w:rsidRPr="00BE14DD" w:rsidRDefault="001C55F3" w:rsidP="001C55F3">
            <w:pPr>
              <w:spacing w:after="0" w:line="240" w:lineRule="auto"/>
              <w:ind w:left="113" w:right="113"/>
              <w:rPr>
                <w:rFonts w:eastAsia="Times New Roman" w:cs="Times New Roman"/>
                <w:color w:val="000000"/>
                <w:lang w:val="nl-NL" w:eastAsia="en-GB"/>
              </w:rPr>
            </w:pPr>
            <w:r w:rsidRPr="00BE14DD">
              <w:rPr>
                <w:rFonts w:eastAsia="Times New Roman" w:cs="Times New Roman"/>
                <w:color w:val="000000"/>
                <w:lang w:val="nl-NL" w:eastAsia="en-GB"/>
              </w:rPr>
              <w:t>NEM- MSFD</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Vertebrates</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Mammals</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14</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xml:space="preserve">28 </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7</w:t>
            </w: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0 </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3</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Amphibians</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14</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11</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9</w:t>
            </w: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0 </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birds (breeding)</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166</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28</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27</w:t>
            </w: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p>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birds (non-breeding)</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107</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xml:space="preserve">64 </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58</w:t>
            </w: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p>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5</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Reptiles</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7</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xml:space="preserve">3 </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3</w:t>
            </w: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Fish (including migrating sea coast-river fish)</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12</w:t>
            </w:r>
          </w:p>
          <w:p w:rsidR="001C55F3" w:rsidRPr="00BE14DD" w:rsidRDefault="001C55F3" w:rsidP="001C55F3">
            <w:pPr>
              <w:spacing w:after="0" w:line="240" w:lineRule="auto"/>
              <w:rPr>
                <w:rFonts w:eastAsia="Times New Roman" w:cs="Times New Roman"/>
                <w:color w:val="000000"/>
                <w:lang w:eastAsia="en-GB"/>
              </w:rPr>
            </w:pP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941" w:type="dxa"/>
            <w:shd w:val="clear" w:color="auto" w:fill="auto"/>
            <w:noWrap/>
            <w:vAlign w:val="bottom"/>
            <w:hideMark/>
          </w:tcPr>
          <w:p w:rsidR="001C55F3" w:rsidRPr="00BE14DD" w:rsidRDefault="001C55F3" w:rsidP="00622218">
            <w:pPr>
              <w:pStyle w:val="Paragraphedeliste"/>
              <w:numPr>
                <w:ilvl w:val="0"/>
                <w:numId w:val="99"/>
              </w:numPr>
              <w:spacing w:after="0" w:line="240" w:lineRule="auto"/>
              <w:rPr>
                <w:rFonts w:eastAsia="Times New Roman" w:cs="Times New Roman"/>
                <w:color w:val="000000"/>
                <w:lang w:eastAsia="en-GB"/>
              </w:rPr>
            </w:pPr>
            <w:r w:rsidRPr="00BE14DD">
              <w:rPr>
                <w:rFonts w:eastAsia="Times New Roman" w:cs="Times New Roman"/>
                <w:color w:val="000000"/>
                <w:lang w:eastAsia="en-GB"/>
              </w:rPr>
              <w:t>78</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7</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Invertebrates</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Butterflies</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51</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xml:space="preserve">5 </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3</w:t>
            </w: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Dragonflies</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38</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7</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2</w:t>
            </w: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xml:space="preserve">Plants </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xml:space="preserve">Vascular plants </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11</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x</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x</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Mosses</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0</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39</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0 </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Other species</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Fungi</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83 </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0</w:t>
            </w: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tc>
        <w:tc>
          <w:tcPr>
            <w:tcW w:w="567" w:type="dxa"/>
          </w:tcPr>
          <w:p w:rsidR="001C55F3" w:rsidRPr="00BE14DD" w:rsidRDefault="001C55F3" w:rsidP="001C55F3">
            <w:pPr>
              <w:spacing w:after="0" w:line="240" w:lineRule="auto"/>
              <w:rPr>
                <w:rFonts w:eastAsia="Times New Roman" w:cs="Times New Roman"/>
                <w:color w:val="000000"/>
                <w:lang w:eastAsia="en-GB"/>
              </w:rPr>
            </w:pP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tc>
      </w:tr>
      <w:tr w:rsidR="001C55F3" w:rsidRPr="00BE14DD" w:rsidTr="001C55F3">
        <w:trPr>
          <w:trHeight w:val="300"/>
        </w:trPr>
        <w:tc>
          <w:tcPr>
            <w:tcW w:w="152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506"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Benthic invertebrate fauna</w:t>
            </w:r>
          </w:p>
        </w:tc>
        <w:tc>
          <w:tcPr>
            <w:tcW w:w="904"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0</w:t>
            </w:r>
          </w:p>
        </w:tc>
        <w:tc>
          <w:tcPr>
            <w:tcW w:w="708"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tc>
        <w:tc>
          <w:tcPr>
            <w:tcW w:w="941" w:type="dxa"/>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xx</w:t>
            </w: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c>
          <w:tcPr>
            <w:tcW w:w="567" w:type="dxa"/>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6</w:t>
            </w: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t>
            </w:r>
          </w:p>
        </w:tc>
      </w:tr>
      <w:tr w:rsidR="001C55F3" w:rsidRPr="00BE14DD" w:rsidTr="001C55F3">
        <w:trPr>
          <w:trHeight w:val="300"/>
        </w:trPr>
        <w:tc>
          <w:tcPr>
            <w:tcW w:w="1526" w:type="dxa"/>
            <w:shd w:val="clear" w:color="auto" w:fill="auto"/>
            <w:noWrap/>
            <w:vAlign w:val="bottom"/>
          </w:tcPr>
          <w:p w:rsidR="001C55F3" w:rsidRPr="00BE14DD" w:rsidRDefault="001C55F3" w:rsidP="001C55F3">
            <w:pPr>
              <w:spacing w:after="0" w:line="240" w:lineRule="auto"/>
              <w:rPr>
                <w:rFonts w:eastAsia="Times New Roman" w:cs="Times New Roman"/>
                <w:color w:val="000000"/>
                <w:lang w:eastAsia="en-GB"/>
              </w:rPr>
            </w:pPr>
          </w:p>
        </w:tc>
        <w:tc>
          <w:tcPr>
            <w:tcW w:w="1506" w:type="dxa"/>
            <w:shd w:val="clear" w:color="auto" w:fill="auto"/>
            <w:noWrap/>
            <w:vAlign w:val="bottom"/>
          </w:tcPr>
          <w:p w:rsidR="001C55F3" w:rsidRPr="00BE14DD" w:rsidRDefault="001C55F3" w:rsidP="001C55F3">
            <w:pPr>
              <w:spacing w:after="0" w:line="240" w:lineRule="auto"/>
              <w:rPr>
                <w:rFonts w:eastAsia="Times New Roman" w:cs="Times New Roman"/>
                <w:color w:val="000000"/>
                <w:lang w:eastAsia="en-GB"/>
              </w:rPr>
            </w:pPr>
          </w:p>
        </w:tc>
        <w:tc>
          <w:tcPr>
            <w:tcW w:w="904" w:type="dxa"/>
            <w:shd w:val="clear" w:color="auto" w:fill="auto"/>
            <w:noWrap/>
            <w:vAlign w:val="bottom"/>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397</w:t>
            </w:r>
          </w:p>
        </w:tc>
        <w:tc>
          <w:tcPr>
            <w:tcW w:w="708" w:type="dxa"/>
            <w:shd w:val="clear" w:color="auto" w:fill="auto"/>
            <w:noWrap/>
            <w:vAlign w:val="bottom"/>
          </w:tcPr>
          <w:p w:rsidR="001C55F3" w:rsidRPr="00BE14DD" w:rsidRDefault="001C55F3" w:rsidP="001C55F3">
            <w:pPr>
              <w:spacing w:after="0" w:line="240" w:lineRule="auto"/>
              <w:rPr>
                <w:rFonts w:eastAsia="Times New Roman" w:cs="Times New Roman"/>
                <w:color w:val="000000"/>
                <w:lang w:eastAsia="en-GB"/>
              </w:rPr>
            </w:pPr>
          </w:p>
        </w:tc>
        <w:tc>
          <w:tcPr>
            <w:tcW w:w="619"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109</w:t>
            </w:r>
          </w:p>
        </w:tc>
        <w:tc>
          <w:tcPr>
            <w:tcW w:w="941" w:type="dxa"/>
            <w:shd w:val="clear" w:color="auto" w:fill="auto"/>
            <w:noWrap/>
            <w:vAlign w:val="bottom"/>
          </w:tcPr>
          <w:p w:rsidR="001C55F3" w:rsidRPr="00BE14DD" w:rsidRDefault="001C55F3" w:rsidP="001C55F3">
            <w:pPr>
              <w:spacing w:after="0" w:line="240" w:lineRule="auto"/>
              <w:rPr>
                <w:rFonts w:eastAsia="Times New Roman" w:cs="Times New Roman"/>
                <w:color w:val="000000"/>
                <w:lang w:eastAsia="en-GB"/>
              </w:rPr>
            </w:pPr>
          </w:p>
        </w:tc>
        <w:tc>
          <w:tcPr>
            <w:tcW w:w="425"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tc>
        <w:tc>
          <w:tcPr>
            <w:tcW w:w="567" w:type="dxa"/>
          </w:tcPr>
          <w:p w:rsidR="001C55F3" w:rsidRPr="00BE14DD" w:rsidRDefault="001C55F3" w:rsidP="001C55F3">
            <w:pPr>
              <w:spacing w:after="0" w:line="240" w:lineRule="auto"/>
              <w:rPr>
                <w:rFonts w:eastAsia="Times New Roman" w:cs="Times New Roman"/>
                <w:color w:val="000000"/>
                <w:lang w:eastAsia="en-GB"/>
              </w:rPr>
            </w:pPr>
          </w:p>
        </w:tc>
        <w:tc>
          <w:tcPr>
            <w:tcW w:w="2092" w:type="dxa"/>
            <w:shd w:val="clear" w:color="auto" w:fill="BFBFBF" w:themeFill="background1" w:themeFillShade="BF"/>
          </w:tcPr>
          <w:p w:rsidR="001C55F3" w:rsidRPr="00BE14DD" w:rsidRDefault="001C55F3" w:rsidP="001C55F3">
            <w:pPr>
              <w:spacing w:after="0" w:line="240" w:lineRule="auto"/>
              <w:rPr>
                <w:rFonts w:eastAsia="Times New Roman" w:cs="Times New Roman"/>
                <w:color w:val="000000"/>
                <w:lang w:eastAsia="en-GB"/>
              </w:rPr>
            </w:pPr>
          </w:p>
        </w:tc>
      </w:tr>
    </w:tbl>
    <w:p w:rsidR="001C55F3" w:rsidRPr="00C56C28" w:rsidRDefault="001C55F3" w:rsidP="001C55F3">
      <w:pPr>
        <w:pStyle w:val="Paragraphedeliste"/>
        <w:spacing w:line="240" w:lineRule="auto"/>
        <w:ind w:left="360"/>
      </w:pPr>
    </w:p>
    <w:p w:rsidR="001C55F3" w:rsidRPr="00C56C28" w:rsidRDefault="001C55F3" w:rsidP="001C55F3">
      <w:pPr>
        <w:spacing w:line="240" w:lineRule="auto"/>
      </w:pPr>
      <w:r w:rsidRPr="00C56C28">
        <w:t xml:space="preserve">If we compare the species which are used for the ‘Natuurwaarde Graadmeter’  a similar picture emerges (see table 4.2).  The overlap between these indicator species to assess the state of Dutch ecosystems and those reported on under EU assessments is low (between 3-17 %). This is primarily due to the limited number of Dutch butterfly and plant species listed on the Habitats Directive. </w:t>
      </w:r>
    </w:p>
    <w:p w:rsidR="001C55F3" w:rsidRPr="00C56C28" w:rsidRDefault="001C55F3" w:rsidP="001C55F3">
      <w:pPr>
        <w:shd w:val="clear" w:color="auto" w:fill="FFFFFF" w:themeFill="background1"/>
        <w:spacing w:line="240" w:lineRule="auto"/>
      </w:pPr>
      <w:r w:rsidRPr="00C56C28">
        <w:t xml:space="preserve">For ‘beheertypen’ the discussion on streamlining the national reporting with the reporting under the Habitats directive is still on-going. Two additional parameters have been proposed being spatial </w:t>
      </w:r>
      <w:r w:rsidRPr="00C56C28">
        <w:lastRenderedPageBreak/>
        <w:t>connectivity and naturalness, reflecting two typical Dutch national policy priorities. In addition to the ecosystem types identified in the ‘Natuurwaarde Graadmeter’ indicator species for cities have also been identified.</w:t>
      </w:r>
    </w:p>
    <w:p w:rsidR="001C55F3" w:rsidRPr="00C56C28" w:rsidRDefault="001C55F3" w:rsidP="001C55F3">
      <w:pPr>
        <w:pStyle w:val="Titre3"/>
        <w:rPr>
          <w:rFonts w:asciiTheme="minorHAnsi" w:hAnsiTheme="minorHAnsi"/>
          <w:sz w:val="22"/>
        </w:rPr>
      </w:pPr>
      <w:r w:rsidRPr="00C56C28">
        <w:rPr>
          <w:rFonts w:asciiTheme="minorHAnsi" w:hAnsiTheme="minorHAnsi"/>
          <w:sz w:val="22"/>
        </w:rPr>
        <w:t>4.1.4 Remarks &amp; conclusions</w:t>
      </w:r>
    </w:p>
    <w:p w:rsidR="001C55F3" w:rsidRPr="00C56C28" w:rsidRDefault="001C55F3" w:rsidP="001C55F3">
      <w:pPr>
        <w:shd w:val="clear" w:color="auto" w:fill="FFFFFF" w:themeFill="background1"/>
        <w:spacing w:line="240" w:lineRule="auto"/>
      </w:pPr>
      <w:r w:rsidRPr="00C56C28">
        <w:t>The Netherlands has a rather well and long established monitoring program which is updated annually. As a result yearly trend data are available for several species groups. A specific indicator has been developed to assess ecosystem state in the Netherlands, which is based on a selected group of indicator species of three groups being birds, plants and butterflies. As part of the indicators the trends in 5 ecosystems are assessed: forest, heathland, open dunes, semi-natural grasslands and marshes.</w:t>
      </w:r>
    </w:p>
    <w:p w:rsidR="001C55F3" w:rsidRPr="00C56C28" w:rsidRDefault="001C55F3" w:rsidP="001C55F3">
      <w:pPr>
        <w:shd w:val="clear" w:color="auto" w:fill="FFFFFF" w:themeFill="background1"/>
        <w:spacing w:after="0" w:line="240" w:lineRule="auto"/>
      </w:pPr>
      <w:r w:rsidRPr="00C56C28">
        <w:t>The overlap between indicator species used for national assessments and EU reporting is low. This is caused by:</w:t>
      </w:r>
    </w:p>
    <w:p w:rsidR="001C55F3" w:rsidRPr="00C56C28" w:rsidRDefault="001C55F3" w:rsidP="00622218">
      <w:pPr>
        <w:pStyle w:val="Paragraphedeliste"/>
        <w:numPr>
          <w:ilvl w:val="0"/>
          <w:numId w:val="101"/>
        </w:numPr>
        <w:shd w:val="clear" w:color="auto" w:fill="FFFFFF" w:themeFill="background1"/>
        <w:spacing w:line="240" w:lineRule="auto"/>
      </w:pPr>
      <w:r w:rsidRPr="00C56C28">
        <w:t>the low number of butterflies and plants listed on Habitats directive</w:t>
      </w:r>
    </w:p>
    <w:p w:rsidR="001C55F3" w:rsidRPr="00C56C28" w:rsidRDefault="001C55F3" w:rsidP="00622218">
      <w:pPr>
        <w:pStyle w:val="Paragraphedeliste"/>
        <w:numPr>
          <w:ilvl w:val="0"/>
          <w:numId w:val="101"/>
        </w:numPr>
        <w:shd w:val="clear" w:color="auto" w:fill="FFFFFF" w:themeFill="background1"/>
        <w:spacing w:line="240" w:lineRule="auto"/>
      </w:pPr>
      <w:r w:rsidRPr="00C56C28">
        <w:t>the use of different species groups in the national monitoring network (NEM), species groups monitored for the WFD and MSFD such as fish, benthic invertebrate fauna and   phytoplankton</w:t>
      </w:r>
    </w:p>
    <w:p w:rsidR="001C55F3" w:rsidRPr="00C56C28" w:rsidRDefault="001C55F3" w:rsidP="001C55F3">
      <w:pPr>
        <w:spacing w:line="240" w:lineRule="auto"/>
      </w:pPr>
      <w:r w:rsidRPr="00C56C28">
        <w:t>Overall the national assessments and reporting for the Birds and Habitats Directives are stemming from the same source (NEM). Additional species have been included in the monitoring program of the NEM as they were listed on the Habitats Directive. However as the methodology for reporting under the Habitats Directive are somewhat different an additional analysis is undertaken. The data of the MSFD and WFD are stemming from other sources. The more limited use of the data is partly a result of the more terrestrial focus of most of the national assessments as well as a result of the task division between the various institutes responsible for terrestrial, aquatic and marine environment in reporting on the environment in the Netherlands.</w:t>
      </w:r>
    </w:p>
    <w:p w:rsidR="001C55F3" w:rsidRPr="00BE14DD" w:rsidRDefault="001C55F3" w:rsidP="001C55F3">
      <w:pPr>
        <w:rPr>
          <w:szCs w:val="20"/>
          <w:lang w:val="nl-NL"/>
        </w:rPr>
      </w:pPr>
      <w:r w:rsidRPr="00BE14DD">
        <w:rPr>
          <w:szCs w:val="20"/>
          <w:lang w:val="nl-NL"/>
        </w:rPr>
        <w:t>References</w:t>
      </w:r>
    </w:p>
    <w:p w:rsidR="001C55F3" w:rsidRPr="00C56C28" w:rsidRDefault="001C55F3" w:rsidP="001C55F3">
      <w:pPr>
        <w:spacing w:line="240" w:lineRule="auto"/>
        <w:ind w:left="720" w:hanging="720"/>
        <w:rPr>
          <w:lang w:val="nl-NL"/>
        </w:rPr>
      </w:pPr>
      <w:r w:rsidRPr="00C56C28">
        <w:rPr>
          <w:lang w:val="nl-NL"/>
        </w:rPr>
        <w:t>Reijnen, M.J.S.M., A. van Hinsberg, M.L.P. van Esbroek, B. de Knegt, R. Pouwels, S. van Tol &amp; J. Wiertz, 2010. Natuurwaarde 2.0 land. Graadmeter natuurkwaliteit landecosystemen voor nationale beleidsdoelen. Wageningen, Wettelijke Onderzoekstaken Natuur &amp; Milieu, WOt-rapport 110. (</w:t>
      </w:r>
      <w:hyperlink r:id="rId119" w:history="1">
        <w:r w:rsidRPr="00C56C28">
          <w:rPr>
            <w:rStyle w:val="Lienhypertexte"/>
            <w:lang w:val="nl-NL"/>
          </w:rPr>
          <w:t>http://edepot.wur.nl/159006</w:t>
        </w:r>
      </w:hyperlink>
      <w:r w:rsidRPr="00C56C28">
        <w:rPr>
          <w:lang w:val="nl-NL"/>
        </w:rPr>
        <w:t>)</w:t>
      </w:r>
    </w:p>
    <w:p w:rsidR="001C55F3" w:rsidRPr="001C55F3" w:rsidRDefault="001C55F3" w:rsidP="001C55F3">
      <w:pPr>
        <w:spacing w:line="240" w:lineRule="auto"/>
        <w:ind w:left="720" w:hanging="720"/>
        <w:rPr>
          <w:lang w:val="nl-NL"/>
        </w:rPr>
      </w:pPr>
      <w:r w:rsidRPr="00C56C28">
        <w:rPr>
          <w:lang w:val="nl-NL"/>
        </w:rPr>
        <w:t xml:space="preserve">CBS, 2012. Meetprogramma voor Flora en fauna. Kwaliteitsrapportage NEM over 2012. Den Haag. </w:t>
      </w:r>
      <w:hyperlink r:id="rId120" w:history="1">
        <w:r w:rsidRPr="001C55F3">
          <w:rPr>
            <w:rStyle w:val="Lienhypertexte"/>
            <w:lang w:val="nl-NL"/>
          </w:rPr>
          <w:t>http://www.netwerkecologischemonitoring.nl/downloads/188/Meetprogramma%20NEM%20WEB%202013.pdf</w:t>
        </w:r>
      </w:hyperlink>
    </w:p>
    <w:p w:rsidR="001C55F3" w:rsidRPr="00C56C28" w:rsidRDefault="001C55F3" w:rsidP="001C55F3">
      <w:pPr>
        <w:spacing w:line="240" w:lineRule="auto"/>
        <w:ind w:left="720" w:hanging="720"/>
      </w:pPr>
      <w:r w:rsidRPr="00C56C28">
        <w:t>Websites:</w:t>
      </w:r>
    </w:p>
    <w:p w:rsidR="001C55F3" w:rsidRPr="00C56C28" w:rsidRDefault="001C55F3" w:rsidP="001C55F3">
      <w:pPr>
        <w:spacing w:line="240" w:lineRule="auto"/>
        <w:ind w:left="720" w:hanging="720"/>
      </w:pPr>
      <w:r w:rsidRPr="00C56C28">
        <w:t xml:space="preserve">Information on the monitoring program: </w:t>
      </w:r>
      <w:hyperlink r:id="rId121" w:history="1">
        <w:r w:rsidRPr="00C56C28">
          <w:rPr>
            <w:rStyle w:val="Lienhypertexte"/>
          </w:rPr>
          <w:t>http://www.netwerkecologischemonitoring.nl/home</w:t>
        </w:r>
      </w:hyperlink>
    </w:p>
    <w:p w:rsidR="001C55F3" w:rsidRPr="00C56C28" w:rsidRDefault="001C55F3" w:rsidP="001C55F3">
      <w:pPr>
        <w:spacing w:line="240" w:lineRule="auto"/>
        <w:ind w:left="720" w:hanging="720"/>
      </w:pPr>
      <w:r w:rsidRPr="00C56C28">
        <w:t xml:space="preserve">Information on indicators developed for national assesment: </w:t>
      </w:r>
      <w:hyperlink r:id="rId122" w:history="1">
        <w:r w:rsidRPr="00C56C28">
          <w:rPr>
            <w:rStyle w:val="Lienhypertexte"/>
          </w:rPr>
          <w:t>http://www.compendiumvoordeleefomgeving.nl/</w:t>
        </w:r>
      </w:hyperlink>
    </w:p>
    <w:p w:rsidR="001C55F3" w:rsidRPr="00C56C28" w:rsidRDefault="001C55F3" w:rsidP="001C55F3">
      <w:pPr>
        <w:spacing w:line="240" w:lineRule="auto"/>
        <w:ind w:left="720" w:hanging="720"/>
      </w:pPr>
      <w:r w:rsidRPr="00C56C28">
        <w:t xml:space="preserve">National assessments: </w:t>
      </w:r>
      <w:hyperlink r:id="rId123" w:history="1">
        <w:r w:rsidRPr="00C56C28">
          <w:rPr>
            <w:rStyle w:val="Lienhypertexte"/>
          </w:rPr>
          <w:t>http://www.pbl.nl/en</w:t>
        </w:r>
      </w:hyperlink>
    </w:p>
    <w:p w:rsidR="001C55F3" w:rsidRPr="00C56C28" w:rsidRDefault="001C55F3" w:rsidP="001C55F3">
      <w:pPr>
        <w:spacing w:line="240" w:lineRule="auto"/>
        <w:ind w:left="720" w:hanging="720"/>
      </w:pPr>
      <w:r w:rsidRPr="00C56C28">
        <w:t>Statistical methods: http://www.cbs.nl/en-GB/menu/themas/natuur-milieu/methoden/trim/default.htm?Languageswitch=on</w:t>
      </w:r>
      <w:r w:rsidRPr="00C56C28">
        <w:br w:type="page"/>
      </w:r>
    </w:p>
    <w:p w:rsidR="001C55F3" w:rsidRPr="00BE14DD" w:rsidRDefault="001C55F3" w:rsidP="00622218">
      <w:pPr>
        <w:pStyle w:val="Titre2"/>
        <w:numPr>
          <w:ilvl w:val="1"/>
          <w:numId w:val="98"/>
        </w:numPr>
        <w:rPr>
          <w:rFonts w:asciiTheme="minorHAnsi" w:hAnsiTheme="minorHAnsi"/>
        </w:rPr>
      </w:pPr>
      <w:bookmarkStart w:id="34" w:name="_Toc356484300"/>
      <w:r w:rsidRPr="00BE14DD">
        <w:rPr>
          <w:rFonts w:asciiTheme="minorHAnsi" w:hAnsiTheme="minorHAnsi"/>
        </w:rPr>
        <w:lastRenderedPageBreak/>
        <w:t>Flanders</w:t>
      </w:r>
      <w:bookmarkEnd w:id="34"/>
    </w:p>
    <w:p w:rsidR="001C55F3" w:rsidRPr="00BE14DD" w:rsidRDefault="001C55F3" w:rsidP="001C55F3">
      <w:pPr>
        <w:pStyle w:val="Paragraphedeliste"/>
        <w:spacing w:line="240" w:lineRule="auto"/>
      </w:pPr>
    </w:p>
    <w:p w:rsidR="001C55F3" w:rsidRPr="00C56C28" w:rsidRDefault="001C55F3" w:rsidP="001C55F3">
      <w:pPr>
        <w:pStyle w:val="Titre3"/>
        <w:rPr>
          <w:rFonts w:asciiTheme="minorHAnsi" w:hAnsiTheme="minorHAnsi"/>
          <w:sz w:val="22"/>
        </w:rPr>
      </w:pPr>
      <w:r w:rsidRPr="00C56C28">
        <w:rPr>
          <w:rFonts w:asciiTheme="minorHAnsi" w:hAnsiTheme="minorHAnsi"/>
          <w:sz w:val="22"/>
        </w:rPr>
        <w:t>4.2.1</w:t>
      </w:r>
      <w:r w:rsidRPr="00C56C28">
        <w:rPr>
          <w:rFonts w:asciiTheme="minorHAnsi" w:hAnsiTheme="minorHAnsi"/>
          <w:sz w:val="22"/>
        </w:rPr>
        <w:tab/>
        <w:t>General information on the national or regional assessment</w:t>
      </w:r>
    </w:p>
    <w:p w:rsidR="001C55F3" w:rsidRPr="00C56C28" w:rsidRDefault="001C55F3" w:rsidP="001C55F3">
      <w:pPr>
        <w:spacing w:line="240" w:lineRule="auto"/>
      </w:pPr>
    </w:p>
    <w:p w:rsidR="001C55F3" w:rsidRPr="00C56C28" w:rsidRDefault="001C55F3" w:rsidP="001C55F3">
      <w:pPr>
        <w:spacing w:line="240" w:lineRule="auto"/>
      </w:pPr>
      <w:r w:rsidRPr="00C56C28">
        <w:t>In Belgium, the environment and nature policy is organised on the regional level (Wallonia, Flanders and Brussels-Capital Region). As a result no national assessment is available but a separate assessment is made for the Flanders region.</w:t>
      </w:r>
    </w:p>
    <w:p w:rsidR="001C55F3" w:rsidRPr="00C56C28" w:rsidRDefault="001C55F3" w:rsidP="001C55F3">
      <w:pPr>
        <w:spacing w:line="240" w:lineRule="auto"/>
      </w:pPr>
      <w:r w:rsidRPr="00C56C28">
        <w:t xml:space="preserve">Reporting on the status of nature and biodiversity in Flanders is legally established and assigned to the Research Institute for Nature and Forest (INBO). The nature reporting consists of regular reports with an alternating elaborated focus on state and trends of nature, policy response and impact and an outlook analysis. The nature report of 2007 analysed the state of nature and the implementation of the Habitat Directive. In 2009, the nature outlook report described future possible changes according to distinct policy strategies on land use planning. The latest report in 2012 provides an evaluation of the effect of the current agri-environmental measures and how the effects of the measures could be optimized. The reports (in Dutch) are available at </w:t>
      </w:r>
      <w:hyperlink r:id="rId124" w:history="1">
        <w:r w:rsidRPr="00C56C28">
          <w:rPr>
            <w:rStyle w:val="Lienhypertexte"/>
          </w:rPr>
          <w:t>http://www.nara.be</w:t>
        </w:r>
      </w:hyperlink>
      <w:r w:rsidRPr="00C56C28">
        <w:t xml:space="preserve">. The results of the nature outlook (in English) can be consulted at </w:t>
      </w:r>
      <w:hyperlink r:id="rId125" w:history="1">
        <w:r w:rsidRPr="00C56C28">
          <w:rPr>
            <w:rStyle w:val="Lienhypertexte"/>
          </w:rPr>
          <w:t>http://www.natureoutlook.be</w:t>
        </w:r>
      </w:hyperlink>
      <w:r w:rsidRPr="00C56C28">
        <w:t>.</w:t>
      </w:r>
    </w:p>
    <w:p w:rsidR="001C55F3" w:rsidRPr="00C56C28" w:rsidRDefault="001C55F3" w:rsidP="001C55F3">
      <w:pPr>
        <w:spacing w:line="240" w:lineRule="auto"/>
      </w:pPr>
      <w:r w:rsidRPr="00C56C28">
        <w:t xml:space="preserve">Parallel to these three types of reports a set of nature indicators, organised according the DPSIR framework, cover a wide range of nature and biodiversity issues. In 2001 the European Union committed itself to halting the loss of biodiversity within its territory by 2010. The Flemish region adopted it as a long-term biodiversity objective in its Flemish Environmental Policy Plan (2003-2010). In 2004, the SEBI 2010 process (‘Streamlining European Biodiversity Indicators’) was established. For that purpose, 16 ‘headline indicators’ and a set of 26 European biodiversity indicators was proposed by the European Environment Agency (EEA, 2007) (see chapter 3). In Flanders a selection of 21 biodiversity indicators, closely linked to the 26 European biodiversity indicators, are used to evaluate the Flemish progress towards the biodiversity target. For each indicator a description of relevant policy targets is given together with status, trends and, when data is available, an international comparison. The whole set of indicators and the selected EU headline indicators are regularly updated and published (in Dutch / partially in English) at </w:t>
      </w:r>
      <w:hyperlink r:id="rId126" w:history="1">
        <w:r w:rsidRPr="00C56C28">
          <w:rPr>
            <w:rStyle w:val="Lienhypertexte"/>
          </w:rPr>
          <w:t>http://www.biodiversityindicators.be</w:t>
        </w:r>
      </w:hyperlink>
      <w:r w:rsidRPr="00C56C28">
        <w:t>.</w:t>
      </w:r>
    </w:p>
    <w:p w:rsidR="001C55F3" w:rsidRPr="00C56C28" w:rsidRDefault="001C55F3" w:rsidP="001C55F3">
      <w:pPr>
        <w:spacing w:line="240" w:lineRule="auto"/>
      </w:pPr>
      <w:r w:rsidRPr="00C56C28">
        <w:t>There is currently no area wide monitoring program directly dedicated to the provision of underlying data and information for the nature reports and biodiversity indicators. The nature reporting gathers data from several already existing mapping and monitoring programs.</w:t>
      </w:r>
    </w:p>
    <w:p w:rsidR="001C55F3" w:rsidRPr="00C56C28" w:rsidRDefault="001C55F3" w:rsidP="001C55F3">
      <w:pPr>
        <w:spacing w:line="240" w:lineRule="auto"/>
      </w:pPr>
      <w:r w:rsidRPr="00C56C28">
        <w:t>The data used are mainly biotic data (status, trends and threats), abiotic data (drivers and pressures) and administrative data (policy response). The next paragraph illustrates some of the most frequently used biotic data sources.</w:t>
      </w:r>
    </w:p>
    <w:p w:rsidR="001C55F3" w:rsidRPr="00C56C28" w:rsidRDefault="001C55F3" w:rsidP="001C55F3">
      <w:pPr>
        <w:pStyle w:val="Titre3"/>
        <w:rPr>
          <w:rFonts w:asciiTheme="minorHAnsi" w:hAnsiTheme="minorHAnsi"/>
          <w:sz w:val="22"/>
        </w:rPr>
      </w:pPr>
      <w:bookmarkStart w:id="35" w:name="_Ref362946884"/>
      <w:r w:rsidRPr="00C56C28">
        <w:rPr>
          <w:rFonts w:asciiTheme="minorHAnsi" w:hAnsiTheme="minorHAnsi"/>
          <w:sz w:val="22"/>
        </w:rPr>
        <w:t>4.2.2 Components of biodiversity monitored or surveyed</w:t>
      </w:r>
      <w:bookmarkEnd w:id="35"/>
    </w:p>
    <w:p w:rsidR="001C55F3" w:rsidRPr="00C56C28" w:rsidRDefault="001C55F3" w:rsidP="00622218">
      <w:pPr>
        <w:pStyle w:val="Paragraphedeliste"/>
        <w:numPr>
          <w:ilvl w:val="0"/>
          <w:numId w:val="107"/>
        </w:numPr>
        <w:spacing w:line="240" w:lineRule="auto"/>
        <w:rPr>
          <w:u w:val="single"/>
        </w:rPr>
      </w:pPr>
      <w:r w:rsidRPr="00C56C28">
        <w:rPr>
          <w:u w:val="single"/>
        </w:rPr>
        <w:t xml:space="preserve">SPECIES </w:t>
      </w:r>
    </w:p>
    <w:p w:rsidR="001C55F3" w:rsidRPr="00C56C28" w:rsidRDefault="001C55F3" w:rsidP="001C55F3">
      <w:pPr>
        <w:spacing w:after="0" w:line="240" w:lineRule="auto"/>
        <w:rPr>
          <w:i/>
        </w:rPr>
      </w:pPr>
      <w:r w:rsidRPr="00C56C28">
        <w:rPr>
          <w:i/>
        </w:rPr>
        <w:t>Common breeding birds</w:t>
      </w:r>
    </w:p>
    <w:p w:rsidR="001C55F3" w:rsidRPr="00C56C28" w:rsidRDefault="001C55F3" w:rsidP="001C55F3">
      <w:pPr>
        <w:spacing w:after="0" w:line="240" w:lineRule="auto"/>
      </w:pPr>
      <w:r w:rsidRPr="00C56C28">
        <w:t>The European common breeding bird index describes the trend for a selection of European common breeding birds based on monitoring in the member states. There are three subcategories: farmland birds (17), woodland birds (28) and other common birds, usually generalist species (22). Every three years 900 locations (1x1km) in forest, heathland and agricultural area are monitored between March and July. The monitoring provides a relative number of breading birds, allowing an estimation of long term trends of populations. The monitoring covers all common breading bird species. The monitoring is a joint project between an NGO (Natuurpunt) with volunteers and a governmental institution (INBO).</w:t>
      </w:r>
    </w:p>
    <w:p w:rsidR="001C55F3" w:rsidRPr="00C56C28" w:rsidRDefault="001C55F3" w:rsidP="001C55F3">
      <w:pPr>
        <w:spacing w:after="0" w:line="240" w:lineRule="auto"/>
      </w:pPr>
    </w:p>
    <w:p w:rsidR="001C55F3" w:rsidRPr="00C56C28" w:rsidRDefault="001C55F3" w:rsidP="001C55F3">
      <w:pPr>
        <w:spacing w:after="0" w:line="240" w:lineRule="auto"/>
        <w:rPr>
          <w:i/>
          <w:lang w:val="nl-NL"/>
        </w:rPr>
      </w:pPr>
      <w:r w:rsidRPr="00C56C28">
        <w:rPr>
          <w:i/>
          <w:lang w:val="nl-NL"/>
        </w:rPr>
        <w:t>Special breeding birds (Bijzondere Broedvogels Vlaanderen, BBV)</w:t>
      </w:r>
    </w:p>
    <w:p w:rsidR="001C55F3" w:rsidRPr="00C56C28" w:rsidRDefault="001C55F3" w:rsidP="001C55F3">
      <w:pPr>
        <w:spacing w:after="0" w:line="240" w:lineRule="auto"/>
      </w:pPr>
      <w:r w:rsidRPr="00C56C28">
        <w:t>The breeding of 60 rare and vulnerable bird species, almost all in Annex I of the Bird Directive, are monitored area-wide in a standardised survey on a yearly basis from March until July. The monitoring is organised and executed by governmental institutions in cooperation with NGO’s. The monitoring provides information on absolute numbers for each territory. The monitoring is partially used for dispersion.</w:t>
      </w:r>
    </w:p>
    <w:p w:rsidR="001C55F3" w:rsidRPr="00C56C28" w:rsidRDefault="001C55F3" w:rsidP="001C55F3">
      <w:pPr>
        <w:spacing w:after="0" w:line="240" w:lineRule="auto"/>
      </w:pPr>
    </w:p>
    <w:p w:rsidR="001C55F3" w:rsidRPr="00C56C28" w:rsidRDefault="001C55F3" w:rsidP="001C55F3">
      <w:pPr>
        <w:spacing w:after="0" w:line="240" w:lineRule="auto"/>
        <w:rPr>
          <w:i/>
        </w:rPr>
      </w:pPr>
      <w:r w:rsidRPr="00C56C28">
        <w:rPr>
          <w:i/>
        </w:rPr>
        <w:t>Overwintering waterfowl</w:t>
      </w:r>
    </w:p>
    <w:p w:rsidR="001C55F3" w:rsidRPr="00C56C28" w:rsidRDefault="001C55F3" w:rsidP="001C55F3">
      <w:pPr>
        <w:spacing w:after="0" w:line="240" w:lineRule="auto"/>
      </w:pPr>
      <w:r w:rsidRPr="00C56C28">
        <w:t>Waterfowl, gulls and waders are monitored on a yearly basis during 6 surveys between October and March. The survey consists of counting the present bird species and numbers in predefined zones. The monitoring is organised by a governmental institution and executed by professional staff. The monitoring results in trends and dispersion of absolute numbers per species.</w:t>
      </w:r>
    </w:p>
    <w:p w:rsidR="001C55F3" w:rsidRPr="00C56C28" w:rsidRDefault="001C55F3" w:rsidP="001C55F3">
      <w:pPr>
        <w:spacing w:after="0" w:line="240" w:lineRule="auto"/>
      </w:pPr>
    </w:p>
    <w:p w:rsidR="001C55F3" w:rsidRPr="00C56C28" w:rsidRDefault="001C55F3" w:rsidP="001C55F3">
      <w:pPr>
        <w:spacing w:after="0" w:line="240" w:lineRule="auto"/>
        <w:rPr>
          <w:i/>
        </w:rPr>
      </w:pPr>
      <w:r w:rsidRPr="00C56C28">
        <w:rPr>
          <w:i/>
        </w:rPr>
        <w:t>Grassland butterflies</w:t>
      </w:r>
    </w:p>
    <w:p w:rsidR="001C55F3" w:rsidRPr="00C56C28" w:rsidRDefault="001C55F3" w:rsidP="001C55F3">
      <w:pPr>
        <w:spacing w:after="0" w:line="240" w:lineRule="auto"/>
      </w:pPr>
      <w:r w:rsidRPr="00C56C28">
        <w:t>The European butterfly index describes the trend of several butterfly populations associated with grasslands in several European countries, based on a standardised monitoring system. In Flanders sufficient data are available for a yearly update of the butterfly index based on five common species: Meadow Brown (</w:t>
      </w:r>
      <w:r w:rsidRPr="00C56C28">
        <w:rPr>
          <w:i/>
        </w:rPr>
        <w:t>Maniola jurtina</w:t>
      </w:r>
      <w:r w:rsidRPr="00C56C28">
        <w:t>), Large Skipper (</w:t>
      </w:r>
      <w:r w:rsidRPr="00C56C28">
        <w:rPr>
          <w:i/>
        </w:rPr>
        <w:t>Ochlodes faunus</w:t>
      </w:r>
      <w:r w:rsidRPr="00C56C28">
        <w:t>), Common Blue (</w:t>
      </w:r>
      <w:r w:rsidRPr="00C56C28">
        <w:rPr>
          <w:i/>
        </w:rPr>
        <w:t>Polyommatus icarus</w:t>
      </w:r>
      <w:r w:rsidRPr="00C56C28">
        <w:t>), Small Copper (</w:t>
      </w:r>
      <w:r w:rsidRPr="00C56C28">
        <w:rPr>
          <w:i/>
        </w:rPr>
        <w:t>Lycaena phlaeas</w:t>
      </w:r>
      <w:r w:rsidRPr="00C56C28">
        <w:t>) and Orange Tip (</w:t>
      </w:r>
      <w:r w:rsidRPr="00C56C28">
        <w:rPr>
          <w:i/>
        </w:rPr>
        <w:t>Anthocharis cardamines</w:t>
      </w:r>
      <w:r w:rsidRPr="00C56C28">
        <w:t>).</w:t>
      </w:r>
    </w:p>
    <w:p w:rsidR="001C55F3" w:rsidRPr="00C56C28" w:rsidRDefault="001C55F3" w:rsidP="001C55F3">
      <w:pPr>
        <w:spacing w:after="0" w:line="240" w:lineRule="auto"/>
      </w:pPr>
    </w:p>
    <w:p w:rsidR="001C55F3" w:rsidRPr="00C56C28" w:rsidRDefault="001C55F3" w:rsidP="001C55F3">
      <w:pPr>
        <w:spacing w:after="0" w:line="240" w:lineRule="auto"/>
        <w:rPr>
          <w:i/>
        </w:rPr>
      </w:pPr>
      <w:r w:rsidRPr="00C56C28">
        <w:rPr>
          <w:i/>
        </w:rPr>
        <w:t>Fish (fresh water)</w:t>
      </w:r>
    </w:p>
    <w:p w:rsidR="001C55F3" w:rsidRPr="00C56C28" w:rsidRDefault="001C55F3" w:rsidP="001C55F3">
      <w:pPr>
        <w:spacing w:after="0" w:line="240" w:lineRule="auto"/>
      </w:pPr>
      <w:r w:rsidRPr="00C56C28">
        <w:t>The monitoring network for freshwater fish studies the spread of fish species (qualitative) and estimates densities. The network contains 405 locations carefully selected to cover all types of water bodies (rivers, lakes, canals …). The measurements contain the fish species, number of fish per species and individual length and weight. The sample frequency per location varies between 2 to 3 years for rivers and 7 years for lakes.</w:t>
      </w:r>
    </w:p>
    <w:p w:rsidR="001C55F3" w:rsidRPr="00C56C28" w:rsidRDefault="001C55F3" w:rsidP="001C55F3">
      <w:pPr>
        <w:spacing w:after="0" w:line="240" w:lineRule="auto"/>
      </w:pPr>
    </w:p>
    <w:p w:rsidR="001C55F3" w:rsidRPr="00C56C28" w:rsidRDefault="001C55F3" w:rsidP="001C55F3">
      <w:pPr>
        <w:spacing w:after="0" w:line="240" w:lineRule="auto"/>
        <w:rPr>
          <w:i/>
        </w:rPr>
      </w:pPr>
      <w:r w:rsidRPr="00C56C28">
        <w:rPr>
          <w:i/>
        </w:rPr>
        <w:t>Red Lists species</w:t>
      </w:r>
    </w:p>
    <w:p w:rsidR="001C55F3" w:rsidRPr="00C56C28" w:rsidRDefault="001C55F3" w:rsidP="001C55F3">
      <w:pPr>
        <w:spacing w:after="0" w:line="240" w:lineRule="auto"/>
      </w:pPr>
      <w:r w:rsidRPr="00C56C28">
        <w:t>Red lists are an important tool to assess the status of species. Validated Red Lists are available for 9 species groups: amphibians, breeding birds, butterflies, vascular plants, dragonflies, ground beetles, reptiles, grasshoppers and fish. In total the Red List status is known for about 2000 species. Although Red Lists are not regularly updated, for many species this is the only source of information on the actual status.</w:t>
      </w:r>
    </w:p>
    <w:p w:rsidR="001C55F3" w:rsidRPr="00C56C28" w:rsidRDefault="001C55F3" w:rsidP="001C55F3">
      <w:pPr>
        <w:spacing w:after="0" w:line="240" w:lineRule="auto"/>
      </w:pPr>
    </w:p>
    <w:p w:rsidR="001C55F3" w:rsidRPr="00C56C28" w:rsidRDefault="001C55F3" w:rsidP="001C55F3">
      <w:pPr>
        <w:spacing w:line="240" w:lineRule="auto"/>
      </w:pPr>
      <w:r w:rsidRPr="00C56C28">
        <w:t>Table 4.4 provides the overview of the species reported on for the Habitats directive and those included in the monitoring prgrams in Flanders.</w:t>
      </w:r>
    </w:p>
    <w:p w:rsidR="001C55F3" w:rsidRDefault="001C55F3">
      <w:pPr>
        <w:rPr>
          <w:i/>
          <w:szCs w:val="20"/>
        </w:rPr>
      </w:pPr>
      <w:r>
        <w:rPr>
          <w:i/>
          <w:szCs w:val="20"/>
        </w:rPr>
        <w:br w:type="page"/>
      </w:r>
    </w:p>
    <w:p w:rsidR="001C55F3" w:rsidRPr="00BE14DD" w:rsidRDefault="001C55F3" w:rsidP="001C55F3">
      <w:pPr>
        <w:rPr>
          <w:i/>
          <w:szCs w:val="20"/>
        </w:rPr>
      </w:pPr>
      <w:r w:rsidRPr="00BE14DD">
        <w:rPr>
          <w:i/>
          <w:szCs w:val="20"/>
        </w:rPr>
        <w:lastRenderedPageBreak/>
        <w:t>Table 4.4. Overview of the (approximate) number of species per species group present in Flanders, the number of species to report for the Habitat Directive and species monitored as part of an area wide monitoring program (situation in 2013). There is currently no classification per ecosystem.</w:t>
      </w:r>
    </w:p>
    <w:tbl>
      <w:tblPr>
        <w:tblW w:w="866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00"/>
        <w:gridCol w:w="2084"/>
        <w:gridCol w:w="1380"/>
        <w:gridCol w:w="1462"/>
        <w:gridCol w:w="1836"/>
      </w:tblGrid>
      <w:tr w:rsidR="001C55F3" w:rsidRPr="00BE14DD" w:rsidTr="001C55F3">
        <w:trPr>
          <w:cantSplit/>
          <w:trHeight w:val="1687"/>
        </w:trPr>
        <w:tc>
          <w:tcPr>
            <w:tcW w:w="3984" w:type="dxa"/>
            <w:gridSpan w:val="2"/>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Species group</w:t>
            </w:r>
          </w:p>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 </w:t>
            </w:r>
          </w:p>
        </w:tc>
        <w:tc>
          <w:tcPr>
            <w:tcW w:w="1380" w:type="dxa"/>
            <w:tcBorders>
              <w:top w:val="single" w:sz="4" w:space="0" w:color="auto"/>
              <w:left w:val="single" w:sz="4" w:space="0" w:color="auto"/>
              <w:bottom w:val="single" w:sz="4" w:space="0" w:color="auto"/>
              <w:right w:val="single" w:sz="4" w:space="0" w:color="auto"/>
            </w:tcBorders>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Number of species present in Flanders</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Number of species to be reported on by Habitat and Bird directive</w:t>
            </w:r>
          </w:p>
        </w:tc>
        <w:tc>
          <w:tcPr>
            <w:tcW w:w="1836" w:type="dxa"/>
            <w:tcBorders>
              <w:top w:val="single" w:sz="4" w:space="0" w:color="auto"/>
              <w:left w:val="single" w:sz="4" w:space="0" w:color="auto"/>
              <w:bottom w:val="single" w:sz="4" w:space="0" w:color="auto"/>
              <w:right w:val="single" w:sz="4" w:space="0" w:color="auto"/>
            </w:tcBorders>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Number of species currently monitored for status and trend</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Vertebrates</w:t>
            </w: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mammals</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90</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eastAsia="Times New Roman" w:cs="Times New Roman"/>
                <w:color w:val="000000"/>
                <w:szCs w:val="20"/>
                <w:lang w:eastAsia="en-GB"/>
              </w:rPr>
              <w:t>21</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10</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amphibians</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16</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cs="Times New Roman"/>
                <w:szCs w:val="20"/>
              </w:rPr>
              <w:t>10</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0</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birds (breeding)</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184</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cs="Times New Roman"/>
                <w:szCs w:val="20"/>
              </w:rPr>
              <w:t>41</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 xml:space="preserve">29 </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birds (wintering)</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215</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cs="Times New Roman"/>
                <w:szCs w:val="20"/>
              </w:rPr>
              <w:t>29</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 xml:space="preserve">14 </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Reptiles</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5</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cs="Times New Roman"/>
                <w:szCs w:val="20"/>
              </w:rPr>
              <w:t>1</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0</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fish</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75</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cs="Times New Roman"/>
                <w:szCs w:val="20"/>
              </w:rPr>
              <w:t>9</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 xml:space="preserve">9 </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Invertebrates</w:t>
            </w: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Butterflies</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48</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cs="Times New Roman"/>
                <w:szCs w:val="20"/>
              </w:rPr>
              <w:t>2</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 xml:space="preserve">0 </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Dragonflies</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65</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cs="Times New Roman"/>
                <w:szCs w:val="20"/>
              </w:rPr>
              <w:t>2</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0</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Plants</w:t>
            </w: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Vascular plants</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1400</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cs="Times New Roman"/>
                <w:szCs w:val="20"/>
              </w:rPr>
              <w:t>3</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3</w:t>
            </w:r>
          </w:p>
        </w:tc>
      </w:tr>
      <w:tr w:rsidR="001C55F3" w:rsidRPr="00BE14DD" w:rsidTr="001C55F3">
        <w:trPr>
          <w:trHeight w:val="300"/>
        </w:trPr>
        <w:tc>
          <w:tcPr>
            <w:tcW w:w="1900"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p>
        </w:tc>
        <w:tc>
          <w:tcPr>
            <w:tcW w:w="2084"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line="240" w:lineRule="auto"/>
              <w:rPr>
                <w:rFonts w:eastAsia="Times New Roman" w:cs="Times New Roman"/>
                <w:color w:val="000000"/>
                <w:szCs w:val="20"/>
                <w:lang w:eastAsia="en-GB"/>
              </w:rPr>
            </w:pPr>
            <w:r w:rsidRPr="00BE14DD">
              <w:rPr>
                <w:rFonts w:eastAsia="Times New Roman" w:cs="Times New Roman"/>
                <w:color w:val="000000"/>
                <w:szCs w:val="20"/>
                <w:lang w:eastAsia="en-GB"/>
              </w:rPr>
              <w:t>Mosses</w:t>
            </w:r>
          </w:p>
        </w:tc>
        <w:tc>
          <w:tcPr>
            <w:tcW w:w="1380" w:type="dxa"/>
            <w:tcBorders>
              <w:top w:val="single" w:sz="4" w:space="0" w:color="auto"/>
              <w:left w:val="single" w:sz="4" w:space="0" w:color="auto"/>
              <w:bottom w:val="single" w:sz="4" w:space="0" w:color="auto"/>
              <w:right w:val="single" w:sz="4" w:space="0" w:color="auto"/>
            </w:tcBorders>
            <w:vAlign w:val="center"/>
          </w:tcPr>
          <w:p w:rsidR="001C55F3" w:rsidRPr="00BE14DD" w:rsidRDefault="001C55F3" w:rsidP="001C55F3">
            <w:pPr>
              <w:spacing w:after="0" w:line="240" w:lineRule="auto"/>
              <w:jc w:val="center"/>
              <w:rPr>
                <w:rFonts w:eastAsia="Times New Roman" w:cs="Times New Roman"/>
                <w:color w:val="000000"/>
                <w:szCs w:val="20"/>
                <w:lang w:eastAsia="en-GB"/>
              </w:rPr>
            </w:pPr>
            <w:r w:rsidRPr="00BE14DD">
              <w:rPr>
                <w:rFonts w:eastAsia="Times New Roman" w:cs="Times New Roman"/>
                <w:color w:val="000000"/>
                <w:szCs w:val="20"/>
                <w:lang w:eastAsia="en-GB"/>
              </w:rPr>
              <w:t>500</w:t>
            </w:r>
          </w:p>
        </w:tc>
        <w:tc>
          <w:tcPr>
            <w:tcW w:w="1462" w:type="dxa"/>
            <w:tcBorders>
              <w:top w:val="single" w:sz="4" w:space="0" w:color="auto"/>
              <w:left w:val="single" w:sz="4" w:space="0" w:color="auto"/>
              <w:bottom w:val="single" w:sz="4" w:space="0" w:color="auto"/>
              <w:right w:val="single" w:sz="4" w:space="0" w:color="auto"/>
            </w:tcBorders>
          </w:tcPr>
          <w:p w:rsidR="001C55F3" w:rsidRPr="00BE14DD" w:rsidRDefault="001C55F3" w:rsidP="001C55F3">
            <w:pPr>
              <w:spacing w:after="0"/>
              <w:jc w:val="center"/>
              <w:rPr>
                <w:rFonts w:cs="Times New Roman"/>
                <w:szCs w:val="20"/>
              </w:rPr>
            </w:pPr>
            <w:r w:rsidRPr="00BE14DD">
              <w:rPr>
                <w:rFonts w:cs="Times New Roman"/>
                <w:szCs w:val="20"/>
              </w:rPr>
              <w:t>3</w:t>
            </w:r>
          </w:p>
        </w:tc>
        <w:tc>
          <w:tcPr>
            <w:tcW w:w="1836" w:type="dxa"/>
            <w:tcBorders>
              <w:top w:val="single" w:sz="4" w:space="0" w:color="auto"/>
              <w:left w:val="single" w:sz="4" w:space="0" w:color="auto"/>
              <w:bottom w:val="single" w:sz="4" w:space="0" w:color="auto"/>
              <w:right w:val="single" w:sz="4" w:space="0" w:color="auto"/>
            </w:tcBorders>
            <w:noWrap/>
            <w:vAlign w:val="center"/>
            <w:hideMark/>
          </w:tcPr>
          <w:p w:rsidR="001C55F3" w:rsidRPr="00BE14DD" w:rsidRDefault="001C55F3" w:rsidP="001C55F3">
            <w:pPr>
              <w:spacing w:after="0"/>
              <w:jc w:val="center"/>
              <w:rPr>
                <w:rFonts w:cs="Times New Roman"/>
                <w:szCs w:val="20"/>
              </w:rPr>
            </w:pPr>
            <w:r w:rsidRPr="00BE14DD">
              <w:rPr>
                <w:rFonts w:cs="Times New Roman"/>
                <w:szCs w:val="20"/>
              </w:rPr>
              <w:t xml:space="preserve">0 </w:t>
            </w:r>
          </w:p>
        </w:tc>
      </w:tr>
    </w:tbl>
    <w:p w:rsidR="001C55F3" w:rsidRPr="00BE14DD" w:rsidRDefault="001C55F3" w:rsidP="001C55F3">
      <w:pPr>
        <w:rPr>
          <w:szCs w:val="20"/>
        </w:rPr>
      </w:pPr>
    </w:p>
    <w:p w:rsidR="001C55F3" w:rsidRPr="00C56C28" w:rsidRDefault="001C55F3" w:rsidP="001C55F3">
      <w:pPr>
        <w:spacing w:line="240" w:lineRule="auto"/>
        <w:rPr>
          <w:u w:val="single"/>
          <w:lang w:val="fr-FR"/>
        </w:rPr>
      </w:pPr>
      <w:r w:rsidRPr="00C56C28">
        <w:rPr>
          <w:u w:val="single"/>
          <w:lang w:val="fr-FR"/>
        </w:rPr>
        <w:t xml:space="preserve">II HABITAT TYPES </w:t>
      </w:r>
    </w:p>
    <w:p w:rsidR="001C55F3" w:rsidRPr="00C56C28" w:rsidRDefault="001C55F3" w:rsidP="001C55F3">
      <w:pPr>
        <w:spacing w:line="240" w:lineRule="auto"/>
        <w:rPr>
          <w:lang w:val="fr-FR"/>
        </w:rPr>
      </w:pPr>
      <w:r w:rsidRPr="00C56C28">
        <w:rPr>
          <w:lang w:val="fr-FR"/>
        </w:rPr>
        <w:t>Biological valuation map (BWK)</w:t>
      </w:r>
    </w:p>
    <w:p w:rsidR="001C55F3" w:rsidRPr="00C56C28" w:rsidRDefault="001C55F3" w:rsidP="001C55F3">
      <w:pPr>
        <w:spacing w:line="240" w:lineRule="auto"/>
      </w:pPr>
      <w:r w:rsidRPr="00C56C28">
        <w:t>The main source of information on the presence of habitats is the Biological valuation map (BVM). The Biological Valuation Map (BVM) is a uniform field-driven survey of the land cover and vegetation in the Flemish Region. The map is drawn at a detailed scale of 1/10.000. The land cover classes and vegetation types are defined by an extensive list of legend units.</w:t>
      </w:r>
    </w:p>
    <w:p w:rsidR="001C55F3" w:rsidRPr="00C56C28" w:rsidRDefault="001C55F3" w:rsidP="001C55F3">
      <w:pPr>
        <w:spacing w:line="240" w:lineRule="auto"/>
      </w:pPr>
      <w:r w:rsidRPr="00C56C28">
        <w:t>Some of the legend units only reflect information about the land use (arable land, urban areas, etc), however most of them describe vegetation types (dry heath, wet oligotrophic grassland, etc) often at the level of alliances, but also at the level of vegetation associations. A specific set of codes describes smaller landscape elements (rows of trees, ponds, sunken roads, etc). Each area is normally only visited once in the most appropriate time of the year (flowering season of the dominant or typical species). The data is digitized and aerial photographs, maps and other GIS layers are used to collect additional information.</w:t>
      </w:r>
    </w:p>
    <w:p w:rsidR="001C55F3" w:rsidRPr="00C56C28" w:rsidRDefault="001C55F3" w:rsidP="001C55F3">
      <w:pPr>
        <w:spacing w:line="240" w:lineRule="auto"/>
      </w:pPr>
      <w:r w:rsidRPr="00C56C28">
        <w:t>The biological value of each legend unit is determined by a number of ecological criteria: rarity of the biotope, presence or absence of certain species, biodiversity of the biotope, vulnerability and replaceability of the biotope.</w:t>
      </w:r>
    </w:p>
    <w:p w:rsidR="001C55F3" w:rsidRPr="00C56C28" w:rsidRDefault="001C55F3" w:rsidP="001C55F3">
      <w:pPr>
        <w:spacing w:line="240" w:lineRule="auto"/>
      </w:pPr>
      <w:r w:rsidRPr="00C56C28">
        <w:t>The Biological Valuation Map started in 1978 after explicit demand from the government and the first version of the map was finished in 1996. It’s a tool for a variety of applications concerning nature conservation and environmental issues.</w:t>
      </w:r>
    </w:p>
    <w:p w:rsidR="001C55F3" w:rsidRPr="00C56C28" w:rsidRDefault="001C55F3" w:rsidP="001C55F3">
      <w:pPr>
        <w:spacing w:line="240" w:lineRule="auto"/>
      </w:pPr>
      <w:r w:rsidRPr="00C56C28">
        <w:t xml:space="preserve">The BVM is embedded in legal texts and laws concerning nature conservation and environmental protection: legislation for reduction of agricultural nitrogen and sulphur emissions, the procedures for designating nature reserves, etc. For the Habitat Directive, the BVM has proven to be very useful </w:t>
      </w:r>
      <w:r w:rsidRPr="00C56C28">
        <w:lastRenderedPageBreak/>
        <w:t>to know the location and the surface area of most habitat types (Natura 2000 habitat map, conservation status of Natura 2000 habitats).</w:t>
      </w:r>
    </w:p>
    <w:p w:rsidR="001C55F3" w:rsidRPr="00C56C28" w:rsidRDefault="001C55F3" w:rsidP="001C55F3">
      <w:pPr>
        <w:spacing w:line="240" w:lineRule="auto"/>
      </w:pPr>
      <w:r w:rsidRPr="00C56C28">
        <w:t>Forest inventory</w:t>
      </w:r>
    </w:p>
    <w:p w:rsidR="001C55F3" w:rsidRPr="00C56C28" w:rsidRDefault="001C55F3" w:rsidP="001C55F3">
      <w:pPr>
        <w:spacing w:line="240" w:lineRule="auto"/>
      </w:pPr>
      <w:r w:rsidRPr="00C56C28">
        <w:t>The forest inventory consists of a systematic sampling of the forests in Flanders, as required by the regional legislation on forests (bosdecreet). The aim of the forest inventory is to supply essential information for the forest policy concerning forest protection, reforestation and forest management. The inventory contains both quantitative and qualitative aspects of the forests.</w:t>
      </w:r>
    </w:p>
    <w:p w:rsidR="001C55F3" w:rsidRPr="00C56C28" w:rsidRDefault="001C55F3" w:rsidP="001C55F3">
      <w:pPr>
        <w:spacing w:line="240" w:lineRule="auto"/>
      </w:pPr>
      <w:r w:rsidRPr="00C56C28">
        <w:t>The inventory started in 1997. The inventory is based on a systematic sample of 26730 locations on a grid of 1km by 0.5 km. Since 2009, each year, the presence or absence of forest is determined for 10% of these locations by visual interpretation of aerial photographs. All forest locations (in total about 3000) are visited in the field for dendrometric measurements and vegetation mapping.</w:t>
      </w:r>
    </w:p>
    <w:p w:rsidR="001C55F3" w:rsidRPr="00C56C28" w:rsidRDefault="001C55F3" w:rsidP="001C55F3">
      <w:pPr>
        <w:spacing w:line="240" w:lineRule="auto"/>
      </w:pPr>
      <w:r w:rsidRPr="00C56C28">
        <w:t>Forest condition (ICP level I)</w:t>
      </w:r>
    </w:p>
    <w:p w:rsidR="001C55F3" w:rsidRPr="00C56C28" w:rsidRDefault="001C55F3" w:rsidP="001C55F3">
      <w:pPr>
        <w:spacing w:after="0" w:line="240" w:lineRule="auto"/>
      </w:pPr>
      <w:r w:rsidRPr="00C56C28">
        <w:t xml:space="preserve">Forest condition monitoring focuses mainly on the dynamics of forest ecosystems and their relationship to air pollution and other environmental impact. The monitoring concentrates on changes in vitality, tree growth, soil, vegetation,… and studies the link between these changes and the deposition of atmospheric pollutants. The survey consists of a visual assessment of the crown condition and soil analysis at 9 European ICP forests level I plots (16x16km), and 72 additional Flemish plots on a 4x4km grid. </w:t>
      </w:r>
    </w:p>
    <w:p w:rsidR="001C55F3" w:rsidRPr="00C56C28" w:rsidRDefault="001C55F3" w:rsidP="001C55F3">
      <w:pPr>
        <w:spacing w:line="240" w:lineRule="auto"/>
      </w:pPr>
    </w:p>
    <w:p w:rsidR="001C55F3" w:rsidRPr="00C56C28" w:rsidRDefault="001C55F3" w:rsidP="001C55F3">
      <w:pPr>
        <w:pStyle w:val="Titre3"/>
        <w:rPr>
          <w:rFonts w:asciiTheme="minorHAnsi" w:hAnsiTheme="minorHAnsi"/>
          <w:sz w:val="22"/>
        </w:rPr>
      </w:pPr>
      <w:r w:rsidRPr="00C56C28">
        <w:rPr>
          <w:rFonts w:asciiTheme="minorHAnsi" w:hAnsiTheme="minorHAnsi"/>
          <w:sz w:val="22"/>
        </w:rPr>
        <w:t>4.2.3. Monitoring for the EU directives and regional legislation in Flanders</w:t>
      </w:r>
    </w:p>
    <w:p w:rsidR="001C55F3" w:rsidRPr="00C56C28" w:rsidRDefault="001C55F3" w:rsidP="001C55F3">
      <w:pPr>
        <w:spacing w:after="0" w:line="240" w:lineRule="auto"/>
        <w:rPr>
          <w:u w:val="single"/>
        </w:rPr>
      </w:pPr>
      <w:r w:rsidRPr="00C56C28">
        <w:rPr>
          <w:u w:val="single"/>
        </w:rPr>
        <w:t xml:space="preserve">Monitoring requirements for species of  the Habitat Directive </w:t>
      </w:r>
      <w:r w:rsidRPr="00C56C28">
        <w:t>(Adriaens, et al., 2011)</w:t>
      </w:r>
    </w:p>
    <w:p w:rsidR="001C55F3" w:rsidRPr="00C56C28" w:rsidRDefault="001C55F3" w:rsidP="001C55F3">
      <w:pPr>
        <w:spacing w:line="240" w:lineRule="auto"/>
      </w:pPr>
      <w:r w:rsidRPr="00C56C28">
        <w:t>Currently a monitoring program is being developed to comply with the monitoring requirements of the Habitat Directive. A study on the priorities for the monitoring of the Natura 2000 species indicates that 104 species will have to be monitored for the Habitat Directive. 31 extra species, not listed in the lists of the Habitat or Bird directive, are added because the populations in Flanders have a high importance in a European context. The current monitoring of species is limited to a few species and species groups, i.e. fish, mammals and birds. For most species groups a new monitoring program has to be developed. The monitoring protocol and the coordination of the monitoring will be executed by governmental institutions. However, for most species groups, the actual field work will be done in collaboration with volunteers and NGO’s. The results will be used for the next reporting cycle in 2019.</w:t>
      </w:r>
    </w:p>
    <w:p w:rsidR="001C55F3" w:rsidRPr="00C56C28" w:rsidRDefault="001C55F3" w:rsidP="001C55F3">
      <w:pPr>
        <w:spacing w:after="0" w:line="240" w:lineRule="auto"/>
      </w:pPr>
      <w:r w:rsidRPr="00C56C28">
        <w:rPr>
          <w:u w:val="single"/>
        </w:rPr>
        <w:t xml:space="preserve">Mapping and monitoring requirements for the habitats of the Habitat Directive </w:t>
      </w:r>
      <w:r w:rsidRPr="00C56C28">
        <w:t>(Westra, et al., 2011)</w:t>
      </w:r>
    </w:p>
    <w:p w:rsidR="001C55F3" w:rsidRPr="00C56C28" w:rsidRDefault="001C55F3" w:rsidP="001C55F3">
      <w:pPr>
        <w:spacing w:line="240" w:lineRule="auto"/>
      </w:pPr>
      <w:r w:rsidRPr="00C56C28">
        <w:t>In Flanders 46 Annex I Habitat types occur, including 9 priority habitats. The total area of these habitat types is estimated between 65.000 and 85.000 ha (4.8 and 6.3% of the region area). The regional policy has added some extra refinement to the monitoring. Some of annex I Habitats have a very wide ecological amplitude. In order to gain more operational relevant information, 15 Annex I habitat types are subdivided into a total of 45 subtypes. The joint reporting of these habitat types will conform to the reporting for the Habitat Directive.</w:t>
      </w:r>
    </w:p>
    <w:p w:rsidR="001C55F3" w:rsidRPr="00C56C28" w:rsidRDefault="001C55F3" w:rsidP="001C55F3">
      <w:pPr>
        <w:spacing w:line="240" w:lineRule="auto"/>
      </w:pPr>
      <w:r w:rsidRPr="00C56C28">
        <w:t>The regional nature policy defines 14 ‘biotopes of regional importance’ that do not overlap with the annex I habitat types. These biotopes of regional importance have distinct levels of protection. The mapping and reporting requirements for these habitats are less demanding than for the Habitat Directive.</w:t>
      </w:r>
    </w:p>
    <w:p w:rsidR="001C55F3" w:rsidRPr="00C56C28" w:rsidRDefault="001C55F3" w:rsidP="001C55F3">
      <w:pPr>
        <w:spacing w:line="240" w:lineRule="auto"/>
      </w:pPr>
      <w:r w:rsidRPr="00C56C28">
        <w:t xml:space="preserve">At the moment the habitats in Flanders are spatially very precisely mapped, but only a few (mainly forest types) are monitored for the evolution of their state in time. At present the mapping process of the ‘biological valuation map’ is being revised. In contrast with the current area wide mapping, the </w:t>
      </w:r>
      <w:r w:rsidRPr="00C56C28">
        <w:lastRenderedPageBreak/>
        <w:t>future monitoring will focus on the area of specific habitats and in protected areas only with more regular updates in time. Additionally a measurement network is being set up to fulfil the demands for reporting on the quality of the habitats. The monitoring program will be execute</w:t>
      </w:r>
      <w:r>
        <w:t>d by governmental institutions.</w:t>
      </w:r>
    </w:p>
    <w:p w:rsidR="001C55F3" w:rsidRPr="00C56C28" w:rsidRDefault="001C55F3" w:rsidP="001C55F3">
      <w:pPr>
        <w:pStyle w:val="Titre3"/>
        <w:rPr>
          <w:rFonts w:asciiTheme="minorHAnsi" w:hAnsiTheme="minorHAnsi"/>
          <w:sz w:val="22"/>
        </w:rPr>
      </w:pPr>
      <w:r>
        <w:rPr>
          <w:rFonts w:asciiTheme="minorHAnsi" w:hAnsiTheme="minorHAnsi"/>
          <w:sz w:val="22"/>
        </w:rPr>
        <w:t>4.2. 4 Remarks and conclusions</w:t>
      </w:r>
    </w:p>
    <w:p w:rsidR="001C55F3" w:rsidRPr="00C56C28" w:rsidRDefault="001C55F3" w:rsidP="001C55F3">
      <w:pPr>
        <w:spacing w:line="240" w:lineRule="auto"/>
      </w:pPr>
      <w:r w:rsidRPr="00C56C28">
        <w:t>Until recently, there was no general monitoring program to assess the status and trends of habitats and species in Flanders. The EU reporting obligations are an important trigger for the new monitoring programs recently started (WFD) and currently being developed (HBD). The analysis of the monitoring demand for the Habitats Directive reporting has included the monitoring demands for the regional legislation of both species and habitats. For the Habitats Directive, up until now, the reporting is mainly based on the static Biological Valution map for habitats and ad hoc data bases on species. Only a limited number of species are monitored in a structured way. A monitoring program is being developed to monitor the habitats and species in a statistically sound way.</w:t>
      </w:r>
    </w:p>
    <w:p w:rsidR="001C55F3" w:rsidRPr="00C56C28" w:rsidRDefault="001C55F3" w:rsidP="001C55F3">
      <w:pPr>
        <w:spacing w:line="240" w:lineRule="auto"/>
        <w:contextualSpacing/>
      </w:pPr>
      <w:r w:rsidRPr="00C56C28">
        <w:t>The regional nature report focusses on the main drivers and pressures for loss of biodiversity and the policy response. Therefore, the nature report is organised according the DPSIR framework. This DPSIR framework is only used as a general concept, almost none of the indicators in the DPSIR chain can be directly linked in a dose-response relationship. The chapters on the status and trends of species remain rather limited and are mainly based on information from the Red Lists.</w:t>
      </w:r>
    </w:p>
    <w:p w:rsidR="001C55F3" w:rsidRPr="00C56C28" w:rsidRDefault="001C55F3" w:rsidP="001C55F3">
      <w:pPr>
        <w:spacing w:line="240" w:lineRule="auto"/>
        <w:contextualSpacing/>
      </w:pPr>
    </w:p>
    <w:p w:rsidR="001C55F3" w:rsidRPr="00C56C28" w:rsidRDefault="001C55F3" w:rsidP="001C55F3">
      <w:pPr>
        <w:spacing w:line="240" w:lineRule="auto"/>
      </w:pPr>
      <w:r w:rsidRPr="00C56C28">
        <w:t>The data sources for biotic information are largely the same. As the EU reporting for the HBD is less frequent and does not cover all semi-natural habitats, some extra effort is invested to gather specific local data to include results from recent restoration projects and expert knowledge of specific species groups.</w:t>
      </w:r>
    </w:p>
    <w:p w:rsidR="001C55F3" w:rsidRPr="00C56C28" w:rsidRDefault="001C55F3" w:rsidP="001C55F3">
      <w:pPr>
        <w:spacing w:line="240" w:lineRule="auto"/>
      </w:pPr>
      <w:r w:rsidRPr="00C56C28">
        <w:t>The results of the EU reporting are included in the nature report. One of the main bottlenecks is that not all semi-natural habitats are included in the EU HBD. This means that some of the semi-natural habitats that are protected, restored and managed in nature reserves in Flanders, are not reported on in the HBD.</w:t>
      </w:r>
    </w:p>
    <w:p w:rsidR="001C55F3" w:rsidRPr="00C56C28" w:rsidRDefault="001C55F3" w:rsidP="001C55F3">
      <w:pPr>
        <w:spacing w:line="240" w:lineRule="auto"/>
      </w:pPr>
      <w:r w:rsidRPr="00C56C28">
        <w:t>To overcome this gap, the Flemish government included some extra habitats: ‘regional important biotopes’ (dutch acronym: rbb). In addition to the EU obligations, the regional reporting includes these rbb, and reports regularly on the status of these biotopes with the same methodology as the EU habitats.</w:t>
      </w:r>
    </w:p>
    <w:p w:rsidR="001C55F3" w:rsidRPr="00C56C28" w:rsidRDefault="001C55F3" w:rsidP="001C55F3">
      <w:pPr>
        <w:spacing w:line="240" w:lineRule="auto"/>
      </w:pPr>
      <w:r w:rsidRPr="00C56C28">
        <w:t>The species lists in the EU reporting are not fully representative for the biodiversity in the Flemish region. There is a bias for some species groups.. For species a separate regional species directive has been put into</w:t>
      </w:r>
      <w:r>
        <w:t xml:space="preserve"> to place.</w:t>
      </w:r>
    </w:p>
    <w:p w:rsidR="001C55F3" w:rsidRPr="00BE14DD" w:rsidRDefault="001C55F3" w:rsidP="001C55F3">
      <w:pPr>
        <w:pStyle w:val="Titre2"/>
        <w:rPr>
          <w:rFonts w:asciiTheme="minorHAnsi" w:hAnsiTheme="minorHAnsi"/>
          <w:lang w:val="nl-NL"/>
        </w:rPr>
      </w:pPr>
      <w:r w:rsidRPr="00BE14DD">
        <w:rPr>
          <w:rFonts w:asciiTheme="minorHAnsi" w:hAnsiTheme="minorHAnsi"/>
          <w:lang w:val="nl-NL"/>
        </w:rPr>
        <w:t xml:space="preserve">References </w:t>
      </w:r>
    </w:p>
    <w:p w:rsidR="001C55F3" w:rsidRPr="00C56C28" w:rsidRDefault="001C55F3" w:rsidP="001C55F3">
      <w:pPr>
        <w:spacing w:line="240" w:lineRule="auto"/>
        <w:ind w:left="720" w:hanging="720"/>
        <w:rPr>
          <w:lang w:val="nl-NL"/>
        </w:rPr>
      </w:pPr>
      <w:r w:rsidRPr="00C56C28">
        <w:rPr>
          <w:lang w:val="nl-NL"/>
        </w:rPr>
        <w:t>Adriaens, D., Westra T., Onkelinx, T., Louette, G., Bauwens, D., Waterinckx, M., Quataert, P. (2011). Monitoring Natura 2000-soorten, Fase I: prioritering van de informatiebehoefte. Rapporten van het Instituur voor Natuur- en Bosonderzoek 2001 (INBO.R.2011.27). Instituut voor Natuur- en Bosonderzoek.</w:t>
      </w:r>
    </w:p>
    <w:p w:rsidR="001C55F3" w:rsidRPr="00C56C28" w:rsidRDefault="001C55F3" w:rsidP="001C55F3">
      <w:pPr>
        <w:spacing w:line="240" w:lineRule="auto"/>
        <w:ind w:left="720" w:hanging="720"/>
        <w:rPr>
          <w:lang w:val="nl-NL"/>
        </w:rPr>
      </w:pPr>
      <w:r w:rsidRPr="00C56C28">
        <w:rPr>
          <w:lang w:val="nl-NL"/>
        </w:rPr>
        <w:t> European Environment Agency (2007). Streamlining European Biodiversity Indicators (SEBI): EEA technical report. European Environment Agency, Copenhagen.</w:t>
      </w:r>
    </w:p>
    <w:p w:rsidR="001C55F3" w:rsidRPr="00C56C28" w:rsidRDefault="001C55F3" w:rsidP="001C55F3">
      <w:pPr>
        <w:spacing w:line="240" w:lineRule="auto"/>
        <w:ind w:left="720" w:hanging="720"/>
        <w:rPr>
          <w:lang w:val="nl-NL"/>
        </w:rPr>
      </w:pPr>
      <w:r w:rsidRPr="00C56C28">
        <w:rPr>
          <w:lang w:val="nl-NL"/>
        </w:rPr>
        <w:t xml:space="preserve"> Van Daele, T., Van Reeth, W., Dumortier, M., Peymen, J. (2010). </w:t>
      </w:r>
      <w:r w:rsidRPr="00C56C28">
        <w:t xml:space="preserve">Biodiversity Indicators 2010. The State of Nature in Flanders (Belgium). Research Institute for Nature and Forest, Brussels. </w:t>
      </w:r>
      <w:r w:rsidRPr="00C56C28">
        <w:rPr>
          <w:lang w:val="nl-NL"/>
        </w:rPr>
        <w:t>(INBO.M.2010.3).</w:t>
      </w:r>
    </w:p>
    <w:p w:rsidR="001C55F3" w:rsidRPr="00C56C28" w:rsidRDefault="001C55F3" w:rsidP="001C55F3">
      <w:pPr>
        <w:spacing w:line="240" w:lineRule="auto"/>
        <w:ind w:left="720" w:hanging="720"/>
        <w:rPr>
          <w:lang w:val="nl-NL"/>
        </w:rPr>
      </w:pPr>
      <w:r w:rsidRPr="00C56C28">
        <w:rPr>
          <w:lang w:val="nl-NL"/>
        </w:rPr>
        <w:lastRenderedPageBreak/>
        <w:t> Vlaamse Regering (2003) Milieubeleidsplan 2003-2010 (Flemish environmental Policy Plan 2003-2010). Vastgesteld door de Vlaamse Regering op 19 spetember 2003. Ministrerie van de Vlaamse Gemeenschap.</w:t>
      </w:r>
    </w:p>
    <w:p w:rsidR="001C55F3" w:rsidRPr="00C56C28" w:rsidRDefault="001C55F3" w:rsidP="001C55F3">
      <w:pPr>
        <w:spacing w:line="240" w:lineRule="auto"/>
        <w:ind w:left="720" w:hanging="720"/>
        <w:rPr>
          <w:lang w:val="nl-NL"/>
        </w:rPr>
      </w:pPr>
      <w:r w:rsidRPr="00C56C28">
        <w:rPr>
          <w:lang w:val="nl-NL"/>
        </w:rPr>
        <w:t> Westra, T., Vanden Borre, J., Paelinckx, D., Wouters, J., Louettte, G., Onkelinx, T., Waterinckx, M., Quataert, P. (2011). Monitoring Natura 2000 habitats, Fase I: prioritering van de informatiebehoefte. Rapporten van het Instituut voor Natuur- en Bosonderzoek 2011 (INBO.R.2011.26). Instituut voor Natuur- en Bosonderzoek, Brussel.</w:t>
      </w:r>
    </w:p>
    <w:p w:rsidR="001C55F3" w:rsidRPr="00C56C28" w:rsidRDefault="001C55F3" w:rsidP="001C55F3">
      <w:pPr>
        <w:spacing w:line="240" w:lineRule="auto"/>
        <w:rPr>
          <w:lang w:val="nl-NL"/>
        </w:rPr>
      </w:pPr>
      <w:r w:rsidRPr="00C56C28">
        <w:rPr>
          <w:lang w:val="nl-NL"/>
        </w:rPr>
        <w:t> Websites:</w:t>
      </w:r>
    </w:p>
    <w:p w:rsidR="001C55F3" w:rsidRPr="00C56C28" w:rsidRDefault="001C55F3" w:rsidP="001C55F3">
      <w:pPr>
        <w:spacing w:line="240" w:lineRule="auto"/>
        <w:rPr>
          <w:lang w:val="nl-NL"/>
        </w:rPr>
      </w:pPr>
      <w:r w:rsidRPr="00C56C28">
        <w:rPr>
          <w:lang w:val="nl-NL"/>
        </w:rPr>
        <w:t> Information on the Flemish Nature reporting</w:t>
      </w:r>
    </w:p>
    <w:p w:rsidR="001C55F3" w:rsidRPr="00C56C28" w:rsidRDefault="001C55F3" w:rsidP="001C55F3">
      <w:pPr>
        <w:spacing w:line="240" w:lineRule="auto"/>
      </w:pPr>
      <w:hyperlink r:id="rId127" w:history="1">
        <w:r w:rsidRPr="00C56C28">
          <w:rPr>
            <w:rStyle w:val="Lienhypertexte"/>
          </w:rPr>
          <w:t>http://www.nara.be</w:t>
        </w:r>
      </w:hyperlink>
    </w:p>
    <w:p w:rsidR="001C55F3" w:rsidRPr="00C56C28" w:rsidRDefault="001C55F3" w:rsidP="001C55F3">
      <w:pPr>
        <w:spacing w:line="240" w:lineRule="auto"/>
      </w:pPr>
      <w:r w:rsidRPr="00C56C28">
        <w:t> Results of the Nature Outlook 2009</w:t>
      </w:r>
    </w:p>
    <w:p w:rsidR="001C55F3" w:rsidRPr="00C56C28" w:rsidRDefault="001C55F3" w:rsidP="001C55F3">
      <w:pPr>
        <w:spacing w:line="240" w:lineRule="auto"/>
      </w:pPr>
      <w:hyperlink r:id="rId128" w:history="1">
        <w:r w:rsidRPr="00C56C28">
          <w:rPr>
            <w:rStyle w:val="Lienhypertexte"/>
          </w:rPr>
          <w:t>http://www.natureoutlook.be</w:t>
        </w:r>
      </w:hyperlink>
    </w:p>
    <w:p w:rsidR="001C55F3" w:rsidRPr="00C56C28" w:rsidRDefault="001C55F3" w:rsidP="001C55F3">
      <w:pPr>
        <w:spacing w:line="240" w:lineRule="auto"/>
      </w:pPr>
      <w:r w:rsidRPr="00C56C28">
        <w:t> The Flemish biodiversity indicators</w:t>
      </w:r>
    </w:p>
    <w:p w:rsidR="001C55F3" w:rsidRPr="00C56C28" w:rsidRDefault="001C55F3" w:rsidP="001C55F3">
      <w:pPr>
        <w:spacing w:line="240" w:lineRule="auto"/>
      </w:pPr>
      <w:hyperlink r:id="rId129" w:history="1">
        <w:r w:rsidRPr="00C56C28">
          <w:rPr>
            <w:rStyle w:val="Lienhypertexte"/>
          </w:rPr>
          <w:t>http://www.biodiversityindicators.be</w:t>
        </w:r>
      </w:hyperlink>
    </w:p>
    <w:p w:rsidR="001C55F3" w:rsidRPr="00BE14DD" w:rsidRDefault="001C55F3" w:rsidP="001C55F3">
      <w:pPr>
        <w:rPr>
          <w:szCs w:val="20"/>
        </w:rPr>
      </w:pPr>
      <w:r w:rsidRPr="00BE14DD">
        <w:rPr>
          <w:szCs w:val="20"/>
        </w:rPr>
        <w:br w:type="page"/>
      </w:r>
    </w:p>
    <w:p w:rsidR="001C55F3" w:rsidRPr="00BE14DD" w:rsidRDefault="001C55F3" w:rsidP="001C55F3">
      <w:pPr>
        <w:pStyle w:val="Titre2"/>
        <w:rPr>
          <w:rFonts w:asciiTheme="minorHAnsi" w:hAnsiTheme="minorHAnsi"/>
        </w:rPr>
      </w:pPr>
      <w:bookmarkStart w:id="36" w:name="_Toc356484301"/>
      <w:bookmarkStart w:id="37" w:name="_Toc356484302"/>
      <w:r w:rsidRPr="00BE14DD">
        <w:rPr>
          <w:rFonts w:asciiTheme="minorHAnsi" w:hAnsiTheme="minorHAnsi"/>
        </w:rPr>
        <w:lastRenderedPageBreak/>
        <w:t>4.3 Spain</w:t>
      </w:r>
      <w:bookmarkEnd w:id="36"/>
    </w:p>
    <w:p w:rsidR="001C55F3" w:rsidRPr="00151B8D" w:rsidRDefault="001C55F3" w:rsidP="001C55F3">
      <w:pPr>
        <w:spacing w:line="240" w:lineRule="auto"/>
      </w:pPr>
    </w:p>
    <w:p w:rsidR="001C55F3" w:rsidRPr="00151B8D" w:rsidRDefault="001C55F3" w:rsidP="001C55F3">
      <w:pPr>
        <w:pStyle w:val="Titre3"/>
        <w:rPr>
          <w:rFonts w:asciiTheme="minorHAnsi" w:hAnsiTheme="minorHAnsi"/>
          <w:sz w:val="22"/>
        </w:rPr>
      </w:pPr>
      <w:r w:rsidRPr="00151B8D">
        <w:rPr>
          <w:rFonts w:asciiTheme="minorHAnsi" w:hAnsiTheme="minorHAnsi"/>
          <w:sz w:val="22"/>
        </w:rPr>
        <w:t>4.3.1. General informa</w:t>
      </w:r>
      <w:r>
        <w:rPr>
          <w:rFonts w:asciiTheme="minorHAnsi" w:hAnsiTheme="minorHAnsi"/>
          <w:sz w:val="22"/>
        </w:rPr>
        <w:t>tion on the national assessment</w:t>
      </w:r>
    </w:p>
    <w:p w:rsidR="001C55F3" w:rsidRPr="00151B8D" w:rsidRDefault="001C55F3" w:rsidP="001C55F3">
      <w:pPr>
        <w:spacing w:line="240" w:lineRule="auto"/>
      </w:pPr>
      <w:r w:rsidRPr="00151B8D">
        <w:t xml:space="preserve">The Spanish Inventory of Natural Heritage and Biodiversity (IEPNB, 2011) is, together with the Strategic Plan for Natural Heritage (MARM, 2011), the main instrument for knowledge, information tool and strategic decision support that Government uses in relation to conservation, management and use of natural heritage and biodiversity. It is an inventory of inventories that consists of catalogues, records and lists that provide insight into the distribution, abundance, state of conservation and utilization of natural heritage and biodiversity, with special attention to those items that require specific measures conservation or which have been declared of community interest. </w:t>
      </w:r>
    </w:p>
    <w:p w:rsidR="001C55F3" w:rsidRPr="00151B8D" w:rsidRDefault="001C55F3" w:rsidP="001C55F3">
      <w:pPr>
        <w:spacing w:line="240" w:lineRule="auto"/>
      </w:pPr>
      <w:r w:rsidRPr="00151B8D">
        <w:t xml:space="preserve">The Royal Decree that regulates the IEPNB, has 30 components which are grouped into 6 areas. It includes those determined by rules of national scope, most regulated by the Natural Heritage Act 42/2007 and the Forest Act 43/2003. Of these 10 are considered priority, which provide a reference for the rest of the components and the basis of statistics and national and international reports produced by the Ministry of Agriculture, Food and Environment. The remaining components are defined as fundamental, since they are already included in the current legislation. </w:t>
      </w:r>
    </w:p>
    <w:p w:rsidR="001C55F3" w:rsidRPr="00151B8D" w:rsidRDefault="001C55F3" w:rsidP="001C55F3">
      <w:pPr>
        <w:spacing w:line="240" w:lineRule="auto"/>
      </w:pPr>
      <w:r w:rsidRPr="00151B8D">
        <w:t>Another IEPNB instrument is the indicator system, which aims to obtain a synthetic vision of the state and trends of Spanish natural heritage and biodiversity, which can be transmitted to the whole of society and can support decision-making processes and other reporting systems to feed the supranational level of information. Their results (values ​​and trends) and conclusions are reflected annually in a report that includes the state and evolution of the natural heritage and biodiversity, as well as the initiatives adopted to keep the elements of that biodiversity in a good state of preservation.</w:t>
      </w:r>
    </w:p>
    <w:p w:rsidR="001C55F3" w:rsidRPr="00151B8D" w:rsidRDefault="001C55F3" w:rsidP="001C55F3">
      <w:pPr>
        <w:spacing w:line="240" w:lineRule="auto"/>
      </w:pPr>
      <w:r w:rsidRPr="00151B8D">
        <w:t>Below more details are provided only of those components of the IEPNB that are used directly to report about species or ecosystem types in the Spanish national territory.</w:t>
      </w:r>
    </w:p>
    <w:p w:rsidR="001C55F3" w:rsidRPr="00151B8D" w:rsidRDefault="001C55F3" w:rsidP="001C55F3">
      <w:pPr>
        <w:spacing w:line="240" w:lineRule="auto"/>
      </w:pPr>
    </w:p>
    <w:p w:rsidR="001C55F3" w:rsidRPr="00151B8D" w:rsidRDefault="001C55F3" w:rsidP="001C55F3">
      <w:pPr>
        <w:pStyle w:val="Titre3"/>
        <w:rPr>
          <w:rFonts w:asciiTheme="minorHAnsi" w:hAnsiTheme="minorHAnsi"/>
          <w:sz w:val="22"/>
        </w:rPr>
      </w:pPr>
      <w:r w:rsidRPr="00151B8D">
        <w:rPr>
          <w:rFonts w:asciiTheme="minorHAnsi" w:hAnsiTheme="minorHAnsi"/>
          <w:sz w:val="22"/>
        </w:rPr>
        <w:t>4.3.2 Components of biodive</w:t>
      </w:r>
      <w:r>
        <w:rPr>
          <w:rFonts w:asciiTheme="minorHAnsi" w:hAnsiTheme="minorHAnsi"/>
          <w:sz w:val="22"/>
        </w:rPr>
        <w:t>rsity monitored or surveyed</w:t>
      </w:r>
    </w:p>
    <w:p w:rsidR="001C55F3" w:rsidRDefault="001C55F3" w:rsidP="001C55F3">
      <w:pPr>
        <w:spacing w:line="240" w:lineRule="auto"/>
        <w:rPr>
          <w:u w:val="single"/>
        </w:rPr>
      </w:pPr>
    </w:p>
    <w:p w:rsidR="001C55F3" w:rsidRPr="00151B8D" w:rsidRDefault="001C55F3" w:rsidP="001C55F3">
      <w:pPr>
        <w:spacing w:line="240" w:lineRule="auto"/>
        <w:rPr>
          <w:u w:val="single"/>
        </w:rPr>
      </w:pPr>
      <w:r w:rsidRPr="00151B8D">
        <w:rPr>
          <w:u w:val="single"/>
        </w:rPr>
        <w:t>I, Species</w:t>
      </w:r>
    </w:p>
    <w:p w:rsidR="001C55F3" w:rsidRPr="00151B8D" w:rsidRDefault="001C55F3" w:rsidP="001C55F3">
      <w:pPr>
        <w:spacing w:after="0" w:line="240" w:lineRule="auto"/>
        <w:rPr>
          <w:i/>
        </w:rPr>
      </w:pPr>
      <w:r w:rsidRPr="00151B8D">
        <w:rPr>
          <w:i/>
        </w:rPr>
        <w:t>Terrestrial Species Inventory</w:t>
      </w:r>
    </w:p>
    <w:p w:rsidR="001C55F3" w:rsidRPr="00151B8D" w:rsidRDefault="001C55F3" w:rsidP="001C55F3">
      <w:pPr>
        <w:spacing w:after="0" w:line="240" w:lineRule="auto"/>
      </w:pPr>
      <w:r w:rsidRPr="00151B8D">
        <w:t xml:space="preserve">The Terrestrial Species Inventory (IEET) shows the distribution, abundance and conservation status of terrestrial wildlife living in Spain, with special attention to those species with specific conservation measures required or which have Community interest (i.e., included in the Directive 2009/147/EEC, known as the Birds Directive, or Directive 92/43/EEC, known as the Habitats Directive). </w:t>
      </w:r>
    </w:p>
    <w:p w:rsidR="001C55F3" w:rsidRPr="00151B8D" w:rsidRDefault="001C55F3" w:rsidP="001C55F3">
      <w:pPr>
        <w:spacing w:after="0" w:line="240" w:lineRule="auto"/>
      </w:pPr>
      <w:r w:rsidRPr="00151B8D">
        <w:t>The IEET currently has limitations because it covers a small part of land species (1.6%) and only applies to certain taxonomic groups. Thus, while coverage provided to vertebrates is almost 100% (Table 4.5), it is minimal for fungi and invertebrates particularly when taking into account the great diversity of this group. Within vertebrates, birds is the taxonomic group for which more information available, to the point of being the only one which has temporary data records to provide reliable population trends. For this reason they are used as an indicator of the state of biodiversity in various scopes and projects (i.e. Spanish NEA).</w:t>
      </w:r>
    </w:p>
    <w:p w:rsidR="001C55F3" w:rsidRPr="00151B8D" w:rsidRDefault="001C55F3" w:rsidP="001C55F3">
      <w:pPr>
        <w:spacing w:after="0" w:line="240" w:lineRule="auto"/>
      </w:pPr>
    </w:p>
    <w:p w:rsidR="001C55F3" w:rsidRDefault="001C55F3" w:rsidP="001C55F3">
      <w:pPr>
        <w:rPr>
          <w:i/>
          <w:szCs w:val="20"/>
        </w:rPr>
      </w:pPr>
    </w:p>
    <w:p w:rsidR="001C55F3" w:rsidRPr="00BE14DD" w:rsidRDefault="001C55F3" w:rsidP="001C55F3">
      <w:pPr>
        <w:rPr>
          <w:i/>
          <w:szCs w:val="20"/>
        </w:rPr>
      </w:pPr>
      <w:r w:rsidRPr="00BE14DD">
        <w:rPr>
          <w:i/>
          <w:szCs w:val="20"/>
        </w:rPr>
        <w:lastRenderedPageBreak/>
        <w:t>Table 4.5. Number of terrestrial species (total and threatened) that are included in the IEET inventory.(Please note that for most of the groups cannot be offered more than an approx. figure)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0"/>
        <w:gridCol w:w="3071"/>
        <w:gridCol w:w="3071"/>
      </w:tblGrid>
      <w:tr w:rsidR="001C55F3" w:rsidRPr="00151B8D" w:rsidTr="001C55F3">
        <w:tc>
          <w:tcPr>
            <w:tcW w:w="3070" w:type="dxa"/>
          </w:tcPr>
          <w:p w:rsidR="001C55F3" w:rsidRPr="00151B8D" w:rsidRDefault="001C55F3" w:rsidP="001C55F3">
            <w:pPr>
              <w:spacing w:line="240" w:lineRule="auto"/>
              <w:jc w:val="center"/>
              <w:rPr>
                <w:b/>
                <w:szCs w:val="20"/>
              </w:rPr>
            </w:pPr>
            <w:r w:rsidRPr="00151B8D">
              <w:rPr>
                <w:b/>
                <w:szCs w:val="20"/>
              </w:rPr>
              <w:t>Taxonomic group</w:t>
            </w:r>
          </w:p>
        </w:tc>
        <w:tc>
          <w:tcPr>
            <w:tcW w:w="3071" w:type="dxa"/>
          </w:tcPr>
          <w:p w:rsidR="001C55F3" w:rsidRPr="00151B8D" w:rsidRDefault="001C55F3" w:rsidP="001C55F3">
            <w:pPr>
              <w:spacing w:line="240" w:lineRule="auto"/>
              <w:jc w:val="center"/>
              <w:rPr>
                <w:b/>
                <w:szCs w:val="20"/>
              </w:rPr>
            </w:pPr>
            <w:r w:rsidRPr="00151B8D">
              <w:rPr>
                <w:b/>
                <w:szCs w:val="20"/>
              </w:rPr>
              <w:t>Total</w:t>
            </w:r>
          </w:p>
        </w:tc>
        <w:tc>
          <w:tcPr>
            <w:tcW w:w="3071" w:type="dxa"/>
          </w:tcPr>
          <w:p w:rsidR="001C55F3" w:rsidRPr="00151B8D" w:rsidRDefault="001C55F3" w:rsidP="001C55F3">
            <w:pPr>
              <w:spacing w:line="240" w:lineRule="auto"/>
              <w:jc w:val="center"/>
              <w:rPr>
                <w:b/>
                <w:szCs w:val="20"/>
              </w:rPr>
            </w:pPr>
            <w:r w:rsidRPr="00151B8D">
              <w:rPr>
                <w:b/>
                <w:szCs w:val="20"/>
              </w:rPr>
              <w:t>Threatened</w:t>
            </w:r>
            <w:r w:rsidRPr="00151B8D">
              <w:rPr>
                <w:b/>
                <w:szCs w:val="20"/>
                <w:vertAlign w:val="superscript"/>
              </w:rPr>
              <w:t>e</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Terrestrial mammals</w:t>
            </w:r>
          </w:p>
        </w:tc>
        <w:tc>
          <w:tcPr>
            <w:tcW w:w="3071" w:type="dxa"/>
          </w:tcPr>
          <w:p w:rsidR="001C55F3" w:rsidRPr="00151B8D" w:rsidRDefault="001C55F3" w:rsidP="001C55F3">
            <w:pPr>
              <w:spacing w:line="240" w:lineRule="auto"/>
              <w:jc w:val="center"/>
              <w:rPr>
                <w:szCs w:val="20"/>
              </w:rPr>
            </w:pPr>
            <w:r w:rsidRPr="00151B8D">
              <w:rPr>
                <w:szCs w:val="20"/>
              </w:rPr>
              <w:t>107</w:t>
            </w:r>
            <w:r w:rsidRPr="00151B8D">
              <w:rPr>
                <w:szCs w:val="20"/>
                <w:vertAlign w:val="superscript"/>
              </w:rPr>
              <w:t>1</w:t>
            </w:r>
          </w:p>
        </w:tc>
        <w:tc>
          <w:tcPr>
            <w:tcW w:w="3071" w:type="dxa"/>
          </w:tcPr>
          <w:p w:rsidR="001C55F3" w:rsidRPr="00151B8D" w:rsidRDefault="001C55F3" w:rsidP="001C55F3">
            <w:pPr>
              <w:spacing w:line="240" w:lineRule="auto"/>
              <w:jc w:val="center"/>
              <w:rPr>
                <w:szCs w:val="20"/>
              </w:rPr>
            </w:pPr>
            <w:r w:rsidRPr="00151B8D">
              <w:rPr>
                <w:szCs w:val="20"/>
              </w:rPr>
              <w:t>21</w:t>
            </w:r>
            <w:r w:rsidRPr="00151B8D">
              <w:rPr>
                <w:szCs w:val="20"/>
                <w:vertAlign w:val="superscript"/>
              </w:rPr>
              <w:t>1</w:t>
            </w:r>
            <w:r w:rsidRPr="00151B8D">
              <w:rPr>
                <w:szCs w:val="20"/>
              </w:rPr>
              <w:t xml:space="preserve"> (20%)</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Birds</w:t>
            </w:r>
            <w:r w:rsidRPr="00151B8D">
              <w:rPr>
                <w:szCs w:val="20"/>
                <w:vertAlign w:val="superscript"/>
              </w:rPr>
              <w:t>a</w:t>
            </w:r>
          </w:p>
        </w:tc>
        <w:tc>
          <w:tcPr>
            <w:tcW w:w="3071" w:type="dxa"/>
          </w:tcPr>
          <w:p w:rsidR="001C55F3" w:rsidRPr="00151B8D" w:rsidRDefault="001C55F3" w:rsidP="001C55F3">
            <w:pPr>
              <w:spacing w:line="240" w:lineRule="auto"/>
              <w:jc w:val="center"/>
              <w:rPr>
                <w:szCs w:val="20"/>
              </w:rPr>
            </w:pPr>
            <w:r w:rsidRPr="00151B8D">
              <w:rPr>
                <w:szCs w:val="20"/>
              </w:rPr>
              <w:t>337</w:t>
            </w:r>
            <w:r w:rsidRPr="00151B8D">
              <w:rPr>
                <w:szCs w:val="20"/>
                <w:vertAlign w:val="superscript"/>
              </w:rPr>
              <w:t>2</w:t>
            </w:r>
          </w:p>
        </w:tc>
        <w:tc>
          <w:tcPr>
            <w:tcW w:w="3071" w:type="dxa"/>
          </w:tcPr>
          <w:p w:rsidR="001C55F3" w:rsidRPr="00151B8D" w:rsidRDefault="001C55F3" w:rsidP="001C55F3">
            <w:pPr>
              <w:spacing w:line="240" w:lineRule="auto"/>
              <w:jc w:val="center"/>
              <w:rPr>
                <w:szCs w:val="20"/>
              </w:rPr>
            </w:pPr>
            <w:r w:rsidRPr="00151B8D">
              <w:rPr>
                <w:szCs w:val="20"/>
              </w:rPr>
              <w:t>99</w:t>
            </w:r>
            <w:r w:rsidRPr="00151B8D">
              <w:rPr>
                <w:szCs w:val="20"/>
                <w:vertAlign w:val="superscript"/>
              </w:rPr>
              <w:t>13</w:t>
            </w:r>
            <w:r w:rsidRPr="00151B8D">
              <w:rPr>
                <w:szCs w:val="20"/>
              </w:rPr>
              <w:t xml:space="preserve"> (25%)</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Amphibians</w:t>
            </w:r>
          </w:p>
        </w:tc>
        <w:tc>
          <w:tcPr>
            <w:tcW w:w="3071" w:type="dxa"/>
          </w:tcPr>
          <w:p w:rsidR="001C55F3" w:rsidRPr="00151B8D" w:rsidRDefault="001C55F3" w:rsidP="001C55F3">
            <w:pPr>
              <w:spacing w:line="240" w:lineRule="auto"/>
              <w:jc w:val="center"/>
              <w:rPr>
                <w:szCs w:val="20"/>
              </w:rPr>
            </w:pPr>
            <w:r w:rsidRPr="00151B8D">
              <w:rPr>
                <w:szCs w:val="20"/>
              </w:rPr>
              <w:t>35</w:t>
            </w:r>
            <w:r w:rsidRPr="00151B8D">
              <w:rPr>
                <w:szCs w:val="20"/>
                <w:vertAlign w:val="superscript"/>
              </w:rPr>
              <w:t>3</w:t>
            </w:r>
          </w:p>
        </w:tc>
        <w:tc>
          <w:tcPr>
            <w:tcW w:w="3071" w:type="dxa"/>
          </w:tcPr>
          <w:p w:rsidR="001C55F3" w:rsidRPr="00151B8D" w:rsidRDefault="001C55F3" w:rsidP="001C55F3">
            <w:pPr>
              <w:spacing w:line="240" w:lineRule="auto"/>
              <w:jc w:val="center"/>
              <w:rPr>
                <w:szCs w:val="20"/>
              </w:rPr>
            </w:pPr>
            <w:r w:rsidRPr="00151B8D">
              <w:rPr>
                <w:szCs w:val="20"/>
              </w:rPr>
              <w:t>12</w:t>
            </w:r>
            <w:r w:rsidRPr="00151B8D">
              <w:rPr>
                <w:szCs w:val="20"/>
                <w:vertAlign w:val="superscript"/>
              </w:rPr>
              <w:t>14</w:t>
            </w:r>
            <w:r w:rsidRPr="00151B8D">
              <w:rPr>
                <w:szCs w:val="20"/>
              </w:rPr>
              <w:t xml:space="preserve"> (34%)</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Reptiles</w:t>
            </w:r>
          </w:p>
        </w:tc>
        <w:tc>
          <w:tcPr>
            <w:tcW w:w="3071" w:type="dxa"/>
          </w:tcPr>
          <w:p w:rsidR="001C55F3" w:rsidRPr="00151B8D" w:rsidRDefault="001C55F3" w:rsidP="001C55F3">
            <w:pPr>
              <w:spacing w:line="240" w:lineRule="auto"/>
              <w:jc w:val="center"/>
              <w:rPr>
                <w:szCs w:val="20"/>
              </w:rPr>
            </w:pPr>
            <w:r w:rsidRPr="00151B8D">
              <w:rPr>
                <w:szCs w:val="20"/>
              </w:rPr>
              <w:t>87</w:t>
            </w:r>
            <w:r w:rsidRPr="00151B8D">
              <w:rPr>
                <w:szCs w:val="20"/>
                <w:vertAlign w:val="superscript"/>
              </w:rPr>
              <w:t>3</w:t>
            </w:r>
          </w:p>
        </w:tc>
        <w:tc>
          <w:tcPr>
            <w:tcW w:w="3071" w:type="dxa"/>
          </w:tcPr>
          <w:p w:rsidR="001C55F3" w:rsidRPr="00151B8D" w:rsidRDefault="001C55F3" w:rsidP="001C55F3">
            <w:pPr>
              <w:spacing w:line="240" w:lineRule="auto"/>
              <w:jc w:val="center"/>
              <w:rPr>
                <w:szCs w:val="20"/>
              </w:rPr>
            </w:pPr>
            <w:r w:rsidRPr="00151B8D">
              <w:rPr>
                <w:szCs w:val="20"/>
              </w:rPr>
              <w:t>28</w:t>
            </w:r>
            <w:r w:rsidRPr="00151B8D">
              <w:rPr>
                <w:szCs w:val="20"/>
                <w:vertAlign w:val="superscript"/>
              </w:rPr>
              <w:t>14</w:t>
            </w:r>
            <w:r w:rsidRPr="00151B8D">
              <w:rPr>
                <w:szCs w:val="20"/>
              </w:rPr>
              <w:t xml:space="preserve"> (32%)</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Freshwater fish</w:t>
            </w:r>
          </w:p>
        </w:tc>
        <w:tc>
          <w:tcPr>
            <w:tcW w:w="3071" w:type="dxa"/>
          </w:tcPr>
          <w:p w:rsidR="001C55F3" w:rsidRPr="00151B8D" w:rsidRDefault="001C55F3" w:rsidP="001C55F3">
            <w:pPr>
              <w:spacing w:line="240" w:lineRule="auto"/>
              <w:jc w:val="center"/>
              <w:rPr>
                <w:szCs w:val="20"/>
              </w:rPr>
            </w:pPr>
            <w:r w:rsidRPr="00151B8D">
              <w:rPr>
                <w:szCs w:val="20"/>
              </w:rPr>
              <w:t>69</w:t>
            </w:r>
            <w:r w:rsidRPr="00151B8D">
              <w:rPr>
                <w:szCs w:val="20"/>
                <w:vertAlign w:val="superscript"/>
              </w:rPr>
              <w:t>4</w:t>
            </w:r>
          </w:p>
        </w:tc>
        <w:tc>
          <w:tcPr>
            <w:tcW w:w="3071" w:type="dxa"/>
          </w:tcPr>
          <w:p w:rsidR="001C55F3" w:rsidRPr="00151B8D" w:rsidRDefault="001C55F3" w:rsidP="001C55F3">
            <w:pPr>
              <w:spacing w:line="240" w:lineRule="auto"/>
              <w:jc w:val="center"/>
              <w:rPr>
                <w:szCs w:val="20"/>
              </w:rPr>
            </w:pPr>
            <w:r w:rsidRPr="00151B8D">
              <w:rPr>
                <w:szCs w:val="20"/>
              </w:rPr>
              <w:t>37</w:t>
            </w:r>
            <w:r w:rsidRPr="00151B8D">
              <w:rPr>
                <w:szCs w:val="20"/>
                <w:vertAlign w:val="superscript"/>
              </w:rPr>
              <w:t>4</w:t>
            </w:r>
            <w:r w:rsidRPr="00151B8D">
              <w:rPr>
                <w:szCs w:val="20"/>
              </w:rPr>
              <w:t xml:space="preserve"> ( 54%)</w:t>
            </w:r>
          </w:p>
        </w:tc>
      </w:tr>
      <w:tr w:rsidR="001C55F3" w:rsidRPr="00151B8D" w:rsidTr="001C55F3">
        <w:tc>
          <w:tcPr>
            <w:tcW w:w="3070" w:type="dxa"/>
            <w:shd w:val="clear" w:color="auto" w:fill="BFBFBF" w:themeFill="background1" w:themeFillShade="BF"/>
          </w:tcPr>
          <w:p w:rsidR="001C55F3" w:rsidRPr="00151B8D" w:rsidRDefault="001C55F3" w:rsidP="001C55F3">
            <w:pPr>
              <w:spacing w:line="240" w:lineRule="auto"/>
              <w:rPr>
                <w:szCs w:val="20"/>
              </w:rPr>
            </w:pPr>
            <w:r w:rsidRPr="00151B8D">
              <w:rPr>
                <w:szCs w:val="20"/>
              </w:rPr>
              <w:t>Terrestrial vertebrates</w:t>
            </w:r>
          </w:p>
        </w:tc>
        <w:tc>
          <w:tcPr>
            <w:tcW w:w="3071" w:type="dxa"/>
            <w:shd w:val="clear" w:color="auto" w:fill="BFBFBF" w:themeFill="background1" w:themeFillShade="BF"/>
          </w:tcPr>
          <w:p w:rsidR="001C55F3" w:rsidRPr="00151B8D" w:rsidRDefault="001C55F3" w:rsidP="001C55F3">
            <w:pPr>
              <w:spacing w:line="240" w:lineRule="auto"/>
              <w:jc w:val="center"/>
              <w:rPr>
                <w:szCs w:val="20"/>
              </w:rPr>
            </w:pPr>
            <w:r w:rsidRPr="00151B8D">
              <w:rPr>
                <w:szCs w:val="20"/>
              </w:rPr>
              <w:t>635</w:t>
            </w:r>
          </w:p>
        </w:tc>
        <w:tc>
          <w:tcPr>
            <w:tcW w:w="3071" w:type="dxa"/>
            <w:shd w:val="clear" w:color="auto" w:fill="BFBFBF" w:themeFill="background1" w:themeFillShade="BF"/>
          </w:tcPr>
          <w:p w:rsidR="001C55F3" w:rsidRPr="00151B8D" w:rsidRDefault="001C55F3" w:rsidP="001C55F3">
            <w:pPr>
              <w:spacing w:line="240" w:lineRule="auto"/>
              <w:jc w:val="center"/>
              <w:rPr>
                <w:szCs w:val="20"/>
              </w:rPr>
            </w:pPr>
            <w:r w:rsidRPr="00151B8D">
              <w:rPr>
                <w:szCs w:val="20"/>
              </w:rPr>
              <w:t>197 (31%)</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Terrestrial invertebrates</w:t>
            </w:r>
          </w:p>
        </w:tc>
        <w:tc>
          <w:tcPr>
            <w:tcW w:w="3071" w:type="dxa"/>
          </w:tcPr>
          <w:p w:rsidR="001C55F3" w:rsidRPr="00151B8D" w:rsidRDefault="001C55F3" w:rsidP="001C55F3">
            <w:pPr>
              <w:spacing w:line="240" w:lineRule="auto"/>
              <w:jc w:val="center"/>
              <w:rPr>
                <w:szCs w:val="20"/>
              </w:rPr>
            </w:pPr>
            <w:r w:rsidRPr="00151B8D">
              <w:rPr>
                <w:szCs w:val="20"/>
              </w:rPr>
              <w:t>Approx. 57000</w:t>
            </w:r>
            <w:r w:rsidRPr="00151B8D">
              <w:rPr>
                <w:szCs w:val="20"/>
                <w:vertAlign w:val="superscript"/>
              </w:rPr>
              <w:t>5</w:t>
            </w:r>
          </w:p>
        </w:tc>
        <w:tc>
          <w:tcPr>
            <w:tcW w:w="3071" w:type="dxa"/>
          </w:tcPr>
          <w:p w:rsidR="001C55F3" w:rsidRPr="00151B8D" w:rsidRDefault="001C55F3" w:rsidP="001C55F3">
            <w:pPr>
              <w:spacing w:line="240" w:lineRule="auto"/>
              <w:jc w:val="center"/>
              <w:rPr>
                <w:szCs w:val="20"/>
              </w:rPr>
            </w:pPr>
            <w:r w:rsidRPr="00151B8D">
              <w:rPr>
                <w:szCs w:val="20"/>
              </w:rPr>
              <w:t>&gt;258</w:t>
            </w:r>
            <w:r w:rsidRPr="00151B8D">
              <w:rPr>
                <w:szCs w:val="20"/>
                <w:vertAlign w:val="superscript"/>
              </w:rPr>
              <w:t>15</w:t>
            </w:r>
            <w:r w:rsidRPr="00151B8D">
              <w:rPr>
                <w:szCs w:val="20"/>
              </w:rPr>
              <w:t xml:space="preserve"> (0.5%)</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Vascular plants</w:t>
            </w:r>
            <w:r w:rsidRPr="00151B8D">
              <w:rPr>
                <w:szCs w:val="20"/>
                <w:vertAlign w:val="superscript"/>
              </w:rPr>
              <w:t>b</w:t>
            </w:r>
          </w:p>
        </w:tc>
        <w:tc>
          <w:tcPr>
            <w:tcW w:w="3071" w:type="dxa"/>
          </w:tcPr>
          <w:p w:rsidR="001C55F3" w:rsidRPr="00151B8D" w:rsidRDefault="001C55F3" w:rsidP="001C55F3">
            <w:pPr>
              <w:spacing w:line="240" w:lineRule="auto"/>
              <w:jc w:val="center"/>
              <w:rPr>
                <w:szCs w:val="20"/>
              </w:rPr>
            </w:pPr>
            <w:r w:rsidRPr="00151B8D">
              <w:rPr>
                <w:szCs w:val="20"/>
              </w:rPr>
              <w:t xml:space="preserve">6500-8000 </w:t>
            </w:r>
            <w:r w:rsidRPr="00151B8D">
              <w:rPr>
                <w:szCs w:val="20"/>
                <w:vertAlign w:val="superscript"/>
              </w:rPr>
              <w:t>6,10</w:t>
            </w:r>
          </w:p>
        </w:tc>
        <w:tc>
          <w:tcPr>
            <w:tcW w:w="3071" w:type="dxa"/>
          </w:tcPr>
          <w:p w:rsidR="001C55F3" w:rsidRPr="00151B8D" w:rsidRDefault="001C55F3" w:rsidP="001C55F3">
            <w:pPr>
              <w:spacing w:line="240" w:lineRule="auto"/>
              <w:jc w:val="center"/>
              <w:rPr>
                <w:szCs w:val="20"/>
              </w:rPr>
            </w:pPr>
            <w:r w:rsidRPr="00151B8D">
              <w:rPr>
                <w:szCs w:val="20"/>
              </w:rPr>
              <w:t xml:space="preserve">1196 </w:t>
            </w:r>
            <w:r w:rsidRPr="00151B8D">
              <w:rPr>
                <w:szCs w:val="20"/>
                <w:vertAlign w:val="superscript"/>
              </w:rPr>
              <w:t>16</w:t>
            </w:r>
            <w:r w:rsidRPr="00151B8D">
              <w:rPr>
                <w:szCs w:val="20"/>
              </w:rPr>
              <w:t>(15-18%)</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Non-vascular plants</w:t>
            </w:r>
            <w:r w:rsidRPr="00151B8D">
              <w:rPr>
                <w:szCs w:val="20"/>
                <w:vertAlign w:val="superscript"/>
              </w:rPr>
              <w:t>c</w:t>
            </w:r>
          </w:p>
        </w:tc>
        <w:tc>
          <w:tcPr>
            <w:tcW w:w="3071" w:type="dxa"/>
          </w:tcPr>
          <w:p w:rsidR="001C55F3" w:rsidRPr="00151B8D" w:rsidRDefault="001C55F3" w:rsidP="001C55F3">
            <w:pPr>
              <w:spacing w:line="240" w:lineRule="auto"/>
              <w:jc w:val="center"/>
              <w:rPr>
                <w:szCs w:val="20"/>
              </w:rPr>
            </w:pPr>
            <w:r w:rsidRPr="00151B8D">
              <w:rPr>
                <w:szCs w:val="20"/>
              </w:rPr>
              <w:t xml:space="preserve">Approx 2000 </w:t>
            </w:r>
            <w:r w:rsidRPr="00151B8D">
              <w:rPr>
                <w:szCs w:val="20"/>
                <w:vertAlign w:val="superscript"/>
              </w:rPr>
              <w:t>7,8</w:t>
            </w:r>
          </w:p>
        </w:tc>
        <w:tc>
          <w:tcPr>
            <w:tcW w:w="3071" w:type="dxa"/>
          </w:tcPr>
          <w:p w:rsidR="001C55F3" w:rsidRPr="00151B8D" w:rsidRDefault="001C55F3" w:rsidP="001C55F3">
            <w:pPr>
              <w:spacing w:line="240" w:lineRule="auto"/>
              <w:jc w:val="center"/>
              <w:rPr>
                <w:szCs w:val="20"/>
              </w:rPr>
            </w:pPr>
            <w:r w:rsidRPr="00151B8D">
              <w:rPr>
                <w:szCs w:val="20"/>
              </w:rPr>
              <w:t>&gt;170 (9%)</w:t>
            </w:r>
            <w:r w:rsidRPr="00151B8D">
              <w:rPr>
                <w:szCs w:val="20"/>
                <w:vertAlign w:val="superscript"/>
              </w:rPr>
              <w:t>9</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Bryophytes</w:t>
            </w:r>
          </w:p>
        </w:tc>
        <w:tc>
          <w:tcPr>
            <w:tcW w:w="3071" w:type="dxa"/>
          </w:tcPr>
          <w:p w:rsidR="001C55F3" w:rsidRPr="00151B8D" w:rsidRDefault="001C55F3" w:rsidP="001C55F3">
            <w:pPr>
              <w:spacing w:line="240" w:lineRule="auto"/>
              <w:jc w:val="center"/>
              <w:rPr>
                <w:szCs w:val="20"/>
              </w:rPr>
            </w:pPr>
            <w:r w:rsidRPr="00151B8D">
              <w:rPr>
                <w:szCs w:val="20"/>
              </w:rPr>
              <w:t xml:space="preserve">Approx 1100 </w:t>
            </w:r>
            <w:r w:rsidRPr="00151B8D">
              <w:rPr>
                <w:szCs w:val="20"/>
                <w:vertAlign w:val="superscript"/>
              </w:rPr>
              <w:t>9,10</w:t>
            </w:r>
          </w:p>
        </w:tc>
        <w:tc>
          <w:tcPr>
            <w:tcW w:w="3071" w:type="dxa"/>
          </w:tcPr>
          <w:p w:rsidR="001C55F3" w:rsidRPr="00151B8D" w:rsidRDefault="001C55F3" w:rsidP="001C55F3">
            <w:pPr>
              <w:spacing w:line="240" w:lineRule="auto"/>
              <w:jc w:val="center"/>
              <w:rPr>
                <w:szCs w:val="20"/>
              </w:rPr>
            </w:pPr>
            <w:r w:rsidRPr="00151B8D">
              <w:rPr>
                <w:szCs w:val="20"/>
              </w:rPr>
              <w:t>170 (15%)</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Mushrooms</w:t>
            </w:r>
            <w:r w:rsidRPr="00151B8D">
              <w:rPr>
                <w:szCs w:val="20"/>
                <w:vertAlign w:val="superscript"/>
              </w:rPr>
              <w:t>d</w:t>
            </w:r>
          </w:p>
        </w:tc>
        <w:tc>
          <w:tcPr>
            <w:tcW w:w="3071" w:type="dxa"/>
          </w:tcPr>
          <w:p w:rsidR="001C55F3" w:rsidRPr="00151B8D" w:rsidRDefault="001C55F3" w:rsidP="001C55F3">
            <w:pPr>
              <w:spacing w:line="240" w:lineRule="auto"/>
              <w:jc w:val="center"/>
              <w:rPr>
                <w:szCs w:val="20"/>
              </w:rPr>
            </w:pPr>
            <w:r w:rsidRPr="00151B8D">
              <w:rPr>
                <w:szCs w:val="20"/>
              </w:rPr>
              <w:t xml:space="preserve">Approx 23000 </w:t>
            </w:r>
            <w:r w:rsidRPr="00151B8D">
              <w:rPr>
                <w:szCs w:val="20"/>
                <w:vertAlign w:val="superscript"/>
              </w:rPr>
              <w:t>10,11,12</w:t>
            </w:r>
          </w:p>
        </w:tc>
        <w:tc>
          <w:tcPr>
            <w:tcW w:w="3071" w:type="dxa"/>
          </w:tcPr>
          <w:p w:rsidR="001C55F3" w:rsidRPr="00151B8D" w:rsidRDefault="001C55F3" w:rsidP="001C55F3">
            <w:pPr>
              <w:spacing w:line="240" w:lineRule="auto"/>
              <w:jc w:val="center"/>
              <w:rPr>
                <w:szCs w:val="20"/>
              </w:rPr>
            </w:pPr>
            <w:r w:rsidRPr="00151B8D">
              <w:rPr>
                <w:szCs w:val="20"/>
              </w:rPr>
              <w:t>?</w:t>
            </w:r>
          </w:p>
        </w:tc>
      </w:tr>
      <w:tr w:rsidR="001C55F3" w:rsidRPr="00151B8D" w:rsidTr="001C55F3">
        <w:tc>
          <w:tcPr>
            <w:tcW w:w="3070" w:type="dxa"/>
          </w:tcPr>
          <w:p w:rsidR="001C55F3" w:rsidRPr="00151B8D" w:rsidRDefault="001C55F3" w:rsidP="001C55F3">
            <w:pPr>
              <w:spacing w:line="240" w:lineRule="auto"/>
              <w:rPr>
                <w:szCs w:val="20"/>
              </w:rPr>
            </w:pPr>
            <w:r w:rsidRPr="00151B8D">
              <w:rPr>
                <w:szCs w:val="20"/>
              </w:rPr>
              <w:t>Total terrestrial</w:t>
            </w:r>
          </w:p>
        </w:tc>
        <w:tc>
          <w:tcPr>
            <w:tcW w:w="3071" w:type="dxa"/>
          </w:tcPr>
          <w:p w:rsidR="001C55F3" w:rsidRPr="00151B8D" w:rsidRDefault="001C55F3" w:rsidP="001C55F3">
            <w:pPr>
              <w:spacing w:line="240" w:lineRule="auto"/>
              <w:jc w:val="center"/>
              <w:rPr>
                <w:szCs w:val="20"/>
              </w:rPr>
            </w:pPr>
            <w:r w:rsidRPr="00151B8D">
              <w:rPr>
                <w:szCs w:val="20"/>
              </w:rPr>
              <w:t>Approx 91000</w:t>
            </w:r>
          </w:p>
        </w:tc>
        <w:tc>
          <w:tcPr>
            <w:tcW w:w="3071" w:type="dxa"/>
          </w:tcPr>
          <w:p w:rsidR="001C55F3" w:rsidRPr="00151B8D" w:rsidRDefault="001C55F3" w:rsidP="001C55F3">
            <w:pPr>
              <w:spacing w:line="240" w:lineRule="auto"/>
              <w:jc w:val="center"/>
              <w:rPr>
                <w:szCs w:val="20"/>
              </w:rPr>
            </w:pPr>
            <w:r w:rsidRPr="00151B8D">
              <w:rPr>
                <w:szCs w:val="20"/>
              </w:rPr>
              <w:t>?</w:t>
            </w:r>
          </w:p>
        </w:tc>
      </w:tr>
    </w:tbl>
    <w:p w:rsidR="001C55F3" w:rsidRPr="00151B8D" w:rsidRDefault="001C55F3" w:rsidP="001C55F3">
      <w:pPr>
        <w:tabs>
          <w:tab w:val="left" w:pos="426"/>
        </w:tabs>
        <w:spacing w:after="0"/>
        <w:rPr>
          <w:i/>
          <w:sz w:val="18"/>
          <w:szCs w:val="18"/>
        </w:rPr>
      </w:pPr>
      <w:r w:rsidRPr="00151B8D">
        <w:rPr>
          <w:i/>
          <w:sz w:val="18"/>
          <w:szCs w:val="18"/>
        </w:rPr>
        <w:t xml:space="preserve">a. The figure for the total number of species refers only to breeding species. The number of endangered bird species is to evaluate 391 taxa (species and subspecies), a figure that includes breeding birds and also some non-breeding. The percentage of threatened is calculated on the total, not the breeding bird. </w:t>
      </w:r>
    </w:p>
    <w:p w:rsidR="001C55F3" w:rsidRPr="00151B8D" w:rsidRDefault="001C55F3" w:rsidP="001C55F3">
      <w:pPr>
        <w:tabs>
          <w:tab w:val="left" w:pos="426"/>
        </w:tabs>
        <w:spacing w:after="0"/>
        <w:rPr>
          <w:i/>
          <w:sz w:val="18"/>
          <w:szCs w:val="18"/>
        </w:rPr>
      </w:pPr>
      <w:r w:rsidRPr="00151B8D">
        <w:rPr>
          <w:i/>
          <w:sz w:val="18"/>
          <w:szCs w:val="18"/>
        </w:rPr>
        <w:t xml:space="preserve">b Species and subspecies. </w:t>
      </w:r>
    </w:p>
    <w:p w:rsidR="001C55F3" w:rsidRPr="00151B8D" w:rsidRDefault="001C55F3" w:rsidP="001C55F3">
      <w:pPr>
        <w:tabs>
          <w:tab w:val="left" w:pos="426"/>
        </w:tabs>
        <w:spacing w:after="0"/>
        <w:rPr>
          <w:i/>
          <w:sz w:val="18"/>
          <w:szCs w:val="18"/>
        </w:rPr>
      </w:pPr>
      <w:r w:rsidRPr="00151B8D">
        <w:rPr>
          <w:i/>
          <w:sz w:val="18"/>
          <w:szCs w:val="18"/>
        </w:rPr>
        <w:t xml:space="preserve">c Algae (excluding exclusively marine cyanobacteria and algae) and bryophytes. </w:t>
      </w:r>
    </w:p>
    <w:p w:rsidR="001C55F3" w:rsidRPr="00151B8D" w:rsidRDefault="001C55F3" w:rsidP="001C55F3">
      <w:pPr>
        <w:tabs>
          <w:tab w:val="left" w:pos="426"/>
        </w:tabs>
        <w:spacing w:after="0"/>
        <w:rPr>
          <w:i/>
          <w:sz w:val="18"/>
          <w:szCs w:val="18"/>
        </w:rPr>
      </w:pPr>
      <w:r w:rsidRPr="00151B8D">
        <w:rPr>
          <w:i/>
          <w:sz w:val="18"/>
          <w:szCs w:val="18"/>
        </w:rPr>
        <w:t xml:space="preserve">d Including lichens. </w:t>
      </w:r>
    </w:p>
    <w:p w:rsidR="001C55F3" w:rsidRPr="00151B8D" w:rsidRDefault="001C55F3" w:rsidP="001C55F3">
      <w:pPr>
        <w:tabs>
          <w:tab w:val="left" w:pos="426"/>
        </w:tabs>
        <w:spacing w:after="0"/>
        <w:rPr>
          <w:i/>
          <w:sz w:val="18"/>
          <w:szCs w:val="18"/>
        </w:rPr>
      </w:pPr>
      <w:r w:rsidRPr="00151B8D">
        <w:rPr>
          <w:i/>
          <w:sz w:val="18"/>
          <w:szCs w:val="18"/>
        </w:rPr>
        <w:t>e Qualified Critically Endangered, Endangered or Vulnerable under IUCN criteria. The&gt; indicates that the number may be considerably higher, because failed to consider any group or geographical area known would add a lot of species to the total amount.</w:t>
      </w:r>
    </w:p>
    <w:p w:rsidR="001C55F3" w:rsidRPr="00151B8D" w:rsidRDefault="001C55F3" w:rsidP="001C55F3">
      <w:pPr>
        <w:spacing w:after="0" w:line="240" w:lineRule="auto"/>
        <w:rPr>
          <w:sz w:val="18"/>
          <w:szCs w:val="18"/>
        </w:rPr>
      </w:pPr>
      <w:r w:rsidRPr="001C55F3">
        <w:rPr>
          <w:sz w:val="18"/>
          <w:szCs w:val="18"/>
          <w:lang w:val="fr-BE"/>
        </w:rPr>
        <w:t xml:space="preserve">1 Palomo, L.J., Gisbert, J. &amp; Blanco, J.C. 2007. Atlas y Libro Rojo de los Mamíferos Terrestres de España. </w:t>
      </w:r>
      <w:r w:rsidRPr="00151B8D">
        <w:rPr>
          <w:sz w:val="18"/>
          <w:szCs w:val="18"/>
        </w:rPr>
        <w:t>Dirección General para la Biodiversidad-SECEM-SECEMU.</w:t>
      </w:r>
    </w:p>
    <w:p w:rsidR="001C55F3" w:rsidRPr="001C55F3" w:rsidRDefault="001C55F3" w:rsidP="001C55F3">
      <w:pPr>
        <w:spacing w:after="0" w:line="240" w:lineRule="auto"/>
        <w:rPr>
          <w:sz w:val="18"/>
          <w:szCs w:val="18"/>
          <w:lang w:val="fr-BE"/>
        </w:rPr>
      </w:pPr>
      <w:r w:rsidRPr="00151B8D">
        <w:rPr>
          <w:sz w:val="18"/>
          <w:szCs w:val="18"/>
        </w:rPr>
        <w:t xml:space="preserve">2 Martí, R. &amp; Del Moral, J.C. (Eds.) 2003. </w:t>
      </w:r>
      <w:r w:rsidRPr="001C55F3">
        <w:rPr>
          <w:sz w:val="18"/>
          <w:szCs w:val="18"/>
          <w:lang w:val="fr-BE"/>
        </w:rPr>
        <w:t>Atlas de las Aves Reproductoras de España. Dirección General de Conservación de la Naturaleza-Sociedad Española de Ornitología. Madrid.</w:t>
      </w:r>
    </w:p>
    <w:p w:rsidR="001C55F3" w:rsidRPr="001C55F3" w:rsidRDefault="001C55F3" w:rsidP="001C55F3">
      <w:pPr>
        <w:spacing w:after="0" w:line="240" w:lineRule="auto"/>
        <w:rPr>
          <w:sz w:val="18"/>
          <w:szCs w:val="18"/>
          <w:lang w:val="fr-BE"/>
        </w:rPr>
      </w:pPr>
      <w:r w:rsidRPr="001C55F3">
        <w:rPr>
          <w:sz w:val="18"/>
          <w:szCs w:val="18"/>
          <w:lang w:val="fr-BE"/>
        </w:rPr>
        <w:t>3 Carretero, M.A., Ayllón, E. &amp; Llorente G. (Eds.) 2010. Lista patrón de los anfibios y reptiles de España (actualizada a diciembre de 2009). Asociación Herpetológica Española</w:t>
      </w:r>
    </w:p>
    <w:p w:rsidR="001C55F3" w:rsidRPr="00151B8D" w:rsidRDefault="001C55F3" w:rsidP="001C55F3">
      <w:pPr>
        <w:spacing w:after="0" w:line="240" w:lineRule="auto"/>
        <w:rPr>
          <w:sz w:val="18"/>
          <w:szCs w:val="18"/>
          <w:lang w:val="nl-NL"/>
        </w:rPr>
      </w:pPr>
      <w:r w:rsidRPr="001C55F3">
        <w:rPr>
          <w:sz w:val="18"/>
          <w:szCs w:val="18"/>
          <w:lang w:val="fr-BE"/>
        </w:rPr>
        <w:t xml:space="preserve">4 Doadrio, I. (Ed.) 2001. </w:t>
      </w:r>
      <w:r w:rsidRPr="00151B8D">
        <w:rPr>
          <w:sz w:val="18"/>
          <w:szCs w:val="18"/>
          <w:lang w:val="nl-NL"/>
        </w:rPr>
        <w:t>Atlas de los peces continentales de España. Ministerio de Medio Ambiente.</w:t>
      </w:r>
    </w:p>
    <w:p w:rsidR="001C55F3" w:rsidRPr="00151B8D" w:rsidRDefault="001C55F3" w:rsidP="001C55F3">
      <w:pPr>
        <w:spacing w:after="0" w:line="240" w:lineRule="auto"/>
        <w:rPr>
          <w:sz w:val="18"/>
          <w:szCs w:val="18"/>
          <w:lang w:val="nl-NL"/>
        </w:rPr>
      </w:pPr>
      <w:r w:rsidRPr="00151B8D">
        <w:rPr>
          <w:sz w:val="18"/>
          <w:szCs w:val="18"/>
          <w:lang w:val="nl-NL"/>
        </w:rPr>
        <w:t>5 Ramos, M.A. &amp; Templado, J. 2002. Invertebrados no insectos. En: Reyero, J.M. (Ed.) La naturaleza de España, pp. 254-269. Ministerio de Medio Ambiente.</w:t>
      </w:r>
    </w:p>
    <w:p w:rsidR="001C55F3" w:rsidRPr="001C55F3" w:rsidRDefault="001C55F3" w:rsidP="001C55F3">
      <w:pPr>
        <w:spacing w:after="0" w:line="240" w:lineRule="auto"/>
        <w:rPr>
          <w:sz w:val="18"/>
          <w:szCs w:val="18"/>
          <w:lang w:val="fr-BE"/>
        </w:rPr>
      </w:pPr>
      <w:r w:rsidRPr="00151B8D">
        <w:rPr>
          <w:sz w:val="18"/>
          <w:szCs w:val="18"/>
          <w:lang w:val="nl-NL"/>
        </w:rPr>
        <w:t xml:space="preserve">6 Castroviejo, S. 2010. La flora española: una riqueza en biodiversidad de primer orden aún en exploración. El proyecto Flora Iberica. </w:t>
      </w:r>
      <w:r w:rsidRPr="001C55F3">
        <w:rPr>
          <w:sz w:val="18"/>
          <w:szCs w:val="18"/>
          <w:lang w:val="fr-BE"/>
        </w:rPr>
        <w:t>Documentación Administrativa 278-279 (mayo-diciembre 2007): 23-38.</w:t>
      </w:r>
    </w:p>
    <w:p w:rsidR="001C55F3" w:rsidRPr="00151B8D" w:rsidRDefault="001C55F3" w:rsidP="001C55F3">
      <w:pPr>
        <w:spacing w:after="0" w:line="240" w:lineRule="auto"/>
        <w:rPr>
          <w:sz w:val="18"/>
          <w:szCs w:val="18"/>
          <w:lang w:val="nl-NL"/>
        </w:rPr>
      </w:pPr>
      <w:r w:rsidRPr="001C55F3">
        <w:rPr>
          <w:sz w:val="18"/>
          <w:szCs w:val="18"/>
          <w:lang w:val="fr-BE"/>
        </w:rPr>
        <w:t xml:space="preserve">7 Blanco, E. 2002. Flora. En: Reyero, J.M. (Ed.) </w:t>
      </w:r>
      <w:r w:rsidRPr="00151B8D">
        <w:rPr>
          <w:sz w:val="18"/>
          <w:szCs w:val="18"/>
          <w:lang w:val="nl-NL"/>
        </w:rPr>
        <w:t>La naturaleza de España, pp. 180 189. Ministerio de Medio Ambiente.</w:t>
      </w:r>
    </w:p>
    <w:p w:rsidR="001C55F3" w:rsidRPr="00151B8D" w:rsidRDefault="001C55F3" w:rsidP="001C55F3">
      <w:pPr>
        <w:spacing w:after="0" w:line="240" w:lineRule="auto"/>
        <w:rPr>
          <w:sz w:val="18"/>
          <w:szCs w:val="18"/>
          <w:lang w:val="nl-NL"/>
        </w:rPr>
      </w:pPr>
      <w:r w:rsidRPr="00151B8D">
        <w:rPr>
          <w:sz w:val="18"/>
          <w:szCs w:val="18"/>
          <w:lang w:val="nl-NL"/>
        </w:rPr>
        <w:t>8 Álvarez Cobelas, M. Catálogo de las algas de las aguas continentales españolas.</w:t>
      </w:r>
    </w:p>
    <w:p w:rsidR="001C55F3" w:rsidRPr="00151B8D" w:rsidRDefault="001C55F3" w:rsidP="001C55F3">
      <w:pPr>
        <w:spacing w:after="0" w:line="240" w:lineRule="auto"/>
        <w:rPr>
          <w:sz w:val="18"/>
          <w:szCs w:val="18"/>
          <w:lang w:val="nl-NL"/>
        </w:rPr>
      </w:pPr>
      <w:r w:rsidRPr="00151B8D">
        <w:rPr>
          <w:sz w:val="18"/>
          <w:szCs w:val="18"/>
          <w:lang w:val="nl-NL"/>
        </w:rPr>
        <w:t>http://www.sefalgas.org/enlaces/fl oras/seffl oras.html, 13 diciembre 2010.</w:t>
      </w:r>
    </w:p>
    <w:p w:rsidR="001C55F3" w:rsidRPr="001C55F3" w:rsidRDefault="001C55F3" w:rsidP="001C55F3">
      <w:pPr>
        <w:spacing w:after="0" w:line="240" w:lineRule="auto"/>
        <w:rPr>
          <w:sz w:val="18"/>
          <w:szCs w:val="18"/>
          <w:lang w:val="fr-BE"/>
        </w:rPr>
      </w:pPr>
      <w:r w:rsidRPr="001C55F3">
        <w:rPr>
          <w:sz w:val="18"/>
          <w:szCs w:val="18"/>
          <w:lang w:val="fr-BE"/>
        </w:rPr>
        <w:t xml:space="preserve">9 Sérgio, C., Brugués, M., Cros, R.M., Casas, C., &amp; Garcia, C. 2006. </w:t>
      </w:r>
      <w:r w:rsidRPr="00151B8D">
        <w:rPr>
          <w:sz w:val="18"/>
          <w:szCs w:val="18"/>
        </w:rPr>
        <w:t xml:space="preserve">The 2006 Red List and an updated Checklist of Bryophytes of the Iberian Peninsula (Portugal, Spain and Andorra). </w:t>
      </w:r>
      <w:r w:rsidRPr="001C55F3">
        <w:rPr>
          <w:sz w:val="18"/>
          <w:szCs w:val="18"/>
          <w:lang w:val="fr-BE"/>
        </w:rPr>
        <w:t>Lindbergia 31:109-126.</w:t>
      </w:r>
    </w:p>
    <w:p w:rsidR="001C55F3" w:rsidRPr="001C55F3" w:rsidRDefault="001C55F3" w:rsidP="001C55F3">
      <w:pPr>
        <w:spacing w:after="0" w:line="240" w:lineRule="auto"/>
        <w:rPr>
          <w:sz w:val="18"/>
          <w:szCs w:val="18"/>
          <w:lang w:val="fr-BE"/>
        </w:rPr>
      </w:pPr>
      <w:r w:rsidRPr="001C55F3">
        <w:rPr>
          <w:sz w:val="18"/>
          <w:szCs w:val="18"/>
          <w:lang w:val="fr-BE"/>
        </w:rPr>
        <w:t>10 Arechavaleta, M., Rodríguez, S., Zurita, N. &amp; García, A. (coord.) 2010. Lista de especies silvestres de Canarias. Hongos, plantas y animales terrestres. 2009. Gobierno de Canarias.</w:t>
      </w:r>
    </w:p>
    <w:p w:rsidR="001C55F3" w:rsidRPr="00151B8D" w:rsidRDefault="001C55F3" w:rsidP="001C55F3">
      <w:pPr>
        <w:spacing w:after="0" w:line="240" w:lineRule="auto"/>
        <w:rPr>
          <w:sz w:val="18"/>
          <w:szCs w:val="18"/>
        </w:rPr>
      </w:pPr>
      <w:r w:rsidRPr="001C55F3">
        <w:rPr>
          <w:sz w:val="18"/>
          <w:szCs w:val="18"/>
          <w:lang w:val="fr-BE"/>
        </w:rPr>
        <w:t xml:space="preserve">11 Tellería, T. 2002. Riqueza fúngica de la península Ibérica e islas Baleares. El proyecto ‘Flora micológica ibérica’. En: Pineda, F.D., J.M. de Miguel, M.A. Casado &amp; J. Montalvo (Coord.-Eds.) 2002. </w:t>
      </w:r>
      <w:r w:rsidRPr="00151B8D">
        <w:rPr>
          <w:sz w:val="18"/>
          <w:szCs w:val="18"/>
        </w:rPr>
        <w:t>La diversidad biológica de España, pp.153-160. Prentice Hall.</w:t>
      </w:r>
    </w:p>
    <w:p w:rsidR="001C55F3" w:rsidRPr="001C55F3" w:rsidRDefault="001C55F3" w:rsidP="001C55F3">
      <w:pPr>
        <w:spacing w:after="0" w:line="240" w:lineRule="auto"/>
        <w:rPr>
          <w:sz w:val="18"/>
          <w:szCs w:val="18"/>
          <w:lang w:val="fr-BE"/>
        </w:rPr>
      </w:pPr>
      <w:r w:rsidRPr="00151B8D">
        <w:rPr>
          <w:sz w:val="18"/>
          <w:szCs w:val="18"/>
        </w:rPr>
        <w:lastRenderedPageBreak/>
        <w:t xml:space="preserve">12 Llimona, X. &amp; Hladun, N. L. 2001. Checklist of the lichens and lichenicolous fungi of the Iberian Peninsula and Balearic Islands. </w:t>
      </w:r>
      <w:r w:rsidRPr="001C55F3">
        <w:rPr>
          <w:sz w:val="18"/>
          <w:szCs w:val="18"/>
          <w:lang w:val="fr-BE"/>
        </w:rPr>
        <w:t>Bocconea 14: 5-581.</w:t>
      </w:r>
    </w:p>
    <w:p w:rsidR="001C55F3" w:rsidRPr="001C55F3" w:rsidRDefault="001C55F3" w:rsidP="001C55F3">
      <w:pPr>
        <w:spacing w:after="0" w:line="240" w:lineRule="auto"/>
        <w:rPr>
          <w:sz w:val="18"/>
          <w:szCs w:val="18"/>
          <w:lang w:val="fr-BE"/>
        </w:rPr>
      </w:pPr>
      <w:r w:rsidRPr="001C55F3">
        <w:rPr>
          <w:sz w:val="18"/>
          <w:szCs w:val="18"/>
          <w:lang w:val="fr-BE"/>
        </w:rPr>
        <w:t>13 Madroño, A., González, C. &amp; Atienza, J.C. (Eds.) 2004. Libro Rojo de las Aves de España. Dirección para la Biodiversidad-SEO/BirdLife. Madrid.</w:t>
      </w:r>
    </w:p>
    <w:p w:rsidR="001C55F3" w:rsidRPr="00151B8D" w:rsidRDefault="001C55F3" w:rsidP="001C55F3">
      <w:pPr>
        <w:spacing w:after="0" w:line="240" w:lineRule="auto"/>
        <w:rPr>
          <w:sz w:val="18"/>
          <w:szCs w:val="18"/>
          <w:lang w:val="nl-NL"/>
        </w:rPr>
      </w:pPr>
      <w:r w:rsidRPr="001C55F3">
        <w:rPr>
          <w:sz w:val="18"/>
          <w:szCs w:val="18"/>
          <w:lang w:val="fr-BE"/>
        </w:rPr>
        <w:t xml:space="preserve">14 Márquez, R. &amp; Lizama, M. 2002. </w:t>
      </w:r>
      <w:r w:rsidRPr="00151B8D">
        <w:rPr>
          <w:sz w:val="18"/>
          <w:szCs w:val="18"/>
          <w:lang w:val="nl-NL"/>
        </w:rPr>
        <w:t>Conservación de los Anfi bios y Reptiles de España. En: Atlas y Libro Rojo de los Anfi bios y Reptiles de España (Pleguezuelos, J.M., R. Márquez &amp; M. Lizana, eds.). Dirección General de Conservación de la Naturaleza-Asociación Herpetológica Española (2ª impresión).Madrid: 417-453.</w:t>
      </w:r>
    </w:p>
    <w:p w:rsidR="001C55F3" w:rsidRPr="001C55F3" w:rsidRDefault="001C55F3" w:rsidP="001C55F3">
      <w:pPr>
        <w:spacing w:after="0" w:line="240" w:lineRule="auto"/>
        <w:rPr>
          <w:sz w:val="18"/>
          <w:szCs w:val="18"/>
          <w:lang w:val="fr-BE"/>
        </w:rPr>
      </w:pPr>
      <w:r w:rsidRPr="00151B8D">
        <w:rPr>
          <w:sz w:val="18"/>
          <w:szCs w:val="18"/>
          <w:lang w:val="nl-NL"/>
        </w:rPr>
        <w:t xml:space="preserve">15 Verdú, J.R. y&amp; Galante, E. (Eds.) 2008. Atlas de los Invertebrados Amenazados de España (Especies En Peligro Crítico y En Peligro). </w:t>
      </w:r>
      <w:r w:rsidRPr="001C55F3">
        <w:rPr>
          <w:sz w:val="18"/>
          <w:szCs w:val="18"/>
          <w:lang w:val="fr-BE"/>
        </w:rPr>
        <w:t>Dirección General para la Biodiversidad, Ministerio de Medio Ambiente, Madrid.</w:t>
      </w:r>
    </w:p>
    <w:p w:rsidR="001C55F3" w:rsidRPr="001C55F3" w:rsidRDefault="001C55F3" w:rsidP="001C55F3">
      <w:pPr>
        <w:spacing w:after="0" w:line="240" w:lineRule="auto"/>
        <w:rPr>
          <w:sz w:val="18"/>
          <w:szCs w:val="18"/>
          <w:lang w:val="fr-BE"/>
        </w:rPr>
      </w:pPr>
      <w:r w:rsidRPr="001C55F3">
        <w:rPr>
          <w:sz w:val="18"/>
          <w:szCs w:val="18"/>
          <w:lang w:val="fr-BE"/>
        </w:rPr>
        <w:t>16 Moreno, J.C. (Coord.) 2008. Lista Roja 2008 de la flora vascular española. Ministerio de Medio Ambiente, Medio Rural y Marino Sociedad Española de Biología de la Conservación de Plantas, Madrid.</w:t>
      </w:r>
    </w:p>
    <w:p w:rsidR="001C55F3" w:rsidRPr="001C55F3" w:rsidRDefault="001C55F3" w:rsidP="001C55F3">
      <w:pPr>
        <w:tabs>
          <w:tab w:val="left" w:pos="426"/>
        </w:tabs>
        <w:ind w:left="360"/>
        <w:rPr>
          <w:b/>
          <w:szCs w:val="20"/>
          <w:lang w:val="fr-BE"/>
        </w:rPr>
      </w:pPr>
    </w:p>
    <w:p w:rsidR="001C55F3" w:rsidRPr="00151B8D" w:rsidRDefault="001C55F3" w:rsidP="001C55F3">
      <w:pPr>
        <w:tabs>
          <w:tab w:val="left" w:pos="426"/>
        </w:tabs>
        <w:spacing w:after="0" w:line="240" w:lineRule="auto"/>
        <w:rPr>
          <w:i/>
          <w:u w:val="single"/>
        </w:rPr>
      </w:pPr>
      <w:r w:rsidRPr="00151B8D">
        <w:rPr>
          <w:i/>
        </w:rPr>
        <w:t>Marine Species Inventory</w:t>
      </w:r>
    </w:p>
    <w:p w:rsidR="001C55F3" w:rsidRPr="00151B8D" w:rsidRDefault="001C55F3" w:rsidP="001C55F3">
      <w:pPr>
        <w:spacing w:after="0" w:line="240" w:lineRule="auto"/>
      </w:pPr>
      <w:r w:rsidRPr="00151B8D">
        <w:t xml:space="preserve">The Spanish Marine Species Inventory (IEEM) shows the distribution, abundance and conservation status of marine species present in Spanish waters. The information includes the following marine groups: invertebrates, fish, reptiles, birds, mammals, phanerogams, algae and fungi. </w:t>
      </w:r>
    </w:p>
    <w:p w:rsidR="001C55F3" w:rsidRPr="00151B8D" w:rsidRDefault="001C55F3" w:rsidP="001C55F3">
      <w:pPr>
        <w:spacing w:line="240" w:lineRule="auto"/>
      </w:pPr>
      <w:r w:rsidRPr="00151B8D">
        <w:t xml:space="preserve">The collected data have been compared with those contained in the database of the European Nature Information System (EUNIS), that is used as a reference; this European framework therefore ensures reliable homogenization of all information in the IEEM data. To identify the number of species with some protection level, from the Spanish Marine Species Inventory (IEEM) contents were considered priority marine species present in the Spanish Catalogue of Endangered Species and the Endangered Species Autonomous Catalogues. The information for each taxonomic group is presented in Table 4.6. </w:t>
      </w:r>
    </w:p>
    <w:p w:rsidR="001C55F3" w:rsidRPr="00BE14DD" w:rsidRDefault="001C55F3" w:rsidP="001C55F3">
      <w:pPr>
        <w:rPr>
          <w:i/>
          <w:szCs w:val="20"/>
        </w:rPr>
      </w:pPr>
      <w:r w:rsidRPr="00BE14DD">
        <w:rPr>
          <w:i/>
          <w:szCs w:val="20"/>
        </w:rPr>
        <w:t>Table 4.6. Processed data in marine species inventory (IEEM) for each taxonomic group</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93"/>
        <w:gridCol w:w="3260"/>
        <w:gridCol w:w="3260"/>
      </w:tblGrid>
      <w:tr w:rsidR="001C55F3" w:rsidRPr="00BE14DD" w:rsidTr="001C55F3">
        <w:tc>
          <w:tcPr>
            <w:tcW w:w="2093" w:type="dxa"/>
          </w:tcPr>
          <w:p w:rsidR="001C55F3" w:rsidRPr="00BE14DD" w:rsidRDefault="001C55F3" w:rsidP="001C55F3">
            <w:pPr>
              <w:spacing w:line="240" w:lineRule="auto"/>
              <w:jc w:val="center"/>
              <w:rPr>
                <w:b/>
                <w:szCs w:val="20"/>
              </w:rPr>
            </w:pPr>
            <w:r w:rsidRPr="00BE14DD">
              <w:rPr>
                <w:b/>
                <w:szCs w:val="20"/>
              </w:rPr>
              <w:t>Group</w:t>
            </w:r>
          </w:p>
        </w:tc>
        <w:tc>
          <w:tcPr>
            <w:tcW w:w="3260" w:type="dxa"/>
          </w:tcPr>
          <w:p w:rsidR="001C55F3" w:rsidRPr="00BE14DD" w:rsidRDefault="001C55F3" w:rsidP="001C55F3">
            <w:pPr>
              <w:spacing w:line="240" w:lineRule="auto"/>
              <w:jc w:val="center"/>
              <w:rPr>
                <w:b/>
                <w:szCs w:val="20"/>
              </w:rPr>
            </w:pPr>
            <w:r w:rsidRPr="00BE14DD">
              <w:rPr>
                <w:b/>
                <w:szCs w:val="20"/>
              </w:rPr>
              <w:t>Number of identified taxonomic groups</w:t>
            </w:r>
          </w:p>
        </w:tc>
        <w:tc>
          <w:tcPr>
            <w:tcW w:w="3260" w:type="dxa"/>
          </w:tcPr>
          <w:p w:rsidR="001C55F3" w:rsidRPr="00BE14DD" w:rsidRDefault="001C55F3" w:rsidP="001C55F3">
            <w:pPr>
              <w:spacing w:line="240" w:lineRule="auto"/>
              <w:jc w:val="center"/>
              <w:rPr>
                <w:b/>
                <w:szCs w:val="20"/>
              </w:rPr>
            </w:pPr>
            <w:r w:rsidRPr="00BE14DD">
              <w:rPr>
                <w:b/>
                <w:szCs w:val="20"/>
              </w:rPr>
              <w:t>Species with some protection level</w:t>
            </w:r>
          </w:p>
        </w:tc>
      </w:tr>
      <w:tr w:rsidR="001C55F3" w:rsidRPr="00BE14DD" w:rsidTr="001C55F3">
        <w:tc>
          <w:tcPr>
            <w:tcW w:w="2093" w:type="dxa"/>
          </w:tcPr>
          <w:p w:rsidR="001C55F3" w:rsidRPr="00BE14DD" w:rsidRDefault="001C55F3" w:rsidP="001C55F3">
            <w:pPr>
              <w:spacing w:line="240" w:lineRule="auto"/>
              <w:rPr>
                <w:szCs w:val="20"/>
              </w:rPr>
            </w:pPr>
            <w:r w:rsidRPr="00BE14DD">
              <w:rPr>
                <w:szCs w:val="20"/>
              </w:rPr>
              <w:t>Phanerogams</w:t>
            </w:r>
          </w:p>
        </w:tc>
        <w:tc>
          <w:tcPr>
            <w:tcW w:w="3260" w:type="dxa"/>
          </w:tcPr>
          <w:p w:rsidR="001C55F3" w:rsidRPr="00BE14DD" w:rsidRDefault="001C55F3" w:rsidP="001C55F3">
            <w:pPr>
              <w:spacing w:line="240" w:lineRule="auto"/>
              <w:jc w:val="center"/>
              <w:rPr>
                <w:szCs w:val="20"/>
              </w:rPr>
            </w:pPr>
            <w:r w:rsidRPr="00BE14DD">
              <w:rPr>
                <w:szCs w:val="20"/>
              </w:rPr>
              <w:t>8</w:t>
            </w:r>
          </w:p>
        </w:tc>
        <w:tc>
          <w:tcPr>
            <w:tcW w:w="3260" w:type="dxa"/>
          </w:tcPr>
          <w:p w:rsidR="001C55F3" w:rsidRPr="00BE14DD" w:rsidRDefault="001C55F3" w:rsidP="001C55F3">
            <w:pPr>
              <w:spacing w:line="240" w:lineRule="auto"/>
              <w:jc w:val="center"/>
              <w:rPr>
                <w:szCs w:val="20"/>
              </w:rPr>
            </w:pPr>
            <w:r w:rsidRPr="00BE14DD">
              <w:rPr>
                <w:szCs w:val="20"/>
              </w:rPr>
              <w:t>8</w:t>
            </w:r>
          </w:p>
        </w:tc>
      </w:tr>
      <w:tr w:rsidR="001C55F3" w:rsidRPr="00BE14DD" w:rsidTr="001C55F3">
        <w:tc>
          <w:tcPr>
            <w:tcW w:w="2093" w:type="dxa"/>
          </w:tcPr>
          <w:p w:rsidR="001C55F3" w:rsidRPr="00BE14DD" w:rsidRDefault="001C55F3" w:rsidP="001C55F3">
            <w:pPr>
              <w:spacing w:line="240" w:lineRule="auto"/>
              <w:rPr>
                <w:szCs w:val="20"/>
              </w:rPr>
            </w:pPr>
            <w:r w:rsidRPr="00BE14DD">
              <w:rPr>
                <w:szCs w:val="20"/>
              </w:rPr>
              <w:t>Mammals</w:t>
            </w:r>
          </w:p>
        </w:tc>
        <w:tc>
          <w:tcPr>
            <w:tcW w:w="3260" w:type="dxa"/>
          </w:tcPr>
          <w:p w:rsidR="001C55F3" w:rsidRPr="00BE14DD" w:rsidRDefault="001C55F3" w:rsidP="001C55F3">
            <w:pPr>
              <w:spacing w:line="240" w:lineRule="auto"/>
              <w:jc w:val="center"/>
              <w:rPr>
                <w:szCs w:val="20"/>
              </w:rPr>
            </w:pPr>
            <w:r w:rsidRPr="00BE14DD">
              <w:rPr>
                <w:szCs w:val="20"/>
              </w:rPr>
              <w:t>52</w:t>
            </w:r>
          </w:p>
        </w:tc>
        <w:tc>
          <w:tcPr>
            <w:tcW w:w="3260" w:type="dxa"/>
          </w:tcPr>
          <w:p w:rsidR="001C55F3" w:rsidRPr="00BE14DD" w:rsidRDefault="001C55F3" w:rsidP="001C55F3">
            <w:pPr>
              <w:spacing w:line="240" w:lineRule="auto"/>
              <w:jc w:val="center"/>
              <w:rPr>
                <w:szCs w:val="20"/>
              </w:rPr>
            </w:pPr>
            <w:r w:rsidRPr="00BE14DD">
              <w:rPr>
                <w:szCs w:val="20"/>
              </w:rPr>
              <w:t>31</w:t>
            </w:r>
          </w:p>
        </w:tc>
      </w:tr>
      <w:tr w:rsidR="001C55F3" w:rsidRPr="00BE14DD" w:rsidTr="001C55F3">
        <w:tc>
          <w:tcPr>
            <w:tcW w:w="2093" w:type="dxa"/>
          </w:tcPr>
          <w:p w:rsidR="001C55F3" w:rsidRPr="00BE14DD" w:rsidRDefault="001C55F3" w:rsidP="001C55F3">
            <w:pPr>
              <w:spacing w:line="240" w:lineRule="auto"/>
              <w:rPr>
                <w:szCs w:val="20"/>
              </w:rPr>
            </w:pPr>
            <w:r w:rsidRPr="00BE14DD">
              <w:rPr>
                <w:szCs w:val="20"/>
              </w:rPr>
              <w:t>Algae</w:t>
            </w:r>
          </w:p>
        </w:tc>
        <w:tc>
          <w:tcPr>
            <w:tcW w:w="3260" w:type="dxa"/>
          </w:tcPr>
          <w:p w:rsidR="001C55F3" w:rsidRPr="00BE14DD" w:rsidRDefault="001C55F3" w:rsidP="001C55F3">
            <w:pPr>
              <w:spacing w:line="240" w:lineRule="auto"/>
              <w:jc w:val="center"/>
              <w:rPr>
                <w:szCs w:val="20"/>
              </w:rPr>
            </w:pPr>
            <w:r w:rsidRPr="00BE14DD">
              <w:rPr>
                <w:szCs w:val="20"/>
              </w:rPr>
              <w:t>485</w:t>
            </w:r>
          </w:p>
        </w:tc>
        <w:tc>
          <w:tcPr>
            <w:tcW w:w="3260" w:type="dxa"/>
          </w:tcPr>
          <w:p w:rsidR="001C55F3" w:rsidRPr="00BE14DD" w:rsidRDefault="001C55F3" w:rsidP="001C55F3">
            <w:pPr>
              <w:spacing w:line="240" w:lineRule="auto"/>
              <w:jc w:val="center"/>
              <w:rPr>
                <w:szCs w:val="20"/>
              </w:rPr>
            </w:pPr>
            <w:r w:rsidRPr="00BE14DD">
              <w:rPr>
                <w:szCs w:val="20"/>
              </w:rPr>
              <w:t>32</w:t>
            </w:r>
          </w:p>
        </w:tc>
      </w:tr>
      <w:tr w:rsidR="001C55F3" w:rsidRPr="00BE14DD" w:rsidTr="001C55F3">
        <w:tc>
          <w:tcPr>
            <w:tcW w:w="2093" w:type="dxa"/>
          </w:tcPr>
          <w:p w:rsidR="001C55F3" w:rsidRPr="00BE14DD" w:rsidRDefault="001C55F3" w:rsidP="001C55F3">
            <w:pPr>
              <w:spacing w:line="240" w:lineRule="auto"/>
              <w:rPr>
                <w:szCs w:val="20"/>
              </w:rPr>
            </w:pPr>
            <w:r w:rsidRPr="00BE14DD">
              <w:rPr>
                <w:szCs w:val="20"/>
              </w:rPr>
              <w:t>Fungi</w:t>
            </w:r>
          </w:p>
        </w:tc>
        <w:tc>
          <w:tcPr>
            <w:tcW w:w="3260" w:type="dxa"/>
          </w:tcPr>
          <w:p w:rsidR="001C55F3" w:rsidRPr="00BE14DD" w:rsidRDefault="001C55F3" w:rsidP="001C55F3">
            <w:pPr>
              <w:spacing w:line="240" w:lineRule="auto"/>
              <w:jc w:val="center"/>
              <w:rPr>
                <w:szCs w:val="20"/>
              </w:rPr>
            </w:pPr>
            <w:r w:rsidRPr="00BE14DD">
              <w:rPr>
                <w:szCs w:val="20"/>
              </w:rPr>
              <w:t>4</w:t>
            </w:r>
          </w:p>
        </w:tc>
        <w:tc>
          <w:tcPr>
            <w:tcW w:w="3260" w:type="dxa"/>
          </w:tcPr>
          <w:p w:rsidR="001C55F3" w:rsidRPr="00BE14DD" w:rsidRDefault="001C55F3" w:rsidP="001C55F3">
            <w:pPr>
              <w:spacing w:line="240" w:lineRule="auto"/>
              <w:jc w:val="center"/>
              <w:rPr>
                <w:szCs w:val="20"/>
              </w:rPr>
            </w:pPr>
            <w:r w:rsidRPr="00BE14DD">
              <w:rPr>
                <w:szCs w:val="20"/>
              </w:rPr>
              <w:t>0</w:t>
            </w:r>
          </w:p>
        </w:tc>
      </w:tr>
      <w:tr w:rsidR="001C55F3" w:rsidRPr="00BE14DD" w:rsidTr="001C55F3">
        <w:tc>
          <w:tcPr>
            <w:tcW w:w="2093" w:type="dxa"/>
          </w:tcPr>
          <w:p w:rsidR="001C55F3" w:rsidRPr="00BE14DD" w:rsidRDefault="001C55F3" w:rsidP="001C55F3">
            <w:pPr>
              <w:spacing w:line="240" w:lineRule="auto"/>
              <w:rPr>
                <w:szCs w:val="20"/>
              </w:rPr>
            </w:pPr>
            <w:r w:rsidRPr="00BE14DD">
              <w:rPr>
                <w:szCs w:val="20"/>
              </w:rPr>
              <w:t>Fish</w:t>
            </w:r>
          </w:p>
        </w:tc>
        <w:tc>
          <w:tcPr>
            <w:tcW w:w="3260" w:type="dxa"/>
          </w:tcPr>
          <w:p w:rsidR="001C55F3" w:rsidRPr="00BE14DD" w:rsidRDefault="001C55F3" w:rsidP="001C55F3">
            <w:pPr>
              <w:spacing w:line="240" w:lineRule="auto"/>
              <w:jc w:val="center"/>
              <w:rPr>
                <w:szCs w:val="20"/>
              </w:rPr>
            </w:pPr>
            <w:r w:rsidRPr="00BE14DD">
              <w:rPr>
                <w:szCs w:val="20"/>
              </w:rPr>
              <w:t>530</w:t>
            </w:r>
          </w:p>
        </w:tc>
        <w:tc>
          <w:tcPr>
            <w:tcW w:w="3260" w:type="dxa"/>
          </w:tcPr>
          <w:p w:rsidR="001C55F3" w:rsidRPr="00BE14DD" w:rsidRDefault="001C55F3" w:rsidP="001C55F3">
            <w:pPr>
              <w:spacing w:line="240" w:lineRule="auto"/>
              <w:jc w:val="center"/>
              <w:rPr>
                <w:szCs w:val="20"/>
              </w:rPr>
            </w:pPr>
            <w:r w:rsidRPr="00BE14DD">
              <w:rPr>
                <w:szCs w:val="20"/>
              </w:rPr>
              <w:t>28</w:t>
            </w:r>
          </w:p>
        </w:tc>
      </w:tr>
      <w:tr w:rsidR="001C55F3" w:rsidRPr="00BE14DD" w:rsidTr="001C55F3">
        <w:tc>
          <w:tcPr>
            <w:tcW w:w="2093" w:type="dxa"/>
          </w:tcPr>
          <w:p w:rsidR="001C55F3" w:rsidRPr="00BE14DD" w:rsidRDefault="001C55F3" w:rsidP="001C55F3">
            <w:pPr>
              <w:spacing w:line="240" w:lineRule="auto"/>
              <w:rPr>
                <w:szCs w:val="20"/>
              </w:rPr>
            </w:pPr>
            <w:r w:rsidRPr="00BE14DD">
              <w:rPr>
                <w:szCs w:val="20"/>
              </w:rPr>
              <w:t>Birds</w:t>
            </w:r>
          </w:p>
        </w:tc>
        <w:tc>
          <w:tcPr>
            <w:tcW w:w="3260" w:type="dxa"/>
          </w:tcPr>
          <w:p w:rsidR="001C55F3" w:rsidRPr="00BE14DD" w:rsidRDefault="001C55F3" w:rsidP="001C55F3">
            <w:pPr>
              <w:spacing w:line="240" w:lineRule="auto"/>
              <w:jc w:val="center"/>
              <w:rPr>
                <w:szCs w:val="20"/>
              </w:rPr>
            </w:pPr>
            <w:r w:rsidRPr="00BE14DD">
              <w:rPr>
                <w:szCs w:val="20"/>
              </w:rPr>
              <w:t>35</w:t>
            </w:r>
          </w:p>
        </w:tc>
        <w:tc>
          <w:tcPr>
            <w:tcW w:w="3260" w:type="dxa"/>
          </w:tcPr>
          <w:p w:rsidR="001C55F3" w:rsidRPr="00BE14DD" w:rsidRDefault="001C55F3" w:rsidP="001C55F3">
            <w:pPr>
              <w:spacing w:line="240" w:lineRule="auto"/>
              <w:jc w:val="center"/>
              <w:rPr>
                <w:szCs w:val="20"/>
              </w:rPr>
            </w:pPr>
            <w:r w:rsidRPr="00BE14DD">
              <w:rPr>
                <w:szCs w:val="20"/>
              </w:rPr>
              <w:t>31</w:t>
            </w:r>
          </w:p>
        </w:tc>
      </w:tr>
      <w:tr w:rsidR="001C55F3" w:rsidRPr="00BE14DD" w:rsidTr="001C55F3">
        <w:tc>
          <w:tcPr>
            <w:tcW w:w="2093" w:type="dxa"/>
          </w:tcPr>
          <w:p w:rsidR="001C55F3" w:rsidRPr="00BE14DD" w:rsidRDefault="001C55F3" w:rsidP="001C55F3">
            <w:pPr>
              <w:spacing w:line="240" w:lineRule="auto"/>
              <w:rPr>
                <w:szCs w:val="20"/>
              </w:rPr>
            </w:pPr>
            <w:r w:rsidRPr="00BE14DD">
              <w:rPr>
                <w:szCs w:val="20"/>
              </w:rPr>
              <w:t>Invertebrates</w:t>
            </w:r>
          </w:p>
        </w:tc>
        <w:tc>
          <w:tcPr>
            <w:tcW w:w="3260" w:type="dxa"/>
          </w:tcPr>
          <w:p w:rsidR="001C55F3" w:rsidRPr="00BE14DD" w:rsidRDefault="001C55F3" w:rsidP="001C55F3">
            <w:pPr>
              <w:spacing w:line="240" w:lineRule="auto"/>
              <w:jc w:val="center"/>
              <w:rPr>
                <w:szCs w:val="20"/>
              </w:rPr>
            </w:pPr>
            <w:r w:rsidRPr="00BE14DD">
              <w:rPr>
                <w:szCs w:val="20"/>
              </w:rPr>
              <w:t>1167</w:t>
            </w:r>
          </w:p>
        </w:tc>
        <w:tc>
          <w:tcPr>
            <w:tcW w:w="3260" w:type="dxa"/>
          </w:tcPr>
          <w:p w:rsidR="001C55F3" w:rsidRPr="00BE14DD" w:rsidRDefault="001C55F3" w:rsidP="001C55F3">
            <w:pPr>
              <w:spacing w:line="240" w:lineRule="auto"/>
              <w:jc w:val="center"/>
              <w:rPr>
                <w:szCs w:val="20"/>
              </w:rPr>
            </w:pPr>
            <w:r w:rsidRPr="00BE14DD">
              <w:rPr>
                <w:szCs w:val="20"/>
              </w:rPr>
              <w:t>61</w:t>
            </w:r>
          </w:p>
        </w:tc>
      </w:tr>
      <w:tr w:rsidR="001C55F3" w:rsidRPr="00BE14DD" w:rsidTr="001C55F3">
        <w:tc>
          <w:tcPr>
            <w:tcW w:w="2093" w:type="dxa"/>
          </w:tcPr>
          <w:p w:rsidR="001C55F3" w:rsidRPr="00BE14DD" w:rsidRDefault="001C55F3" w:rsidP="001C55F3">
            <w:pPr>
              <w:spacing w:line="240" w:lineRule="auto"/>
              <w:rPr>
                <w:szCs w:val="20"/>
              </w:rPr>
            </w:pPr>
            <w:r w:rsidRPr="00BE14DD">
              <w:rPr>
                <w:szCs w:val="20"/>
              </w:rPr>
              <w:t>Reptiles</w:t>
            </w:r>
          </w:p>
        </w:tc>
        <w:tc>
          <w:tcPr>
            <w:tcW w:w="3260" w:type="dxa"/>
          </w:tcPr>
          <w:p w:rsidR="001C55F3" w:rsidRPr="00BE14DD" w:rsidRDefault="001C55F3" w:rsidP="001C55F3">
            <w:pPr>
              <w:spacing w:line="240" w:lineRule="auto"/>
              <w:jc w:val="center"/>
              <w:rPr>
                <w:szCs w:val="20"/>
              </w:rPr>
            </w:pPr>
            <w:r w:rsidRPr="00BE14DD">
              <w:rPr>
                <w:szCs w:val="20"/>
              </w:rPr>
              <w:t>6</w:t>
            </w:r>
          </w:p>
        </w:tc>
        <w:tc>
          <w:tcPr>
            <w:tcW w:w="3260" w:type="dxa"/>
          </w:tcPr>
          <w:p w:rsidR="001C55F3" w:rsidRPr="00BE14DD" w:rsidRDefault="001C55F3" w:rsidP="001C55F3">
            <w:pPr>
              <w:spacing w:line="240" w:lineRule="auto"/>
              <w:jc w:val="center"/>
              <w:rPr>
                <w:szCs w:val="20"/>
              </w:rPr>
            </w:pPr>
            <w:r w:rsidRPr="00BE14DD">
              <w:rPr>
                <w:szCs w:val="20"/>
              </w:rPr>
              <w:t>6</w:t>
            </w:r>
          </w:p>
        </w:tc>
      </w:tr>
    </w:tbl>
    <w:p w:rsidR="001C55F3" w:rsidRPr="00BE14DD" w:rsidRDefault="001C55F3" w:rsidP="001C55F3">
      <w:pPr>
        <w:tabs>
          <w:tab w:val="left" w:pos="426"/>
        </w:tabs>
        <w:spacing w:after="0"/>
        <w:rPr>
          <w:i/>
          <w:szCs w:val="20"/>
        </w:rPr>
      </w:pPr>
    </w:p>
    <w:p w:rsidR="001C55F3" w:rsidRPr="00151B8D" w:rsidRDefault="001C55F3" w:rsidP="001C55F3">
      <w:pPr>
        <w:tabs>
          <w:tab w:val="left" w:pos="426"/>
        </w:tabs>
        <w:spacing w:after="0" w:line="240" w:lineRule="auto"/>
        <w:rPr>
          <w:i/>
          <w:u w:val="single"/>
        </w:rPr>
      </w:pPr>
      <w:r w:rsidRPr="00151B8D">
        <w:rPr>
          <w:i/>
        </w:rPr>
        <w:t>List of Wild Species with Special Protection Regime and Catalogue of Endangered Wildlife</w:t>
      </w:r>
    </w:p>
    <w:p w:rsidR="001C55F3" w:rsidRPr="00151B8D" w:rsidRDefault="001C55F3" w:rsidP="001C55F3">
      <w:pPr>
        <w:tabs>
          <w:tab w:val="left" w:pos="426"/>
        </w:tabs>
        <w:spacing w:after="0" w:line="240" w:lineRule="auto"/>
      </w:pPr>
      <w:r w:rsidRPr="00151B8D">
        <w:t>The List of Wild Species in special protection regime (LESPE in its Spanish acronym) is a public record at state level that includes "species, subspecies and wild populations which deserve particular attention and protection as a function of their scientific, ecological and/or cultural value, because of their uniqueness, rarity or degree of threat, as well as those listed as protected in the annexes to the European directives and international conventions ratified by Spain ". The Spanish Catalogue of Endangered Species (CEA in its Spanish acronym), contained in the above list includes only "taxa or populations of threatened biodiversity. Table 4.7 provides an overview.</w:t>
      </w:r>
    </w:p>
    <w:p w:rsidR="001C55F3" w:rsidRPr="00BE14DD" w:rsidRDefault="001C55F3" w:rsidP="001C55F3">
      <w:pPr>
        <w:tabs>
          <w:tab w:val="left" w:pos="426"/>
        </w:tabs>
        <w:spacing w:after="0"/>
        <w:rPr>
          <w:szCs w:val="20"/>
        </w:rPr>
      </w:pPr>
    </w:p>
    <w:p w:rsidR="001C55F3" w:rsidRPr="00BE14DD" w:rsidRDefault="001C55F3" w:rsidP="001C55F3">
      <w:pPr>
        <w:tabs>
          <w:tab w:val="left" w:pos="426"/>
        </w:tabs>
        <w:spacing w:after="0"/>
        <w:rPr>
          <w:szCs w:val="20"/>
        </w:rPr>
      </w:pPr>
    </w:p>
    <w:p w:rsidR="001C55F3" w:rsidRPr="00BE14DD" w:rsidRDefault="001C55F3" w:rsidP="001C55F3">
      <w:pPr>
        <w:tabs>
          <w:tab w:val="left" w:pos="426"/>
        </w:tabs>
        <w:rPr>
          <w:i/>
          <w:szCs w:val="20"/>
        </w:rPr>
      </w:pPr>
      <w:r w:rsidRPr="00BE14DD">
        <w:rPr>
          <w:i/>
          <w:szCs w:val="20"/>
        </w:rPr>
        <w:t xml:space="preserve">Table 4.7. Summary of the number of species by taxonomic groups included in the List </w:t>
      </w:r>
      <w:r w:rsidRPr="00BE14DD">
        <w:rPr>
          <w:szCs w:val="20"/>
        </w:rPr>
        <w:t xml:space="preserve">of Wild Species in Special Protection Regime </w:t>
      </w:r>
      <w:r w:rsidRPr="00BE14DD">
        <w:rPr>
          <w:i/>
          <w:szCs w:val="20"/>
        </w:rPr>
        <w:t xml:space="preserve">(LESPE) and </w:t>
      </w:r>
      <w:r w:rsidRPr="00BE14DD">
        <w:rPr>
          <w:szCs w:val="20"/>
        </w:rPr>
        <w:t xml:space="preserve">Catalogue of Endangered Species </w:t>
      </w:r>
      <w:r w:rsidRPr="00BE14DD">
        <w:rPr>
          <w:i/>
          <w:szCs w:val="20"/>
        </w:rPr>
        <w:t xml:space="preserve">  (CEA).</w:t>
      </w:r>
      <w:r w:rsidRPr="00BE14DD">
        <w:rPr>
          <w:szCs w:val="20"/>
        </w:rPr>
        <w:t xml:space="preserve"> Data Source: Royal Decree 139/2011, (BOE No 46, February 23, 2011, 20912 - pp. 20951.),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2"/>
        <w:gridCol w:w="1842"/>
        <w:gridCol w:w="2803"/>
        <w:gridCol w:w="1701"/>
        <w:gridCol w:w="1024"/>
      </w:tblGrid>
      <w:tr w:rsidR="001C55F3" w:rsidRPr="00151B8D" w:rsidTr="001C55F3">
        <w:tc>
          <w:tcPr>
            <w:tcW w:w="1842" w:type="dxa"/>
            <w:vMerge w:val="restart"/>
          </w:tcPr>
          <w:p w:rsidR="001C55F3" w:rsidRPr="00151B8D" w:rsidRDefault="001C55F3" w:rsidP="001C55F3">
            <w:pPr>
              <w:tabs>
                <w:tab w:val="left" w:pos="426"/>
              </w:tabs>
              <w:spacing w:line="240" w:lineRule="auto"/>
              <w:rPr>
                <w:b/>
                <w:szCs w:val="20"/>
              </w:rPr>
            </w:pPr>
            <w:r w:rsidRPr="00151B8D">
              <w:rPr>
                <w:b/>
                <w:szCs w:val="20"/>
              </w:rPr>
              <w:t>Taxonomic groups</w:t>
            </w:r>
          </w:p>
        </w:tc>
        <w:tc>
          <w:tcPr>
            <w:tcW w:w="7370" w:type="dxa"/>
            <w:gridSpan w:val="4"/>
          </w:tcPr>
          <w:p w:rsidR="001C55F3" w:rsidRPr="00151B8D" w:rsidRDefault="001C55F3" w:rsidP="001C55F3">
            <w:pPr>
              <w:tabs>
                <w:tab w:val="left" w:pos="426"/>
              </w:tabs>
              <w:spacing w:line="240" w:lineRule="auto"/>
              <w:rPr>
                <w:b/>
                <w:szCs w:val="20"/>
              </w:rPr>
            </w:pPr>
            <w:r w:rsidRPr="00151B8D">
              <w:rPr>
                <w:b/>
                <w:szCs w:val="20"/>
              </w:rPr>
              <w:t>List of Species with Special Protection Regime (LESPE)</w:t>
            </w:r>
          </w:p>
        </w:tc>
      </w:tr>
      <w:tr w:rsidR="001C55F3" w:rsidRPr="00151B8D" w:rsidTr="001C55F3">
        <w:trPr>
          <w:trHeight w:val="205"/>
        </w:trPr>
        <w:tc>
          <w:tcPr>
            <w:tcW w:w="1842" w:type="dxa"/>
            <w:vMerge/>
          </w:tcPr>
          <w:p w:rsidR="001C55F3" w:rsidRPr="00151B8D" w:rsidRDefault="001C55F3" w:rsidP="001C55F3">
            <w:pPr>
              <w:tabs>
                <w:tab w:val="left" w:pos="426"/>
              </w:tabs>
              <w:spacing w:line="240" w:lineRule="auto"/>
              <w:rPr>
                <w:b/>
                <w:szCs w:val="20"/>
              </w:rPr>
            </w:pPr>
          </w:p>
        </w:tc>
        <w:tc>
          <w:tcPr>
            <w:tcW w:w="4645" w:type="dxa"/>
            <w:gridSpan w:val="2"/>
          </w:tcPr>
          <w:p w:rsidR="001C55F3" w:rsidRPr="00151B8D" w:rsidRDefault="001C55F3" w:rsidP="001C55F3">
            <w:pPr>
              <w:tabs>
                <w:tab w:val="left" w:pos="426"/>
              </w:tabs>
              <w:spacing w:line="240" w:lineRule="auto"/>
              <w:rPr>
                <w:b/>
                <w:szCs w:val="20"/>
                <w:u w:val="single"/>
              </w:rPr>
            </w:pPr>
            <w:r w:rsidRPr="00151B8D">
              <w:rPr>
                <w:b/>
                <w:szCs w:val="20"/>
              </w:rPr>
              <w:t>Catalogue of Endangered Species (CEA)</w:t>
            </w:r>
          </w:p>
        </w:tc>
        <w:tc>
          <w:tcPr>
            <w:tcW w:w="1701" w:type="dxa"/>
            <w:vMerge w:val="restart"/>
          </w:tcPr>
          <w:p w:rsidR="001C55F3" w:rsidRPr="00151B8D" w:rsidRDefault="001C55F3" w:rsidP="001C55F3">
            <w:pPr>
              <w:tabs>
                <w:tab w:val="left" w:pos="426"/>
              </w:tabs>
              <w:spacing w:line="240" w:lineRule="auto"/>
              <w:rPr>
                <w:b/>
                <w:szCs w:val="20"/>
              </w:rPr>
            </w:pPr>
            <w:r w:rsidRPr="00151B8D">
              <w:rPr>
                <w:b/>
                <w:szCs w:val="20"/>
              </w:rPr>
              <w:t>Only LESRPE</w:t>
            </w:r>
          </w:p>
        </w:tc>
        <w:tc>
          <w:tcPr>
            <w:tcW w:w="1024" w:type="dxa"/>
            <w:vMerge w:val="restart"/>
          </w:tcPr>
          <w:p w:rsidR="001C55F3" w:rsidRPr="00151B8D" w:rsidRDefault="001C55F3" w:rsidP="001C55F3">
            <w:pPr>
              <w:tabs>
                <w:tab w:val="left" w:pos="426"/>
              </w:tabs>
              <w:spacing w:line="240" w:lineRule="auto"/>
              <w:rPr>
                <w:b/>
                <w:szCs w:val="20"/>
              </w:rPr>
            </w:pPr>
            <w:r w:rsidRPr="00151B8D">
              <w:rPr>
                <w:b/>
                <w:szCs w:val="20"/>
              </w:rPr>
              <w:t>Total</w:t>
            </w:r>
          </w:p>
        </w:tc>
      </w:tr>
      <w:tr w:rsidR="001C55F3" w:rsidRPr="00151B8D" w:rsidTr="001C55F3">
        <w:tc>
          <w:tcPr>
            <w:tcW w:w="1842" w:type="dxa"/>
            <w:vMerge/>
          </w:tcPr>
          <w:p w:rsidR="001C55F3" w:rsidRPr="00151B8D" w:rsidRDefault="001C55F3" w:rsidP="001C55F3">
            <w:pPr>
              <w:tabs>
                <w:tab w:val="left" w:pos="426"/>
              </w:tabs>
              <w:spacing w:line="240" w:lineRule="auto"/>
              <w:rPr>
                <w:b/>
                <w:szCs w:val="20"/>
              </w:rPr>
            </w:pPr>
          </w:p>
        </w:tc>
        <w:tc>
          <w:tcPr>
            <w:tcW w:w="1842" w:type="dxa"/>
          </w:tcPr>
          <w:p w:rsidR="001C55F3" w:rsidRPr="00151B8D" w:rsidRDefault="001C55F3" w:rsidP="001C55F3">
            <w:pPr>
              <w:tabs>
                <w:tab w:val="left" w:pos="426"/>
              </w:tabs>
              <w:spacing w:line="240" w:lineRule="auto"/>
              <w:rPr>
                <w:b/>
                <w:szCs w:val="20"/>
              </w:rPr>
            </w:pPr>
            <w:r w:rsidRPr="00151B8D">
              <w:rPr>
                <w:b/>
                <w:szCs w:val="20"/>
              </w:rPr>
              <w:t>Vulnerable</w:t>
            </w:r>
          </w:p>
        </w:tc>
        <w:tc>
          <w:tcPr>
            <w:tcW w:w="2803" w:type="dxa"/>
          </w:tcPr>
          <w:p w:rsidR="001C55F3" w:rsidRPr="00151B8D" w:rsidRDefault="001C55F3" w:rsidP="001C55F3">
            <w:pPr>
              <w:tabs>
                <w:tab w:val="left" w:pos="426"/>
              </w:tabs>
              <w:spacing w:line="240" w:lineRule="auto"/>
              <w:rPr>
                <w:b/>
                <w:szCs w:val="20"/>
              </w:rPr>
            </w:pPr>
            <w:r w:rsidRPr="00151B8D">
              <w:rPr>
                <w:b/>
                <w:szCs w:val="20"/>
              </w:rPr>
              <w:t>Endangered</w:t>
            </w:r>
          </w:p>
        </w:tc>
        <w:tc>
          <w:tcPr>
            <w:tcW w:w="1701" w:type="dxa"/>
            <w:vMerge/>
          </w:tcPr>
          <w:p w:rsidR="001C55F3" w:rsidRPr="00151B8D" w:rsidRDefault="001C55F3" w:rsidP="001C55F3">
            <w:pPr>
              <w:tabs>
                <w:tab w:val="left" w:pos="426"/>
              </w:tabs>
              <w:spacing w:line="240" w:lineRule="auto"/>
              <w:rPr>
                <w:b/>
                <w:szCs w:val="20"/>
              </w:rPr>
            </w:pPr>
          </w:p>
        </w:tc>
        <w:tc>
          <w:tcPr>
            <w:tcW w:w="1024" w:type="dxa"/>
            <w:vMerge/>
          </w:tcPr>
          <w:p w:rsidR="001C55F3" w:rsidRPr="00151B8D" w:rsidRDefault="001C55F3" w:rsidP="001C55F3">
            <w:pPr>
              <w:tabs>
                <w:tab w:val="left" w:pos="426"/>
              </w:tabs>
              <w:spacing w:line="240" w:lineRule="auto"/>
              <w:rPr>
                <w:b/>
                <w:szCs w:val="20"/>
              </w:rPr>
            </w:pPr>
          </w:p>
        </w:tc>
      </w:tr>
      <w:tr w:rsidR="001C55F3" w:rsidRPr="00151B8D" w:rsidTr="001C55F3">
        <w:tc>
          <w:tcPr>
            <w:tcW w:w="1842" w:type="dxa"/>
          </w:tcPr>
          <w:p w:rsidR="001C55F3" w:rsidRPr="00151B8D" w:rsidRDefault="001C55F3" w:rsidP="001C55F3">
            <w:pPr>
              <w:tabs>
                <w:tab w:val="left" w:pos="426"/>
              </w:tabs>
              <w:spacing w:line="240" w:lineRule="auto"/>
              <w:rPr>
                <w:szCs w:val="20"/>
              </w:rPr>
            </w:pPr>
            <w:r w:rsidRPr="00151B8D">
              <w:rPr>
                <w:szCs w:val="20"/>
              </w:rPr>
              <w:t>Plants</w:t>
            </w:r>
          </w:p>
        </w:tc>
        <w:tc>
          <w:tcPr>
            <w:tcW w:w="1842" w:type="dxa"/>
          </w:tcPr>
          <w:p w:rsidR="001C55F3" w:rsidRPr="00151B8D" w:rsidRDefault="001C55F3" w:rsidP="001C55F3">
            <w:pPr>
              <w:tabs>
                <w:tab w:val="left" w:pos="426"/>
              </w:tabs>
              <w:spacing w:line="240" w:lineRule="auto"/>
              <w:jc w:val="center"/>
              <w:rPr>
                <w:szCs w:val="20"/>
              </w:rPr>
            </w:pPr>
            <w:r w:rsidRPr="00151B8D">
              <w:rPr>
                <w:szCs w:val="20"/>
              </w:rPr>
              <w:t>34</w:t>
            </w:r>
          </w:p>
        </w:tc>
        <w:tc>
          <w:tcPr>
            <w:tcW w:w="2803" w:type="dxa"/>
          </w:tcPr>
          <w:p w:rsidR="001C55F3" w:rsidRPr="00151B8D" w:rsidRDefault="001C55F3" w:rsidP="001C55F3">
            <w:pPr>
              <w:tabs>
                <w:tab w:val="left" w:pos="426"/>
              </w:tabs>
              <w:spacing w:line="240" w:lineRule="auto"/>
              <w:jc w:val="center"/>
              <w:rPr>
                <w:szCs w:val="20"/>
              </w:rPr>
            </w:pPr>
            <w:r w:rsidRPr="00151B8D">
              <w:rPr>
                <w:szCs w:val="20"/>
              </w:rPr>
              <w:t>112</w:t>
            </w:r>
          </w:p>
        </w:tc>
        <w:tc>
          <w:tcPr>
            <w:tcW w:w="1701" w:type="dxa"/>
          </w:tcPr>
          <w:p w:rsidR="001C55F3" w:rsidRPr="00151B8D" w:rsidRDefault="001C55F3" w:rsidP="001C55F3">
            <w:pPr>
              <w:tabs>
                <w:tab w:val="left" w:pos="426"/>
              </w:tabs>
              <w:spacing w:line="240" w:lineRule="auto"/>
              <w:jc w:val="center"/>
              <w:rPr>
                <w:szCs w:val="20"/>
              </w:rPr>
            </w:pPr>
            <w:r w:rsidRPr="00151B8D">
              <w:rPr>
                <w:szCs w:val="20"/>
              </w:rPr>
              <w:t>163</w:t>
            </w:r>
          </w:p>
        </w:tc>
        <w:tc>
          <w:tcPr>
            <w:tcW w:w="1024" w:type="dxa"/>
          </w:tcPr>
          <w:p w:rsidR="001C55F3" w:rsidRPr="00151B8D" w:rsidRDefault="001C55F3" w:rsidP="001C55F3">
            <w:pPr>
              <w:tabs>
                <w:tab w:val="left" w:pos="426"/>
              </w:tabs>
              <w:spacing w:line="240" w:lineRule="auto"/>
              <w:jc w:val="center"/>
              <w:rPr>
                <w:szCs w:val="20"/>
              </w:rPr>
            </w:pPr>
            <w:r w:rsidRPr="00151B8D">
              <w:rPr>
                <w:szCs w:val="20"/>
              </w:rPr>
              <w:t>309</w:t>
            </w:r>
          </w:p>
        </w:tc>
      </w:tr>
      <w:tr w:rsidR="001C55F3" w:rsidRPr="00151B8D" w:rsidTr="001C55F3">
        <w:tc>
          <w:tcPr>
            <w:tcW w:w="1842" w:type="dxa"/>
          </w:tcPr>
          <w:p w:rsidR="001C55F3" w:rsidRPr="00151B8D" w:rsidRDefault="001C55F3" w:rsidP="001C55F3">
            <w:pPr>
              <w:tabs>
                <w:tab w:val="left" w:pos="426"/>
              </w:tabs>
              <w:spacing w:line="240" w:lineRule="auto"/>
              <w:rPr>
                <w:szCs w:val="20"/>
              </w:rPr>
            </w:pPr>
            <w:r w:rsidRPr="00151B8D">
              <w:rPr>
                <w:szCs w:val="20"/>
              </w:rPr>
              <w:t>Invertebrates</w:t>
            </w:r>
          </w:p>
        </w:tc>
        <w:tc>
          <w:tcPr>
            <w:tcW w:w="1842" w:type="dxa"/>
          </w:tcPr>
          <w:p w:rsidR="001C55F3" w:rsidRPr="00151B8D" w:rsidRDefault="001C55F3" w:rsidP="001C55F3">
            <w:pPr>
              <w:tabs>
                <w:tab w:val="left" w:pos="426"/>
              </w:tabs>
              <w:spacing w:line="240" w:lineRule="auto"/>
              <w:jc w:val="center"/>
              <w:rPr>
                <w:szCs w:val="20"/>
              </w:rPr>
            </w:pPr>
            <w:r w:rsidRPr="00151B8D">
              <w:rPr>
                <w:szCs w:val="20"/>
              </w:rPr>
              <w:t>14</w:t>
            </w:r>
          </w:p>
        </w:tc>
        <w:tc>
          <w:tcPr>
            <w:tcW w:w="2803" w:type="dxa"/>
          </w:tcPr>
          <w:p w:rsidR="001C55F3" w:rsidRPr="00151B8D" w:rsidRDefault="001C55F3" w:rsidP="001C55F3">
            <w:pPr>
              <w:tabs>
                <w:tab w:val="left" w:pos="426"/>
              </w:tabs>
              <w:spacing w:line="240" w:lineRule="auto"/>
              <w:jc w:val="center"/>
              <w:rPr>
                <w:szCs w:val="20"/>
              </w:rPr>
            </w:pPr>
            <w:r w:rsidRPr="00151B8D">
              <w:rPr>
                <w:szCs w:val="20"/>
              </w:rPr>
              <w:t>17</w:t>
            </w:r>
          </w:p>
        </w:tc>
        <w:tc>
          <w:tcPr>
            <w:tcW w:w="1701" w:type="dxa"/>
          </w:tcPr>
          <w:p w:rsidR="001C55F3" w:rsidRPr="00151B8D" w:rsidRDefault="001C55F3" w:rsidP="001C55F3">
            <w:pPr>
              <w:tabs>
                <w:tab w:val="left" w:pos="426"/>
              </w:tabs>
              <w:spacing w:line="240" w:lineRule="auto"/>
              <w:jc w:val="center"/>
              <w:rPr>
                <w:szCs w:val="20"/>
              </w:rPr>
            </w:pPr>
            <w:r w:rsidRPr="00151B8D">
              <w:rPr>
                <w:szCs w:val="20"/>
              </w:rPr>
              <w:t>45</w:t>
            </w:r>
          </w:p>
        </w:tc>
        <w:tc>
          <w:tcPr>
            <w:tcW w:w="1024" w:type="dxa"/>
          </w:tcPr>
          <w:p w:rsidR="001C55F3" w:rsidRPr="00151B8D" w:rsidRDefault="001C55F3" w:rsidP="001C55F3">
            <w:pPr>
              <w:tabs>
                <w:tab w:val="left" w:pos="426"/>
              </w:tabs>
              <w:spacing w:line="240" w:lineRule="auto"/>
              <w:jc w:val="center"/>
              <w:rPr>
                <w:szCs w:val="20"/>
              </w:rPr>
            </w:pPr>
            <w:r w:rsidRPr="00151B8D">
              <w:rPr>
                <w:szCs w:val="20"/>
              </w:rPr>
              <w:t>76</w:t>
            </w:r>
          </w:p>
        </w:tc>
      </w:tr>
      <w:tr w:rsidR="001C55F3" w:rsidRPr="00151B8D" w:rsidTr="001C55F3">
        <w:tc>
          <w:tcPr>
            <w:tcW w:w="1842" w:type="dxa"/>
          </w:tcPr>
          <w:p w:rsidR="001C55F3" w:rsidRPr="00151B8D" w:rsidRDefault="001C55F3" w:rsidP="001C55F3">
            <w:pPr>
              <w:tabs>
                <w:tab w:val="left" w:pos="426"/>
              </w:tabs>
              <w:spacing w:line="240" w:lineRule="auto"/>
              <w:rPr>
                <w:szCs w:val="20"/>
              </w:rPr>
            </w:pPr>
            <w:r w:rsidRPr="00151B8D">
              <w:rPr>
                <w:szCs w:val="20"/>
              </w:rPr>
              <w:t>Fish</w:t>
            </w:r>
          </w:p>
        </w:tc>
        <w:tc>
          <w:tcPr>
            <w:tcW w:w="1842" w:type="dxa"/>
          </w:tcPr>
          <w:p w:rsidR="001C55F3" w:rsidRPr="00151B8D" w:rsidRDefault="001C55F3" w:rsidP="001C55F3">
            <w:pPr>
              <w:tabs>
                <w:tab w:val="left" w:pos="426"/>
              </w:tabs>
              <w:spacing w:line="240" w:lineRule="auto"/>
              <w:jc w:val="center"/>
              <w:rPr>
                <w:szCs w:val="20"/>
              </w:rPr>
            </w:pPr>
            <w:r w:rsidRPr="00151B8D">
              <w:rPr>
                <w:szCs w:val="20"/>
              </w:rPr>
              <w:t>3</w:t>
            </w:r>
          </w:p>
        </w:tc>
        <w:tc>
          <w:tcPr>
            <w:tcW w:w="2803" w:type="dxa"/>
          </w:tcPr>
          <w:p w:rsidR="001C55F3" w:rsidRPr="00151B8D" w:rsidRDefault="001C55F3" w:rsidP="001C55F3">
            <w:pPr>
              <w:tabs>
                <w:tab w:val="left" w:pos="426"/>
              </w:tabs>
              <w:spacing w:line="240" w:lineRule="auto"/>
              <w:jc w:val="center"/>
              <w:rPr>
                <w:szCs w:val="20"/>
              </w:rPr>
            </w:pPr>
            <w:r w:rsidRPr="00151B8D">
              <w:rPr>
                <w:szCs w:val="20"/>
              </w:rPr>
              <w:t>10</w:t>
            </w:r>
          </w:p>
        </w:tc>
        <w:tc>
          <w:tcPr>
            <w:tcW w:w="1701" w:type="dxa"/>
          </w:tcPr>
          <w:p w:rsidR="001C55F3" w:rsidRPr="00151B8D" w:rsidRDefault="001C55F3" w:rsidP="001C55F3">
            <w:pPr>
              <w:tabs>
                <w:tab w:val="left" w:pos="426"/>
              </w:tabs>
              <w:spacing w:line="240" w:lineRule="auto"/>
              <w:jc w:val="center"/>
              <w:rPr>
                <w:szCs w:val="20"/>
              </w:rPr>
            </w:pPr>
            <w:r w:rsidRPr="00151B8D">
              <w:rPr>
                <w:szCs w:val="20"/>
              </w:rPr>
              <w:t>3</w:t>
            </w:r>
          </w:p>
        </w:tc>
        <w:tc>
          <w:tcPr>
            <w:tcW w:w="1024" w:type="dxa"/>
          </w:tcPr>
          <w:p w:rsidR="001C55F3" w:rsidRPr="00151B8D" w:rsidRDefault="001C55F3" w:rsidP="001C55F3">
            <w:pPr>
              <w:tabs>
                <w:tab w:val="left" w:pos="426"/>
              </w:tabs>
              <w:spacing w:line="240" w:lineRule="auto"/>
              <w:jc w:val="center"/>
              <w:rPr>
                <w:szCs w:val="20"/>
              </w:rPr>
            </w:pPr>
            <w:r w:rsidRPr="00151B8D">
              <w:rPr>
                <w:szCs w:val="20"/>
              </w:rPr>
              <w:t>16</w:t>
            </w:r>
          </w:p>
        </w:tc>
      </w:tr>
      <w:tr w:rsidR="001C55F3" w:rsidRPr="00151B8D" w:rsidTr="001C55F3">
        <w:tc>
          <w:tcPr>
            <w:tcW w:w="1842" w:type="dxa"/>
          </w:tcPr>
          <w:p w:rsidR="001C55F3" w:rsidRPr="00151B8D" w:rsidRDefault="001C55F3" w:rsidP="001C55F3">
            <w:pPr>
              <w:tabs>
                <w:tab w:val="left" w:pos="426"/>
              </w:tabs>
              <w:spacing w:line="240" w:lineRule="auto"/>
              <w:rPr>
                <w:szCs w:val="20"/>
              </w:rPr>
            </w:pPr>
            <w:r w:rsidRPr="00151B8D">
              <w:rPr>
                <w:szCs w:val="20"/>
              </w:rPr>
              <w:t>Amphibians</w:t>
            </w:r>
          </w:p>
        </w:tc>
        <w:tc>
          <w:tcPr>
            <w:tcW w:w="1842" w:type="dxa"/>
          </w:tcPr>
          <w:p w:rsidR="001C55F3" w:rsidRPr="00151B8D" w:rsidRDefault="001C55F3" w:rsidP="001C55F3">
            <w:pPr>
              <w:tabs>
                <w:tab w:val="left" w:pos="426"/>
              </w:tabs>
              <w:spacing w:line="240" w:lineRule="auto"/>
              <w:jc w:val="center"/>
              <w:rPr>
                <w:szCs w:val="20"/>
              </w:rPr>
            </w:pPr>
            <w:r w:rsidRPr="00151B8D">
              <w:rPr>
                <w:szCs w:val="20"/>
              </w:rPr>
              <w:t>6</w:t>
            </w:r>
          </w:p>
        </w:tc>
        <w:tc>
          <w:tcPr>
            <w:tcW w:w="2803" w:type="dxa"/>
          </w:tcPr>
          <w:p w:rsidR="001C55F3" w:rsidRPr="00151B8D" w:rsidRDefault="001C55F3" w:rsidP="001C55F3">
            <w:pPr>
              <w:tabs>
                <w:tab w:val="left" w:pos="426"/>
              </w:tabs>
              <w:spacing w:line="240" w:lineRule="auto"/>
              <w:jc w:val="center"/>
              <w:rPr>
                <w:szCs w:val="20"/>
              </w:rPr>
            </w:pPr>
            <w:r w:rsidRPr="00151B8D">
              <w:rPr>
                <w:szCs w:val="20"/>
              </w:rPr>
              <w:t>2</w:t>
            </w:r>
          </w:p>
        </w:tc>
        <w:tc>
          <w:tcPr>
            <w:tcW w:w="1701" w:type="dxa"/>
          </w:tcPr>
          <w:p w:rsidR="001C55F3" w:rsidRPr="00151B8D" w:rsidRDefault="001C55F3" w:rsidP="001C55F3">
            <w:pPr>
              <w:tabs>
                <w:tab w:val="left" w:pos="426"/>
              </w:tabs>
              <w:spacing w:line="240" w:lineRule="auto"/>
              <w:jc w:val="center"/>
              <w:rPr>
                <w:szCs w:val="20"/>
              </w:rPr>
            </w:pPr>
            <w:r w:rsidRPr="00151B8D">
              <w:rPr>
                <w:szCs w:val="20"/>
              </w:rPr>
              <w:t>20</w:t>
            </w:r>
          </w:p>
        </w:tc>
        <w:tc>
          <w:tcPr>
            <w:tcW w:w="1024" w:type="dxa"/>
          </w:tcPr>
          <w:p w:rsidR="001C55F3" w:rsidRPr="00151B8D" w:rsidRDefault="001C55F3" w:rsidP="001C55F3">
            <w:pPr>
              <w:tabs>
                <w:tab w:val="left" w:pos="426"/>
              </w:tabs>
              <w:spacing w:line="240" w:lineRule="auto"/>
              <w:jc w:val="center"/>
              <w:rPr>
                <w:szCs w:val="20"/>
              </w:rPr>
            </w:pPr>
            <w:r w:rsidRPr="00151B8D">
              <w:rPr>
                <w:szCs w:val="20"/>
              </w:rPr>
              <w:t>28</w:t>
            </w:r>
          </w:p>
        </w:tc>
      </w:tr>
      <w:tr w:rsidR="001C55F3" w:rsidRPr="00151B8D" w:rsidTr="001C55F3">
        <w:tc>
          <w:tcPr>
            <w:tcW w:w="1842" w:type="dxa"/>
          </w:tcPr>
          <w:p w:rsidR="001C55F3" w:rsidRPr="00151B8D" w:rsidRDefault="001C55F3" w:rsidP="001C55F3">
            <w:pPr>
              <w:tabs>
                <w:tab w:val="left" w:pos="426"/>
              </w:tabs>
              <w:spacing w:line="240" w:lineRule="auto"/>
              <w:rPr>
                <w:szCs w:val="20"/>
              </w:rPr>
            </w:pPr>
            <w:r w:rsidRPr="00151B8D">
              <w:rPr>
                <w:szCs w:val="20"/>
              </w:rPr>
              <w:t>Reptiles</w:t>
            </w:r>
          </w:p>
        </w:tc>
        <w:tc>
          <w:tcPr>
            <w:tcW w:w="1842" w:type="dxa"/>
          </w:tcPr>
          <w:p w:rsidR="001C55F3" w:rsidRPr="00151B8D" w:rsidRDefault="001C55F3" w:rsidP="001C55F3">
            <w:pPr>
              <w:tabs>
                <w:tab w:val="left" w:pos="426"/>
              </w:tabs>
              <w:spacing w:line="240" w:lineRule="auto"/>
              <w:jc w:val="center"/>
              <w:rPr>
                <w:szCs w:val="20"/>
              </w:rPr>
            </w:pPr>
            <w:r w:rsidRPr="00151B8D">
              <w:rPr>
                <w:szCs w:val="20"/>
              </w:rPr>
              <w:t>6</w:t>
            </w:r>
          </w:p>
        </w:tc>
        <w:tc>
          <w:tcPr>
            <w:tcW w:w="2803" w:type="dxa"/>
          </w:tcPr>
          <w:p w:rsidR="001C55F3" w:rsidRPr="00151B8D" w:rsidRDefault="001C55F3" w:rsidP="001C55F3">
            <w:pPr>
              <w:tabs>
                <w:tab w:val="left" w:pos="426"/>
              </w:tabs>
              <w:spacing w:line="240" w:lineRule="auto"/>
              <w:jc w:val="center"/>
              <w:rPr>
                <w:szCs w:val="20"/>
              </w:rPr>
            </w:pPr>
            <w:r w:rsidRPr="00151B8D">
              <w:rPr>
                <w:szCs w:val="20"/>
              </w:rPr>
              <w:t>7</w:t>
            </w:r>
          </w:p>
        </w:tc>
        <w:tc>
          <w:tcPr>
            <w:tcW w:w="1701" w:type="dxa"/>
          </w:tcPr>
          <w:p w:rsidR="001C55F3" w:rsidRPr="00151B8D" w:rsidRDefault="001C55F3" w:rsidP="001C55F3">
            <w:pPr>
              <w:tabs>
                <w:tab w:val="left" w:pos="426"/>
              </w:tabs>
              <w:spacing w:line="240" w:lineRule="auto"/>
              <w:jc w:val="center"/>
              <w:rPr>
                <w:szCs w:val="20"/>
              </w:rPr>
            </w:pPr>
            <w:r w:rsidRPr="00151B8D">
              <w:rPr>
                <w:szCs w:val="20"/>
              </w:rPr>
              <w:t>53</w:t>
            </w:r>
          </w:p>
        </w:tc>
        <w:tc>
          <w:tcPr>
            <w:tcW w:w="1024" w:type="dxa"/>
          </w:tcPr>
          <w:p w:rsidR="001C55F3" w:rsidRPr="00151B8D" w:rsidRDefault="001C55F3" w:rsidP="001C55F3">
            <w:pPr>
              <w:tabs>
                <w:tab w:val="left" w:pos="426"/>
              </w:tabs>
              <w:spacing w:line="240" w:lineRule="auto"/>
              <w:jc w:val="center"/>
              <w:rPr>
                <w:szCs w:val="20"/>
              </w:rPr>
            </w:pPr>
            <w:r w:rsidRPr="00151B8D">
              <w:rPr>
                <w:szCs w:val="20"/>
              </w:rPr>
              <w:t>66</w:t>
            </w:r>
          </w:p>
        </w:tc>
      </w:tr>
      <w:tr w:rsidR="001C55F3" w:rsidRPr="00151B8D" w:rsidTr="001C55F3">
        <w:tc>
          <w:tcPr>
            <w:tcW w:w="1842" w:type="dxa"/>
          </w:tcPr>
          <w:p w:rsidR="001C55F3" w:rsidRPr="00151B8D" w:rsidRDefault="001C55F3" w:rsidP="001C55F3">
            <w:pPr>
              <w:tabs>
                <w:tab w:val="left" w:pos="426"/>
              </w:tabs>
              <w:spacing w:line="240" w:lineRule="auto"/>
              <w:rPr>
                <w:szCs w:val="20"/>
              </w:rPr>
            </w:pPr>
            <w:r w:rsidRPr="00151B8D">
              <w:rPr>
                <w:szCs w:val="20"/>
              </w:rPr>
              <w:t>Birds</w:t>
            </w:r>
          </w:p>
        </w:tc>
        <w:tc>
          <w:tcPr>
            <w:tcW w:w="1842" w:type="dxa"/>
          </w:tcPr>
          <w:p w:rsidR="001C55F3" w:rsidRPr="00151B8D" w:rsidRDefault="001C55F3" w:rsidP="001C55F3">
            <w:pPr>
              <w:tabs>
                <w:tab w:val="left" w:pos="426"/>
              </w:tabs>
              <w:spacing w:line="240" w:lineRule="auto"/>
              <w:jc w:val="center"/>
              <w:rPr>
                <w:szCs w:val="20"/>
              </w:rPr>
            </w:pPr>
            <w:r w:rsidRPr="00151B8D">
              <w:rPr>
                <w:szCs w:val="20"/>
              </w:rPr>
              <w:t>31</w:t>
            </w:r>
          </w:p>
        </w:tc>
        <w:tc>
          <w:tcPr>
            <w:tcW w:w="2803" w:type="dxa"/>
          </w:tcPr>
          <w:p w:rsidR="001C55F3" w:rsidRPr="00151B8D" w:rsidRDefault="001C55F3" w:rsidP="001C55F3">
            <w:pPr>
              <w:tabs>
                <w:tab w:val="left" w:pos="426"/>
              </w:tabs>
              <w:spacing w:line="240" w:lineRule="auto"/>
              <w:jc w:val="center"/>
              <w:rPr>
                <w:szCs w:val="20"/>
              </w:rPr>
            </w:pPr>
            <w:r w:rsidRPr="00151B8D">
              <w:rPr>
                <w:szCs w:val="20"/>
              </w:rPr>
              <w:t>21</w:t>
            </w:r>
          </w:p>
        </w:tc>
        <w:tc>
          <w:tcPr>
            <w:tcW w:w="1701" w:type="dxa"/>
          </w:tcPr>
          <w:p w:rsidR="001C55F3" w:rsidRPr="00151B8D" w:rsidRDefault="001C55F3" w:rsidP="001C55F3">
            <w:pPr>
              <w:tabs>
                <w:tab w:val="left" w:pos="426"/>
              </w:tabs>
              <w:spacing w:line="240" w:lineRule="auto"/>
              <w:jc w:val="center"/>
              <w:rPr>
                <w:szCs w:val="20"/>
              </w:rPr>
            </w:pPr>
            <w:r w:rsidRPr="00151B8D">
              <w:rPr>
                <w:szCs w:val="20"/>
              </w:rPr>
              <w:t>245</w:t>
            </w:r>
          </w:p>
        </w:tc>
        <w:tc>
          <w:tcPr>
            <w:tcW w:w="1024" w:type="dxa"/>
          </w:tcPr>
          <w:p w:rsidR="001C55F3" w:rsidRPr="00151B8D" w:rsidRDefault="001C55F3" w:rsidP="001C55F3">
            <w:pPr>
              <w:tabs>
                <w:tab w:val="left" w:pos="426"/>
              </w:tabs>
              <w:spacing w:line="240" w:lineRule="auto"/>
              <w:jc w:val="center"/>
              <w:rPr>
                <w:szCs w:val="20"/>
              </w:rPr>
            </w:pPr>
            <w:r w:rsidRPr="00151B8D">
              <w:rPr>
                <w:szCs w:val="20"/>
              </w:rPr>
              <w:t>297</w:t>
            </w:r>
          </w:p>
        </w:tc>
      </w:tr>
      <w:tr w:rsidR="001C55F3" w:rsidRPr="00151B8D" w:rsidTr="001C55F3">
        <w:tc>
          <w:tcPr>
            <w:tcW w:w="1842" w:type="dxa"/>
          </w:tcPr>
          <w:p w:rsidR="001C55F3" w:rsidRPr="00151B8D" w:rsidRDefault="001C55F3" w:rsidP="001C55F3">
            <w:pPr>
              <w:tabs>
                <w:tab w:val="left" w:pos="426"/>
              </w:tabs>
              <w:spacing w:line="240" w:lineRule="auto"/>
              <w:rPr>
                <w:szCs w:val="20"/>
              </w:rPr>
            </w:pPr>
            <w:r w:rsidRPr="00151B8D">
              <w:rPr>
                <w:szCs w:val="20"/>
              </w:rPr>
              <w:t>Mammals</w:t>
            </w:r>
          </w:p>
        </w:tc>
        <w:tc>
          <w:tcPr>
            <w:tcW w:w="1842" w:type="dxa"/>
          </w:tcPr>
          <w:p w:rsidR="001C55F3" w:rsidRPr="00151B8D" w:rsidRDefault="001C55F3" w:rsidP="001C55F3">
            <w:pPr>
              <w:tabs>
                <w:tab w:val="left" w:pos="426"/>
              </w:tabs>
              <w:spacing w:line="240" w:lineRule="auto"/>
              <w:jc w:val="center"/>
              <w:rPr>
                <w:szCs w:val="20"/>
              </w:rPr>
            </w:pPr>
            <w:r w:rsidRPr="00151B8D">
              <w:rPr>
                <w:szCs w:val="20"/>
              </w:rPr>
              <w:t>26</w:t>
            </w:r>
          </w:p>
        </w:tc>
        <w:tc>
          <w:tcPr>
            <w:tcW w:w="2803" w:type="dxa"/>
          </w:tcPr>
          <w:p w:rsidR="001C55F3" w:rsidRPr="00151B8D" w:rsidRDefault="001C55F3" w:rsidP="001C55F3">
            <w:pPr>
              <w:tabs>
                <w:tab w:val="left" w:pos="426"/>
              </w:tabs>
              <w:spacing w:line="240" w:lineRule="auto"/>
              <w:jc w:val="center"/>
              <w:rPr>
                <w:szCs w:val="20"/>
              </w:rPr>
            </w:pPr>
            <w:r w:rsidRPr="00151B8D">
              <w:rPr>
                <w:szCs w:val="20"/>
              </w:rPr>
              <w:t>7</w:t>
            </w:r>
          </w:p>
        </w:tc>
        <w:tc>
          <w:tcPr>
            <w:tcW w:w="1701" w:type="dxa"/>
          </w:tcPr>
          <w:p w:rsidR="001C55F3" w:rsidRPr="00151B8D" w:rsidRDefault="001C55F3" w:rsidP="001C55F3">
            <w:pPr>
              <w:tabs>
                <w:tab w:val="left" w:pos="426"/>
              </w:tabs>
              <w:spacing w:line="240" w:lineRule="auto"/>
              <w:jc w:val="center"/>
              <w:rPr>
                <w:szCs w:val="20"/>
              </w:rPr>
            </w:pPr>
            <w:r w:rsidRPr="00151B8D">
              <w:rPr>
                <w:szCs w:val="20"/>
              </w:rPr>
              <w:t>43</w:t>
            </w:r>
          </w:p>
        </w:tc>
        <w:tc>
          <w:tcPr>
            <w:tcW w:w="1024" w:type="dxa"/>
          </w:tcPr>
          <w:p w:rsidR="001C55F3" w:rsidRPr="00151B8D" w:rsidRDefault="001C55F3" w:rsidP="001C55F3">
            <w:pPr>
              <w:tabs>
                <w:tab w:val="left" w:pos="426"/>
              </w:tabs>
              <w:spacing w:line="240" w:lineRule="auto"/>
              <w:jc w:val="center"/>
              <w:rPr>
                <w:szCs w:val="20"/>
              </w:rPr>
            </w:pPr>
            <w:r w:rsidRPr="00151B8D">
              <w:rPr>
                <w:szCs w:val="20"/>
              </w:rPr>
              <w:t>76</w:t>
            </w:r>
          </w:p>
        </w:tc>
      </w:tr>
      <w:tr w:rsidR="001C55F3" w:rsidRPr="00151B8D" w:rsidTr="001C55F3">
        <w:tc>
          <w:tcPr>
            <w:tcW w:w="1842" w:type="dxa"/>
          </w:tcPr>
          <w:p w:rsidR="001C55F3" w:rsidRPr="00151B8D" w:rsidRDefault="001C55F3" w:rsidP="001C55F3">
            <w:pPr>
              <w:tabs>
                <w:tab w:val="left" w:pos="426"/>
              </w:tabs>
              <w:spacing w:line="240" w:lineRule="auto"/>
              <w:rPr>
                <w:szCs w:val="20"/>
              </w:rPr>
            </w:pPr>
            <w:r w:rsidRPr="00151B8D">
              <w:rPr>
                <w:szCs w:val="20"/>
              </w:rPr>
              <w:t>Total</w:t>
            </w:r>
          </w:p>
        </w:tc>
        <w:tc>
          <w:tcPr>
            <w:tcW w:w="1842" w:type="dxa"/>
          </w:tcPr>
          <w:p w:rsidR="001C55F3" w:rsidRPr="00151B8D" w:rsidRDefault="001C55F3" w:rsidP="001C55F3">
            <w:pPr>
              <w:tabs>
                <w:tab w:val="left" w:pos="426"/>
              </w:tabs>
              <w:spacing w:line="240" w:lineRule="auto"/>
              <w:jc w:val="center"/>
              <w:rPr>
                <w:szCs w:val="20"/>
              </w:rPr>
            </w:pPr>
            <w:r w:rsidRPr="00151B8D">
              <w:rPr>
                <w:szCs w:val="20"/>
              </w:rPr>
              <w:t>120</w:t>
            </w:r>
          </w:p>
        </w:tc>
        <w:tc>
          <w:tcPr>
            <w:tcW w:w="2803" w:type="dxa"/>
          </w:tcPr>
          <w:p w:rsidR="001C55F3" w:rsidRPr="00151B8D" w:rsidRDefault="001C55F3" w:rsidP="001C55F3">
            <w:pPr>
              <w:tabs>
                <w:tab w:val="left" w:pos="426"/>
              </w:tabs>
              <w:spacing w:line="240" w:lineRule="auto"/>
              <w:jc w:val="center"/>
              <w:rPr>
                <w:szCs w:val="20"/>
              </w:rPr>
            </w:pPr>
            <w:r w:rsidRPr="00151B8D">
              <w:rPr>
                <w:szCs w:val="20"/>
              </w:rPr>
              <w:t>176</w:t>
            </w:r>
          </w:p>
        </w:tc>
        <w:tc>
          <w:tcPr>
            <w:tcW w:w="1701" w:type="dxa"/>
          </w:tcPr>
          <w:p w:rsidR="001C55F3" w:rsidRPr="00151B8D" w:rsidRDefault="001C55F3" w:rsidP="001C55F3">
            <w:pPr>
              <w:tabs>
                <w:tab w:val="left" w:pos="426"/>
              </w:tabs>
              <w:spacing w:line="240" w:lineRule="auto"/>
              <w:jc w:val="center"/>
              <w:rPr>
                <w:szCs w:val="20"/>
              </w:rPr>
            </w:pPr>
            <w:r w:rsidRPr="00151B8D">
              <w:rPr>
                <w:szCs w:val="20"/>
              </w:rPr>
              <w:t>572</w:t>
            </w:r>
          </w:p>
        </w:tc>
        <w:tc>
          <w:tcPr>
            <w:tcW w:w="1024" w:type="dxa"/>
          </w:tcPr>
          <w:p w:rsidR="001C55F3" w:rsidRPr="00151B8D" w:rsidRDefault="001C55F3" w:rsidP="001C55F3">
            <w:pPr>
              <w:tabs>
                <w:tab w:val="left" w:pos="426"/>
              </w:tabs>
              <w:spacing w:line="240" w:lineRule="auto"/>
              <w:jc w:val="center"/>
              <w:rPr>
                <w:szCs w:val="20"/>
              </w:rPr>
            </w:pPr>
            <w:r w:rsidRPr="00151B8D">
              <w:rPr>
                <w:szCs w:val="20"/>
              </w:rPr>
              <w:t>868</w:t>
            </w:r>
          </w:p>
        </w:tc>
      </w:tr>
    </w:tbl>
    <w:p w:rsidR="001C55F3" w:rsidRPr="00151B8D" w:rsidRDefault="001C55F3" w:rsidP="001C55F3">
      <w:pPr>
        <w:spacing w:line="240" w:lineRule="auto"/>
        <w:rPr>
          <w:b/>
          <w:u w:val="single"/>
        </w:rPr>
      </w:pPr>
    </w:p>
    <w:p w:rsidR="001C55F3" w:rsidRPr="00151B8D" w:rsidRDefault="001C55F3" w:rsidP="001C55F3">
      <w:pPr>
        <w:spacing w:line="240" w:lineRule="auto"/>
        <w:rPr>
          <w:b/>
        </w:rPr>
      </w:pPr>
      <w:r w:rsidRPr="00151B8D">
        <w:rPr>
          <w:b/>
          <w:u w:val="single"/>
        </w:rPr>
        <w:t>II. HABITAT TYPES AND ECOSYSTEMS</w:t>
      </w:r>
    </w:p>
    <w:p w:rsidR="001C55F3" w:rsidRPr="00151B8D" w:rsidRDefault="001C55F3" w:rsidP="001C55F3">
      <w:pPr>
        <w:spacing w:after="0" w:line="240" w:lineRule="auto"/>
        <w:rPr>
          <w:i/>
        </w:rPr>
      </w:pPr>
      <w:r w:rsidRPr="00151B8D">
        <w:rPr>
          <w:i/>
        </w:rPr>
        <w:t>Inventory Terrestrial Habitats</w:t>
      </w:r>
    </w:p>
    <w:p w:rsidR="001C55F3" w:rsidRPr="00151B8D" w:rsidRDefault="001C55F3" w:rsidP="001C55F3">
      <w:pPr>
        <w:spacing w:after="0" w:line="240" w:lineRule="auto"/>
      </w:pPr>
      <w:r w:rsidRPr="00151B8D">
        <w:t>The Spanish Inventory of Terrestrial Habitats (IEHT) includes information about the types of habitats present in Spain, natural and semi-natural, especially those that have been declared of community interest; natural habitat  is understood as an area of ​​land or an aquatic area differentiated by their geographical characteristics, abiotic and biotic, asa described in Law 42/2007 of Natural Heritage and Biodiversity. In this way the variety, uniqueness and status of conservation of natural terrestrial or aquatic ecosystems continental surface and groundwater is described.</w:t>
      </w:r>
    </w:p>
    <w:p w:rsidR="001C55F3" w:rsidRPr="00151B8D" w:rsidRDefault="001C55F3" w:rsidP="001C55F3">
      <w:pPr>
        <w:spacing w:after="0" w:line="240" w:lineRule="auto"/>
      </w:pPr>
      <w:r w:rsidRPr="00151B8D">
        <w:t xml:space="preserve">The IEHT is not yet implemented in 2013, but is currently under technical development regarding the development of the Inventory. Since at present there is no formal, accepted typology of ecosystems that is analogous to the binomial taxonomy of species, it will be necessary to create a list of ecosystems (in the form of a hierarchical classification) suitable for the environmental peculiarities of the Spanish territory. This classification shall include co-correspondences with other relevant typologies used in the field of planning and management of nature, such as habitat types of Community interest (Annex I of the Habitats Directive) or the ecological types of water bodies (lotic and lentic systems) defined in Spain for the implementation of the Water Framework Directive. </w:t>
      </w:r>
    </w:p>
    <w:p w:rsidR="001C55F3" w:rsidRPr="00151B8D" w:rsidRDefault="001C55F3" w:rsidP="001C55F3">
      <w:pPr>
        <w:spacing w:after="0" w:line="240" w:lineRule="auto"/>
      </w:pPr>
      <w:r w:rsidRPr="00151B8D">
        <w:t xml:space="preserve">The Spanish Working Group on Terrestrial Habitats Inventory, established within the Natural Areas Committee, has so far adopted the typology of the Corine Biotopes Manual, as a source of inspiration for the establishment of the typology to be followed in the preparation of the IEHT. </w:t>
      </w:r>
    </w:p>
    <w:p w:rsidR="001C55F3" w:rsidRPr="00151B8D" w:rsidRDefault="001C55F3" w:rsidP="001C55F3">
      <w:pPr>
        <w:spacing w:after="0" w:line="240" w:lineRule="auto"/>
        <w:rPr>
          <w:i/>
        </w:rPr>
      </w:pPr>
    </w:p>
    <w:p w:rsidR="001C55F3" w:rsidRPr="00151B8D" w:rsidRDefault="001C55F3" w:rsidP="001C55F3">
      <w:pPr>
        <w:spacing w:after="0" w:line="240" w:lineRule="auto"/>
        <w:rPr>
          <w:i/>
        </w:rPr>
      </w:pPr>
      <w:r w:rsidRPr="00151B8D">
        <w:rPr>
          <w:i/>
        </w:rPr>
        <w:t>Inventory of Marine Habitats</w:t>
      </w:r>
    </w:p>
    <w:p w:rsidR="001C55F3" w:rsidRPr="00151B8D" w:rsidRDefault="001C55F3" w:rsidP="001C55F3">
      <w:pPr>
        <w:spacing w:after="0" w:line="240" w:lineRule="auto"/>
      </w:pPr>
      <w:r w:rsidRPr="00151B8D">
        <w:t xml:space="preserve">The Spanish Inventory of Marine Habitats (IEHM) plans to collect all the information available on the types of natural and artificial marine habitats present in Spanish waters, defining natural habitat as the "terrestrial or aquatic area differentiated by their geographical characteristics, abiotic and biotic. </w:t>
      </w:r>
      <w:r w:rsidRPr="00151B8D">
        <w:lastRenderedPageBreak/>
        <w:t>The Spanish Inventory of Marine Habitats is therefore established as the instrument for collecting the distribution, abundance, state of preservation and utilization of the natural heritage, with special attention to items requiring specific conservation measures, or that have been declared of Community interest, which allow the assessment of the status and trends of these, key to the attainment of good environmental status contained in the Act 41/2010, of protection of the marine environment.</w:t>
      </w:r>
    </w:p>
    <w:p w:rsidR="001C55F3" w:rsidRDefault="001C55F3" w:rsidP="001C55F3">
      <w:pPr>
        <w:spacing w:after="0" w:line="240" w:lineRule="auto"/>
      </w:pPr>
      <w:r w:rsidRPr="00151B8D">
        <w:t>The IEHM is in a second phase of development, improvements having been made ​​in the preparation of the list of Marine Habitats of Spain, using a hierarchical classification of marine habitats, with approximately 886 Habitats identified.  From these identified habitats were considered protected 799 (as at September 2012) under the rules of HD; OSPAR Convention, the Barcelona Convention, Law 42/2007, Law 5/2007, Reglamento734_2008, and OrdenARM143 2010. The existence of the Habitat List will presume a starting point for marine spatial planning, serving as a reference for future studies.</w:t>
      </w:r>
    </w:p>
    <w:p w:rsidR="001C55F3" w:rsidRPr="00151B8D" w:rsidRDefault="001C55F3" w:rsidP="001C55F3">
      <w:pPr>
        <w:spacing w:after="0" w:line="240" w:lineRule="auto"/>
      </w:pPr>
    </w:p>
    <w:p w:rsidR="001C55F3" w:rsidRPr="00151B8D" w:rsidRDefault="001C55F3" w:rsidP="001C55F3">
      <w:pPr>
        <w:spacing w:after="0" w:line="240" w:lineRule="auto"/>
        <w:rPr>
          <w:i/>
        </w:rPr>
      </w:pPr>
      <w:r w:rsidRPr="00151B8D">
        <w:rPr>
          <w:i/>
        </w:rPr>
        <w:t>Inventory of Wetlands</w:t>
      </w:r>
    </w:p>
    <w:p w:rsidR="001C55F3" w:rsidRDefault="001C55F3" w:rsidP="001C55F3">
      <w:pPr>
        <w:spacing w:after="0" w:line="240" w:lineRule="auto"/>
      </w:pPr>
      <w:r w:rsidRPr="00151B8D">
        <w:t xml:space="preserve">The Spanish Inventory of Wetlands (IEZH), which is configured as a tool for the conservation of wetlands, records information about the number, extent and state of preservation of those wet areas that are located in national territory; these are identified in the Royal Decree 435/2004, which regulates that inventory and is developed in the article 9.3 of Law 42/2007, Natural Heritage and Biodiversity. The IEZH this still incomplete as only 4 of the 17 autonomous communities have been so </w:t>
      </w:r>
      <w:r>
        <w:t xml:space="preserve">far officially included in it. </w:t>
      </w:r>
    </w:p>
    <w:p w:rsidR="001C55F3" w:rsidRPr="00151B8D" w:rsidRDefault="001C55F3" w:rsidP="001C55F3">
      <w:pPr>
        <w:spacing w:after="0" w:line="240" w:lineRule="auto"/>
      </w:pPr>
    </w:p>
    <w:p w:rsidR="001C55F3" w:rsidRPr="00151B8D" w:rsidRDefault="001C55F3" w:rsidP="001C55F3">
      <w:pPr>
        <w:spacing w:after="0" w:line="240" w:lineRule="auto"/>
        <w:rPr>
          <w:i/>
        </w:rPr>
      </w:pPr>
      <w:r w:rsidRPr="00151B8D">
        <w:rPr>
          <w:i/>
        </w:rPr>
        <w:t>Forest Map and Inventory</w:t>
      </w:r>
    </w:p>
    <w:p w:rsidR="001C55F3" w:rsidRPr="00151B8D" w:rsidRDefault="001C55F3" w:rsidP="001C55F3">
      <w:pPr>
        <w:spacing w:after="0" w:line="240" w:lineRule="auto"/>
      </w:pPr>
      <w:r w:rsidRPr="00151B8D">
        <w:t xml:space="preserve">The Forest Map of Spain (MFE) is the basic state-wide cartography which reflects the distribution of forest ecosystems in Spain. The MFE is the result of an on-going project for periodic update that started in the last century, which constitutes the first digital vegetation mapping of thematic information for the whole country (MFE50), and continues today with the elaboration of MFE25. The main objective of the MFE, as established by Forestry Law 43/2003, is to provide cartographic information to the National Forest Inventory (IFN). </w:t>
      </w:r>
    </w:p>
    <w:p w:rsidR="001C55F3" w:rsidRPr="00151B8D" w:rsidRDefault="001C55F3" w:rsidP="001C55F3">
      <w:pPr>
        <w:spacing w:after="0" w:line="240" w:lineRule="auto"/>
      </w:pPr>
      <w:r w:rsidRPr="00151B8D">
        <w:t>The information of the MFE is very complete and valuable, since forest maps exist in it’s different versions for the entire country (since mid last century to the present). The availability of historical data to compare the evolution in time of the forest area and forest stands in Spain with certain restrictions arising from methodological changes between maps. MFE50, is a national coverage forest map at 1:50,000 scale that provides a high degree of knowledge about forests ecosystems in Spain.</w:t>
      </w:r>
    </w:p>
    <w:p w:rsidR="001C55F3" w:rsidRPr="00151B8D" w:rsidRDefault="001C55F3" w:rsidP="001C55F3">
      <w:pPr>
        <w:spacing w:line="240" w:lineRule="auto"/>
      </w:pPr>
    </w:p>
    <w:p w:rsidR="001C55F3" w:rsidRPr="00151B8D" w:rsidRDefault="001C55F3" w:rsidP="001C55F3">
      <w:pPr>
        <w:pStyle w:val="Titre3"/>
        <w:rPr>
          <w:rFonts w:asciiTheme="minorHAnsi" w:hAnsiTheme="minorHAnsi"/>
          <w:sz w:val="22"/>
        </w:rPr>
      </w:pPr>
      <w:r w:rsidRPr="00151B8D">
        <w:rPr>
          <w:rFonts w:asciiTheme="minorHAnsi" w:hAnsiTheme="minorHAnsi"/>
          <w:sz w:val="22"/>
        </w:rPr>
        <w:t>4.3.3. Ecosystem and Biodiversity informat</w:t>
      </w:r>
      <w:r>
        <w:rPr>
          <w:rFonts w:asciiTheme="minorHAnsi" w:hAnsiTheme="minorHAnsi"/>
          <w:sz w:val="22"/>
        </w:rPr>
        <w:t>ion included in the Spanish NEA</w:t>
      </w:r>
    </w:p>
    <w:p w:rsidR="001C55F3" w:rsidRPr="00151B8D" w:rsidRDefault="001C55F3" w:rsidP="001C55F3">
      <w:pPr>
        <w:spacing w:line="240" w:lineRule="auto"/>
      </w:pPr>
      <w:r w:rsidRPr="00151B8D">
        <w:t>The main challenge faced by the Spanish NEA was to give meaning to the available information from the official database (i.e. Spanish Inventory of Natural Heritage and Biodiversity), which is more or less heterogeneous and dispersed on ecological systems, social systems and their interactions. Moreover, it was considered necessary to present the results in a simple way so that they could be understood and used by a large number of groups and individuals.</w:t>
      </w:r>
    </w:p>
    <w:p w:rsidR="001C55F3" w:rsidRPr="00151B8D" w:rsidRDefault="001C55F3" w:rsidP="001C55F3">
      <w:pPr>
        <w:spacing w:line="240" w:lineRule="auto"/>
      </w:pPr>
      <w:r w:rsidRPr="00151B8D">
        <w:t>The framework adopted by the Spanish NEA represents a significant change in perspective for conservation policies in Spain, because in addition to the intrinsic values of nature, the proposal also promotes instrumental values ​​(such as provisioning services of food, clean water, pollination, soil formation, etc.), linking the conservation of ecosystems with different components of human wellbeing. This approach can also address the complex interactions that are established in the exploitation of ecosystems when given priority to a particular service to the detriment of another (trade-offs).</w:t>
      </w:r>
    </w:p>
    <w:p w:rsidR="001C55F3" w:rsidRPr="00151B8D" w:rsidRDefault="001C55F3" w:rsidP="001C55F3">
      <w:pPr>
        <w:spacing w:line="240" w:lineRule="auto"/>
        <w:rPr>
          <w:b/>
          <w:u w:val="single"/>
        </w:rPr>
      </w:pPr>
      <w:r w:rsidRPr="00151B8D">
        <w:rPr>
          <w:b/>
          <w:u w:val="single"/>
        </w:rPr>
        <w:t>I. SPECIES</w:t>
      </w:r>
    </w:p>
    <w:p w:rsidR="001C55F3" w:rsidRPr="00151B8D" w:rsidRDefault="001C55F3" w:rsidP="001C55F3">
      <w:pPr>
        <w:spacing w:line="240" w:lineRule="auto"/>
      </w:pPr>
      <w:r w:rsidRPr="00151B8D">
        <w:lastRenderedPageBreak/>
        <w:t xml:space="preserve">In recent years the Spanish national ecosystem assessments have only considered threatened species for a few taxonomic groups, such as vertebrates and plants. Thus, vertebrates are the taxonomic group with the highest rate of species assessed through the criteria of the Red Lists.  The Red List status provides a snapshot of what is happening to the assessed taxa at a given time, but it cannot give information about trends. Here, the Red List Index can compare the proportion of species in the different categories over time. The calculation of the Red List Index for vertebrates shows an increase in the proportion of threatened species since 1986 in Spain (Fig. 4.2). </w:t>
      </w:r>
    </w:p>
    <w:p w:rsidR="001C55F3" w:rsidRPr="00151B8D" w:rsidRDefault="001C55F3" w:rsidP="001C55F3">
      <w:pPr>
        <w:spacing w:line="240" w:lineRule="auto"/>
      </w:pPr>
      <w:r w:rsidRPr="00151B8D">
        <w:t xml:space="preserve">In Spain 23.6% of vertebrates species are categorized as critically endangered, endangered and vulnerable by the national assessments (for more detail per species group see figure 4.3 . </w:t>
      </w:r>
    </w:p>
    <w:p w:rsidR="001C55F3" w:rsidRPr="00151B8D" w:rsidRDefault="001C55F3" w:rsidP="001C55F3">
      <w:pPr>
        <w:spacing w:line="240" w:lineRule="auto"/>
      </w:pPr>
      <w:r w:rsidRPr="00151B8D">
        <w:t>While much less is known for other taxonomic groups or marine organisms, we found on the basis of the National Catalogue of Threatened Species and the National Red List Assessment, respectively, that on the whole, between 40% and 68% of assessed species are threatened in Spain.</w:t>
      </w:r>
    </w:p>
    <w:p w:rsidR="001C55F3" w:rsidRPr="00BE14DD" w:rsidRDefault="001C55F3" w:rsidP="001C55F3">
      <w:pPr>
        <w:autoSpaceDE w:val="0"/>
        <w:autoSpaceDN w:val="0"/>
        <w:adjustRightInd w:val="0"/>
        <w:spacing w:after="0" w:line="360" w:lineRule="auto"/>
        <w:rPr>
          <w:szCs w:val="20"/>
          <w:lang w:val="en-US"/>
        </w:rPr>
      </w:pPr>
    </w:p>
    <w:p w:rsidR="001C55F3" w:rsidRPr="00BE14DD" w:rsidRDefault="001C55F3" w:rsidP="001C55F3">
      <w:pPr>
        <w:rPr>
          <w:szCs w:val="20"/>
        </w:rPr>
      </w:pPr>
      <w:r w:rsidRPr="00BE14DD">
        <w:rPr>
          <w:rFonts w:cs="Calibri"/>
          <w:noProof/>
          <w:sz w:val="24"/>
          <w:lang w:val="fr-BE" w:eastAsia="fr-BE"/>
        </w:rPr>
        <w:drawing>
          <wp:inline distT="0" distB="0" distL="0" distR="0">
            <wp:extent cx="3838150" cy="2878613"/>
            <wp:effectExtent l="0" t="0" r="0" b="0"/>
            <wp:docPr id="122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diversidad_RLIÇ_Página_2.jpg"/>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38863" cy="2879148"/>
                    </a:xfrm>
                    <a:prstGeom prst="rect">
                      <a:avLst/>
                    </a:prstGeom>
                  </pic:spPr>
                </pic:pic>
              </a:graphicData>
            </a:graphic>
          </wp:inline>
        </w:drawing>
      </w:r>
    </w:p>
    <w:p w:rsidR="001C55F3" w:rsidRPr="00BE14DD" w:rsidRDefault="001C55F3" w:rsidP="001C55F3">
      <w:pPr>
        <w:rPr>
          <w:i/>
          <w:lang w:val="en-US"/>
        </w:rPr>
      </w:pPr>
      <w:r w:rsidRPr="00BE14DD">
        <w:rPr>
          <w:i/>
          <w:lang w:val="en-US"/>
        </w:rPr>
        <w:t xml:space="preserve">Figure 4.2. Trend of the Red List Index for Spanish vertebrates (N=233).  </w:t>
      </w:r>
      <w:r w:rsidRPr="001C55F3">
        <w:rPr>
          <w:i/>
          <w:lang w:val="fr-BE"/>
        </w:rPr>
        <w:t xml:space="preserve">(Data Sources:1.Blanco JC, González JL (1992) Libro Rojo de los Vertebrados de España. </w:t>
      </w:r>
      <w:r w:rsidRPr="00BE14DD">
        <w:rPr>
          <w:i/>
          <w:lang w:val="en-US"/>
        </w:rPr>
        <w:t xml:space="preserve">ICONA. Madrid; 2. Bubb PJ, Butchart SHM, Collen B, Dublin H, Kapos V, Pollock C, Stuart SN, Vié JC (2009) IUCN Red List Index: Guidance for National and Regional Use. </w:t>
      </w:r>
      <w:r w:rsidRPr="001C55F3">
        <w:rPr>
          <w:i/>
          <w:lang w:val="fr-BE"/>
        </w:rPr>
        <w:t xml:space="preserve">Gland, Switzerland; 3.Doadrio I (2001) Atlas y Libro Rojo de los Peces Continentales de España. </w:t>
      </w:r>
      <w:r w:rsidRPr="00BE14DD">
        <w:rPr>
          <w:i/>
          <w:lang w:val="en-US"/>
        </w:rPr>
        <w:t xml:space="preserve">National Museum of Natural Science. General Direction of Nature Conservation. </w:t>
      </w:r>
      <w:r w:rsidRPr="001C55F3">
        <w:rPr>
          <w:i/>
          <w:lang w:val="fr-BE"/>
        </w:rPr>
        <w:t xml:space="preserve">Madrid; 4.ICONA (1986) Lista roja de los vertebrados de España. ICONA, Ministerio de Agricultura, Pesca y Alimentación, Madrid; 5. Martí R, Moral JC (2003) Atlas de las Aves Reproductoras de España. </w:t>
      </w:r>
      <w:r w:rsidRPr="00BE14DD">
        <w:rPr>
          <w:i/>
          <w:lang w:val="en-US"/>
        </w:rPr>
        <w:t xml:space="preserve">Madrid, Spain: The Spanish Ministry of the Environment (Autonomous Organism of Nature Reserves) and Spanish Ortnithologist Society; 6. </w:t>
      </w:r>
      <w:r w:rsidRPr="00BE14DD">
        <w:rPr>
          <w:i/>
          <w:lang w:val="nl-NL"/>
        </w:rPr>
        <w:t xml:space="preserve">Morales J, Lizana M (2011) El estado de la biodiversidad de los vertebrados españoles. </w:t>
      </w:r>
      <w:r w:rsidRPr="001C55F3">
        <w:rPr>
          <w:i/>
          <w:lang w:val="fr-BE"/>
        </w:rPr>
        <w:t xml:space="preserve">Causa de la riqueza de especies y actualizacion taxonómica. Memorias R.Soc.Esp.Hist.Nat., 9: 285-342; 7.Palomo JL, (2007) Atlas y Libro Rojo de los mamíferos terrestres de España. </w:t>
      </w:r>
      <w:r w:rsidRPr="00BE14DD">
        <w:rPr>
          <w:i/>
          <w:lang w:val="en-US"/>
        </w:rPr>
        <w:t>Madrid, Spain: The Spanish Ministry of the Environment. Autonomous Organism of Nature Reserves; 8.Pleguezuelos JM, Márquez R (2004) Atlas y Libro Rojo de los Anfibios y Reptiles de España. Madrid, Spain: National Museum of Natural Science. General Direction of Nature Conservation.</w:t>
      </w:r>
    </w:p>
    <w:p w:rsidR="001C55F3" w:rsidRPr="00BE14DD" w:rsidRDefault="001C55F3" w:rsidP="001C55F3">
      <w:pPr>
        <w:rPr>
          <w:szCs w:val="20"/>
        </w:rPr>
      </w:pPr>
    </w:p>
    <w:p w:rsidR="001C55F3" w:rsidRPr="00BE14DD" w:rsidRDefault="001C55F3" w:rsidP="001C55F3">
      <w:pPr>
        <w:rPr>
          <w:szCs w:val="20"/>
        </w:rPr>
      </w:pPr>
    </w:p>
    <w:p w:rsidR="001C55F3" w:rsidRPr="00BE14DD" w:rsidRDefault="001C55F3" w:rsidP="001C55F3">
      <w:pPr>
        <w:spacing w:after="0" w:line="360" w:lineRule="auto"/>
        <w:jc w:val="both"/>
        <w:rPr>
          <w:rFonts w:cs="Times New Roman"/>
          <w:sz w:val="24"/>
          <w:lang w:val="en-US"/>
        </w:rPr>
      </w:pPr>
      <w:r w:rsidRPr="00BE14DD">
        <w:rPr>
          <w:noProof/>
          <w:lang w:val="fr-BE" w:eastAsia="fr-BE"/>
        </w:rPr>
        <w:drawing>
          <wp:inline distT="0" distB="0" distL="0" distR="0">
            <wp:extent cx="3415116" cy="2562225"/>
            <wp:effectExtent l="0" t="0" r="0" b="0"/>
            <wp:docPr id="1229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cstate="print"/>
                    <a:srcRect/>
                    <a:stretch>
                      <a:fillRect/>
                    </a:stretch>
                  </pic:blipFill>
                  <pic:spPr bwMode="auto">
                    <a:xfrm>
                      <a:off x="0" y="0"/>
                      <a:ext cx="3423814" cy="2568751"/>
                    </a:xfrm>
                    <a:prstGeom prst="rect">
                      <a:avLst/>
                    </a:prstGeom>
                    <a:noFill/>
                    <a:ln w="9525">
                      <a:noFill/>
                      <a:miter lim="800000"/>
                      <a:headEnd/>
                      <a:tailEnd/>
                    </a:ln>
                  </pic:spPr>
                </pic:pic>
              </a:graphicData>
            </a:graphic>
          </wp:inline>
        </w:drawing>
      </w:r>
    </w:p>
    <w:p w:rsidR="001C55F3" w:rsidRPr="00BE14DD" w:rsidRDefault="001C55F3" w:rsidP="001C55F3">
      <w:pPr>
        <w:spacing w:after="0" w:line="240" w:lineRule="auto"/>
        <w:jc w:val="both"/>
        <w:rPr>
          <w:i/>
          <w:lang w:val="es-ES"/>
        </w:rPr>
      </w:pPr>
      <w:r w:rsidRPr="00BE14DD">
        <w:rPr>
          <w:rFonts w:cs="Times New Roman"/>
          <w:i/>
          <w:lang w:val="en-US"/>
        </w:rPr>
        <w:t xml:space="preserve">Figure 4.3. Proportion of endangered vertebrates in Spain according to Spanish national assessments. (EX: extinct; EW: extinct in the wild; CR: critically endangered; EN: endangered; VU: vulnerable; LC: least concern; NT: near threatened; DD: data deficient). </w:t>
      </w:r>
      <w:r w:rsidRPr="00BE14DD">
        <w:rPr>
          <w:i/>
          <w:lang w:val="es-ES"/>
        </w:rPr>
        <w:t xml:space="preserve">(Sources: Doadrio et al. 2001, Martí and del Moral, 2003, Pleguezuelos et al. 2004, Palomo et al. 2007). </w:t>
      </w:r>
    </w:p>
    <w:p w:rsidR="001C55F3" w:rsidRPr="00BE14DD" w:rsidRDefault="001C55F3" w:rsidP="001C55F3">
      <w:pPr>
        <w:spacing w:after="0" w:line="360" w:lineRule="auto"/>
        <w:jc w:val="both"/>
        <w:rPr>
          <w:b/>
          <w:lang w:val="es-ES"/>
        </w:rPr>
      </w:pPr>
    </w:p>
    <w:p w:rsidR="001C55F3" w:rsidRPr="00151B8D" w:rsidRDefault="001C55F3" w:rsidP="001C55F3">
      <w:pPr>
        <w:spacing w:line="240" w:lineRule="auto"/>
      </w:pPr>
      <w:r w:rsidRPr="00151B8D">
        <w:t>In addition, the genetic diversity of domesticated animal species has suffered significant erosion.  According to the UN Food and Agriculture Organization’s Global Databank for Spain, out of the (approximately) 215 autochthonous animal breeds with enough data, 48% are considered at risk, and a further 8% have become extinct.</w:t>
      </w:r>
    </w:p>
    <w:p w:rsidR="001C55F3" w:rsidRPr="00151B8D" w:rsidRDefault="001C55F3" w:rsidP="001C55F3">
      <w:pPr>
        <w:spacing w:line="240" w:lineRule="auto"/>
      </w:pPr>
      <w:bookmarkStart w:id="38" w:name="_Toc329780664"/>
      <w:r w:rsidRPr="00151B8D">
        <w:t>Using data from the Terrestrial Species Inventory (Ministry of Agriculture, Food and Environment, 2007) it the spatial distribution of biodiversity was represented by taxonomic groups.  Figure 4.4 shows the species richness and number of threatened of terrestrial vertebrates in each grid of 5 km x 5 km covering the Iberian Peninsula and the Balearic and Canary Islands.</w:t>
      </w:r>
    </w:p>
    <w:p w:rsidR="001C55F3" w:rsidRPr="00BE14DD" w:rsidRDefault="001C55F3" w:rsidP="001C55F3">
      <w:pPr>
        <w:rPr>
          <w:szCs w:val="20"/>
        </w:rPr>
      </w:pPr>
      <w:r w:rsidRPr="00BE14DD">
        <w:rPr>
          <w:rFonts w:eastAsia="Times New Roman" w:cs="Arial"/>
          <w:noProof/>
          <w:lang w:val="fr-BE" w:eastAsia="fr-BE"/>
        </w:rPr>
        <w:drawing>
          <wp:anchor distT="0" distB="0" distL="114300" distR="114300" simplePos="0" relativeHeight="251662336" behindDoc="1" locked="0" layoutInCell="1" allowOverlap="1">
            <wp:simplePos x="0" y="0"/>
            <wp:positionH relativeFrom="column">
              <wp:posOffset>2820670</wp:posOffset>
            </wp:positionH>
            <wp:positionV relativeFrom="paragraph">
              <wp:posOffset>-3175</wp:posOffset>
            </wp:positionV>
            <wp:extent cx="2775585" cy="2144395"/>
            <wp:effectExtent l="0" t="0" r="5715" b="8255"/>
            <wp:wrapThrough wrapText="bothSides">
              <wp:wrapPolygon edited="0">
                <wp:start x="0" y="0"/>
                <wp:lineTo x="0" y="21491"/>
                <wp:lineTo x="21496" y="21491"/>
                <wp:lineTo x="21496" y="0"/>
                <wp:lineTo x="0" y="0"/>
              </wp:wrapPolygon>
            </wp:wrapThrough>
            <wp:docPr id="122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diversidad3_Ingles.jpg"/>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75585" cy="2144395"/>
                    </a:xfrm>
                    <a:prstGeom prst="rect">
                      <a:avLst/>
                    </a:prstGeom>
                  </pic:spPr>
                </pic:pic>
              </a:graphicData>
            </a:graphic>
          </wp:anchor>
        </w:drawing>
      </w:r>
      <w:r w:rsidRPr="00BE14DD">
        <w:rPr>
          <w:noProof/>
          <w:szCs w:val="20"/>
          <w:lang w:val="fr-BE" w:eastAsia="fr-BE"/>
        </w:rPr>
        <w:drawing>
          <wp:inline distT="0" distB="0" distL="0" distR="0">
            <wp:extent cx="2741793" cy="2118603"/>
            <wp:effectExtent l="0" t="0" r="1905" b="0"/>
            <wp:docPr id="122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4_TotAmenazadas4_Ingles.jpg"/>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43619" cy="2120014"/>
                    </a:xfrm>
                    <a:prstGeom prst="rect">
                      <a:avLst/>
                    </a:prstGeom>
                  </pic:spPr>
                </pic:pic>
              </a:graphicData>
            </a:graphic>
          </wp:inline>
        </w:drawing>
      </w:r>
    </w:p>
    <w:p w:rsidR="001C55F3" w:rsidRPr="00BE14DD" w:rsidRDefault="001C55F3" w:rsidP="001C55F3">
      <w:pPr>
        <w:rPr>
          <w:rFonts w:cs="MyriadPro-Regular"/>
          <w:i/>
          <w:color w:val="000000"/>
          <w:szCs w:val="20"/>
        </w:rPr>
      </w:pPr>
      <w:r w:rsidRPr="00BE14DD">
        <w:rPr>
          <w:rFonts w:cs="MyriadPro-Regular"/>
          <w:i/>
          <w:color w:val="000000"/>
          <w:szCs w:val="20"/>
        </w:rPr>
        <w:t>Figure 4.4. Spatial distribution of terrestrial vertebrate in Spain. (Data source: Spanish inventory of terrestrial species. Ministry of Agriculture, Food and Environment, 2007</w:t>
      </w:r>
      <w:r w:rsidRPr="00BE14DD">
        <w:rPr>
          <w:i/>
        </w:rPr>
        <w:t>)</w:t>
      </w:r>
    </w:p>
    <w:p w:rsidR="001C55F3" w:rsidRPr="00151B8D" w:rsidRDefault="001C55F3" w:rsidP="001C55F3">
      <w:pPr>
        <w:spacing w:line="240" w:lineRule="auto"/>
      </w:pPr>
      <w:r w:rsidRPr="00151B8D">
        <w:lastRenderedPageBreak/>
        <w:t>GIS analysis indicates that there is indeed a spatial correspondence between the two maps above.  The positive significant correlation in each grid means that in those areas where there are many species of vertebrates, there are also many endangered species.  When we compare biodiversity maps with ecosystem maps its shown that forest and mountain ecosystems have the greatest species richness and the highest number of threatened vertebrates (Table 4.7). Coastal and arid ecosystems have the lowest levels of vertebrate richness and threatened species. It is also important to highlight that there is a bias in the spatial biodiversity data because there are areas in which there has been a greater effort to study its biodiversity than others and, as a result, in such areas this results in a greater number of recorded species, both species richness and threatened species.</w:t>
      </w:r>
    </w:p>
    <w:p w:rsidR="001C55F3" w:rsidRPr="00151B8D" w:rsidRDefault="001C55F3" w:rsidP="001C55F3">
      <w:pPr>
        <w:spacing w:line="240" w:lineRule="auto"/>
      </w:pPr>
    </w:p>
    <w:p w:rsidR="001C55F3" w:rsidRPr="00BE14DD" w:rsidRDefault="001C55F3" w:rsidP="001C55F3">
      <w:pPr>
        <w:rPr>
          <w:i/>
          <w:szCs w:val="20"/>
        </w:rPr>
      </w:pPr>
      <w:r w:rsidRPr="00BE14DD">
        <w:rPr>
          <w:i/>
          <w:szCs w:val="20"/>
        </w:rPr>
        <w:t>Table 4.7. Average number of species in each ecosystem type and by taxonomic groups. The table was developed through an GIS-analysis that based on an overlay of the map with ecosystem types with the map of species occurring (see figure 4.7) calculated the average richness and number of threatened species occurring in each ecosystem.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1418"/>
        <w:gridCol w:w="1339"/>
        <w:gridCol w:w="1637"/>
        <w:gridCol w:w="1560"/>
        <w:gridCol w:w="1383"/>
      </w:tblGrid>
      <w:tr w:rsidR="001C55F3" w:rsidRPr="00BE14DD" w:rsidTr="001C55F3">
        <w:tc>
          <w:tcPr>
            <w:tcW w:w="1951" w:type="dxa"/>
          </w:tcPr>
          <w:p w:rsidR="001C55F3" w:rsidRPr="00BE14DD" w:rsidRDefault="001C55F3" w:rsidP="001C55F3">
            <w:pPr>
              <w:spacing w:line="240" w:lineRule="auto"/>
              <w:rPr>
                <w:b/>
                <w:sz w:val="18"/>
                <w:szCs w:val="18"/>
              </w:rPr>
            </w:pPr>
            <w:r w:rsidRPr="00BE14DD">
              <w:rPr>
                <w:b/>
                <w:sz w:val="18"/>
                <w:szCs w:val="18"/>
              </w:rPr>
              <w:t>Ecosystem</w:t>
            </w:r>
          </w:p>
        </w:tc>
        <w:tc>
          <w:tcPr>
            <w:tcW w:w="1418" w:type="dxa"/>
          </w:tcPr>
          <w:p w:rsidR="001C55F3" w:rsidRPr="00BE14DD" w:rsidRDefault="001C55F3" w:rsidP="001C55F3">
            <w:pPr>
              <w:spacing w:line="240" w:lineRule="auto"/>
              <w:rPr>
                <w:b/>
                <w:sz w:val="18"/>
                <w:szCs w:val="18"/>
              </w:rPr>
            </w:pPr>
            <w:r w:rsidRPr="00BE14DD">
              <w:rPr>
                <w:b/>
                <w:sz w:val="18"/>
                <w:szCs w:val="18"/>
              </w:rPr>
              <w:t>Vertebrate richness</w:t>
            </w:r>
          </w:p>
        </w:tc>
        <w:tc>
          <w:tcPr>
            <w:tcW w:w="1339" w:type="dxa"/>
          </w:tcPr>
          <w:p w:rsidR="001C55F3" w:rsidRPr="00BE14DD" w:rsidRDefault="001C55F3" w:rsidP="001C55F3">
            <w:pPr>
              <w:spacing w:line="240" w:lineRule="auto"/>
              <w:rPr>
                <w:b/>
                <w:sz w:val="18"/>
                <w:szCs w:val="18"/>
              </w:rPr>
            </w:pPr>
            <w:r w:rsidRPr="00BE14DD">
              <w:rPr>
                <w:b/>
                <w:sz w:val="18"/>
                <w:szCs w:val="18"/>
              </w:rPr>
              <w:t>Vertebrate threatened</w:t>
            </w:r>
          </w:p>
        </w:tc>
        <w:tc>
          <w:tcPr>
            <w:tcW w:w="1637" w:type="dxa"/>
          </w:tcPr>
          <w:p w:rsidR="001C55F3" w:rsidRPr="00BE14DD" w:rsidRDefault="001C55F3" w:rsidP="001C55F3">
            <w:pPr>
              <w:spacing w:line="240" w:lineRule="auto"/>
              <w:rPr>
                <w:b/>
                <w:sz w:val="18"/>
                <w:szCs w:val="18"/>
              </w:rPr>
            </w:pPr>
            <w:r w:rsidRPr="00BE14DD">
              <w:rPr>
                <w:b/>
                <w:sz w:val="18"/>
                <w:szCs w:val="18"/>
              </w:rPr>
              <w:t>Invertebrate threatened</w:t>
            </w:r>
          </w:p>
        </w:tc>
        <w:tc>
          <w:tcPr>
            <w:tcW w:w="1560" w:type="dxa"/>
          </w:tcPr>
          <w:p w:rsidR="001C55F3" w:rsidRPr="00BE14DD" w:rsidRDefault="001C55F3" w:rsidP="001C55F3">
            <w:pPr>
              <w:spacing w:line="240" w:lineRule="auto"/>
              <w:rPr>
                <w:b/>
                <w:sz w:val="18"/>
                <w:szCs w:val="18"/>
              </w:rPr>
            </w:pPr>
            <w:r w:rsidRPr="00BE14DD">
              <w:rPr>
                <w:b/>
                <w:sz w:val="18"/>
                <w:szCs w:val="18"/>
              </w:rPr>
              <w:t>Plants</w:t>
            </w:r>
          </w:p>
          <w:p w:rsidR="001C55F3" w:rsidRPr="00BE14DD" w:rsidRDefault="001C55F3" w:rsidP="001C55F3">
            <w:pPr>
              <w:spacing w:line="240" w:lineRule="auto"/>
              <w:rPr>
                <w:b/>
                <w:sz w:val="18"/>
                <w:szCs w:val="18"/>
              </w:rPr>
            </w:pPr>
            <w:r w:rsidRPr="00BE14DD">
              <w:rPr>
                <w:b/>
                <w:sz w:val="18"/>
                <w:szCs w:val="18"/>
              </w:rPr>
              <w:t>threatened</w:t>
            </w:r>
          </w:p>
        </w:tc>
        <w:tc>
          <w:tcPr>
            <w:tcW w:w="1383" w:type="dxa"/>
          </w:tcPr>
          <w:p w:rsidR="001C55F3" w:rsidRPr="00BE14DD" w:rsidRDefault="001C55F3" w:rsidP="001C55F3">
            <w:pPr>
              <w:spacing w:line="240" w:lineRule="auto"/>
              <w:rPr>
                <w:b/>
                <w:sz w:val="18"/>
                <w:szCs w:val="18"/>
              </w:rPr>
            </w:pPr>
            <w:r w:rsidRPr="00BE14DD">
              <w:rPr>
                <w:b/>
                <w:sz w:val="18"/>
                <w:szCs w:val="18"/>
              </w:rPr>
              <w:t>Total</w:t>
            </w:r>
          </w:p>
          <w:p w:rsidR="001C55F3" w:rsidRPr="00BE14DD" w:rsidRDefault="001C55F3" w:rsidP="001C55F3">
            <w:pPr>
              <w:spacing w:line="240" w:lineRule="auto"/>
              <w:rPr>
                <w:b/>
                <w:sz w:val="18"/>
                <w:szCs w:val="18"/>
              </w:rPr>
            </w:pPr>
            <w:r w:rsidRPr="00BE14DD">
              <w:rPr>
                <w:b/>
                <w:sz w:val="18"/>
                <w:szCs w:val="18"/>
              </w:rPr>
              <w:t>Threatened</w:t>
            </w:r>
          </w:p>
          <w:p w:rsidR="001C55F3" w:rsidRPr="00BE14DD" w:rsidRDefault="001C55F3" w:rsidP="001C55F3">
            <w:pPr>
              <w:spacing w:line="240" w:lineRule="auto"/>
              <w:rPr>
                <w:b/>
                <w:sz w:val="18"/>
                <w:szCs w:val="18"/>
              </w:rPr>
            </w:pPr>
            <w:r w:rsidRPr="00BE14DD">
              <w:rPr>
                <w:b/>
                <w:sz w:val="18"/>
                <w:szCs w:val="18"/>
              </w:rPr>
              <w:t>Species</w:t>
            </w:r>
          </w:p>
        </w:tc>
      </w:tr>
      <w:tr w:rsidR="001C55F3" w:rsidRPr="00BE14DD" w:rsidTr="001C55F3">
        <w:tc>
          <w:tcPr>
            <w:tcW w:w="1951" w:type="dxa"/>
          </w:tcPr>
          <w:p w:rsidR="001C55F3" w:rsidRPr="00BE14DD" w:rsidRDefault="001C55F3" w:rsidP="001C55F3">
            <w:pPr>
              <w:spacing w:line="240" w:lineRule="auto"/>
              <w:rPr>
                <w:sz w:val="18"/>
                <w:szCs w:val="18"/>
              </w:rPr>
            </w:pPr>
            <w:r w:rsidRPr="00BE14DD">
              <w:rPr>
                <w:sz w:val="18"/>
                <w:szCs w:val="18"/>
              </w:rPr>
              <w:t>Agroecosytems</w:t>
            </w:r>
          </w:p>
        </w:tc>
        <w:tc>
          <w:tcPr>
            <w:tcW w:w="1418" w:type="dxa"/>
            <w:vAlign w:val="bottom"/>
          </w:tcPr>
          <w:p w:rsidR="001C55F3" w:rsidRPr="00BE14DD" w:rsidRDefault="001C55F3" w:rsidP="001C55F3">
            <w:pPr>
              <w:spacing w:line="240" w:lineRule="auto"/>
              <w:rPr>
                <w:sz w:val="18"/>
                <w:szCs w:val="18"/>
              </w:rPr>
            </w:pPr>
            <w:r w:rsidRPr="00BE14DD">
              <w:rPr>
                <w:sz w:val="18"/>
                <w:szCs w:val="18"/>
              </w:rPr>
              <w:t>105,73</w:t>
            </w:r>
          </w:p>
        </w:tc>
        <w:tc>
          <w:tcPr>
            <w:tcW w:w="1339" w:type="dxa"/>
            <w:vAlign w:val="bottom"/>
          </w:tcPr>
          <w:p w:rsidR="001C55F3" w:rsidRPr="00BE14DD" w:rsidRDefault="001C55F3" w:rsidP="001C55F3">
            <w:pPr>
              <w:spacing w:line="240" w:lineRule="auto"/>
              <w:rPr>
                <w:sz w:val="18"/>
                <w:szCs w:val="18"/>
              </w:rPr>
            </w:pPr>
            <w:r w:rsidRPr="00BE14DD">
              <w:rPr>
                <w:sz w:val="18"/>
                <w:szCs w:val="18"/>
              </w:rPr>
              <w:t>12,77</w:t>
            </w:r>
          </w:p>
        </w:tc>
        <w:tc>
          <w:tcPr>
            <w:tcW w:w="1637" w:type="dxa"/>
            <w:vAlign w:val="bottom"/>
          </w:tcPr>
          <w:p w:rsidR="001C55F3" w:rsidRPr="00BE14DD" w:rsidRDefault="001C55F3" w:rsidP="001C55F3">
            <w:pPr>
              <w:spacing w:line="240" w:lineRule="auto"/>
              <w:rPr>
                <w:sz w:val="18"/>
                <w:szCs w:val="18"/>
              </w:rPr>
            </w:pPr>
            <w:r w:rsidRPr="00BE14DD">
              <w:rPr>
                <w:sz w:val="18"/>
                <w:szCs w:val="18"/>
              </w:rPr>
              <w:t>1,17</w:t>
            </w:r>
          </w:p>
        </w:tc>
        <w:tc>
          <w:tcPr>
            <w:tcW w:w="1560" w:type="dxa"/>
            <w:vAlign w:val="bottom"/>
          </w:tcPr>
          <w:p w:rsidR="001C55F3" w:rsidRPr="00BE14DD" w:rsidRDefault="001C55F3" w:rsidP="001C55F3">
            <w:pPr>
              <w:spacing w:line="240" w:lineRule="auto"/>
              <w:rPr>
                <w:sz w:val="18"/>
                <w:szCs w:val="18"/>
              </w:rPr>
            </w:pPr>
            <w:r w:rsidRPr="00BE14DD">
              <w:rPr>
                <w:sz w:val="18"/>
                <w:szCs w:val="18"/>
              </w:rPr>
              <w:t>1,36</w:t>
            </w:r>
          </w:p>
        </w:tc>
        <w:tc>
          <w:tcPr>
            <w:tcW w:w="1383" w:type="dxa"/>
            <w:vAlign w:val="bottom"/>
          </w:tcPr>
          <w:p w:rsidR="001C55F3" w:rsidRPr="00BE14DD" w:rsidRDefault="001C55F3" w:rsidP="001C55F3">
            <w:pPr>
              <w:spacing w:line="240" w:lineRule="auto"/>
              <w:rPr>
                <w:sz w:val="18"/>
                <w:szCs w:val="18"/>
              </w:rPr>
            </w:pPr>
            <w:r w:rsidRPr="00BE14DD">
              <w:rPr>
                <w:sz w:val="18"/>
                <w:szCs w:val="18"/>
              </w:rPr>
              <w:t>13,01</w:t>
            </w:r>
          </w:p>
        </w:tc>
      </w:tr>
      <w:tr w:rsidR="001C55F3" w:rsidRPr="00BE14DD" w:rsidTr="001C55F3">
        <w:tc>
          <w:tcPr>
            <w:tcW w:w="1951" w:type="dxa"/>
          </w:tcPr>
          <w:p w:rsidR="001C55F3" w:rsidRPr="00BE14DD" w:rsidRDefault="001C55F3" w:rsidP="001C55F3">
            <w:pPr>
              <w:spacing w:line="240" w:lineRule="auto"/>
              <w:rPr>
                <w:sz w:val="18"/>
                <w:szCs w:val="18"/>
              </w:rPr>
            </w:pPr>
            <w:r w:rsidRPr="00BE14DD">
              <w:rPr>
                <w:sz w:val="18"/>
                <w:szCs w:val="18"/>
              </w:rPr>
              <w:t>Arid zones</w:t>
            </w:r>
          </w:p>
        </w:tc>
        <w:tc>
          <w:tcPr>
            <w:tcW w:w="1418" w:type="dxa"/>
            <w:vAlign w:val="bottom"/>
          </w:tcPr>
          <w:p w:rsidR="001C55F3" w:rsidRPr="00BE14DD" w:rsidRDefault="001C55F3" w:rsidP="001C55F3">
            <w:pPr>
              <w:spacing w:line="240" w:lineRule="auto"/>
              <w:rPr>
                <w:sz w:val="18"/>
                <w:szCs w:val="18"/>
              </w:rPr>
            </w:pPr>
            <w:r w:rsidRPr="00BE14DD">
              <w:rPr>
                <w:sz w:val="18"/>
                <w:szCs w:val="18"/>
              </w:rPr>
              <w:t>79,16</w:t>
            </w:r>
          </w:p>
        </w:tc>
        <w:tc>
          <w:tcPr>
            <w:tcW w:w="1339" w:type="dxa"/>
            <w:vAlign w:val="bottom"/>
          </w:tcPr>
          <w:p w:rsidR="001C55F3" w:rsidRPr="00BE14DD" w:rsidRDefault="001C55F3" w:rsidP="001C55F3">
            <w:pPr>
              <w:spacing w:line="240" w:lineRule="auto"/>
              <w:rPr>
                <w:sz w:val="18"/>
                <w:szCs w:val="18"/>
              </w:rPr>
            </w:pPr>
            <w:r w:rsidRPr="00BE14DD">
              <w:rPr>
                <w:sz w:val="18"/>
                <w:szCs w:val="18"/>
              </w:rPr>
              <w:t>8,96</w:t>
            </w:r>
          </w:p>
        </w:tc>
        <w:tc>
          <w:tcPr>
            <w:tcW w:w="1637" w:type="dxa"/>
            <w:vAlign w:val="bottom"/>
          </w:tcPr>
          <w:p w:rsidR="001C55F3" w:rsidRPr="00BE14DD" w:rsidRDefault="001C55F3" w:rsidP="001C55F3">
            <w:pPr>
              <w:spacing w:line="240" w:lineRule="auto"/>
              <w:rPr>
                <w:sz w:val="18"/>
                <w:szCs w:val="18"/>
              </w:rPr>
            </w:pPr>
            <w:r w:rsidRPr="00BE14DD">
              <w:rPr>
                <w:sz w:val="18"/>
                <w:szCs w:val="18"/>
              </w:rPr>
              <w:t>1,24</w:t>
            </w:r>
          </w:p>
        </w:tc>
        <w:tc>
          <w:tcPr>
            <w:tcW w:w="1560" w:type="dxa"/>
            <w:vAlign w:val="bottom"/>
          </w:tcPr>
          <w:p w:rsidR="001C55F3" w:rsidRPr="00BE14DD" w:rsidRDefault="001C55F3" w:rsidP="001C55F3">
            <w:pPr>
              <w:spacing w:line="240" w:lineRule="auto"/>
              <w:rPr>
                <w:sz w:val="18"/>
                <w:szCs w:val="18"/>
              </w:rPr>
            </w:pPr>
            <w:r w:rsidRPr="00BE14DD">
              <w:rPr>
                <w:sz w:val="18"/>
                <w:szCs w:val="18"/>
              </w:rPr>
              <w:t>1,30</w:t>
            </w:r>
          </w:p>
        </w:tc>
        <w:tc>
          <w:tcPr>
            <w:tcW w:w="1383" w:type="dxa"/>
            <w:vAlign w:val="bottom"/>
          </w:tcPr>
          <w:p w:rsidR="001C55F3" w:rsidRPr="00BE14DD" w:rsidRDefault="001C55F3" w:rsidP="001C55F3">
            <w:pPr>
              <w:spacing w:line="240" w:lineRule="auto"/>
              <w:rPr>
                <w:sz w:val="18"/>
                <w:szCs w:val="18"/>
              </w:rPr>
            </w:pPr>
            <w:r w:rsidRPr="00BE14DD">
              <w:rPr>
                <w:sz w:val="18"/>
                <w:szCs w:val="18"/>
              </w:rPr>
              <w:t>9,61</w:t>
            </w:r>
          </w:p>
        </w:tc>
      </w:tr>
      <w:tr w:rsidR="001C55F3" w:rsidRPr="00BE14DD" w:rsidTr="001C55F3">
        <w:tc>
          <w:tcPr>
            <w:tcW w:w="1951" w:type="dxa"/>
          </w:tcPr>
          <w:p w:rsidR="001C55F3" w:rsidRPr="00BE14DD" w:rsidRDefault="001C55F3" w:rsidP="001C55F3">
            <w:pPr>
              <w:spacing w:line="240" w:lineRule="auto"/>
              <w:rPr>
                <w:sz w:val="18"/>
                <w:szCs w:val="18"/>
              </w:rPr>
            </w:pPr>
            <w:r w:rsidRPr="00BE14DD">
              <w:rPr>
                <w:sz w:val="18"/>
                <w:szCs w:val="18"/>
              </w:rPr>
              <w:t>Atlantic forest</w:t>
            </w:r>
          </w:p>
        </w:tc>
        <w:tc>
          <w:tcPr>
            <w:tcW w:w="1418" w:type="dxa"/>
            <w:vAlign w:val="bottom"/>
          </w:tcPr>
          <w:p w:rsidR="001C55F3" w:rsidRPr="00BE14DD" w:rsidRDefault="001C55F3" w:rsidP="001C55F3">
            <w:pPr>
              <w:spacing w:line="240" w:lineRule="auto"/>
              <w:rPr>
                <w:sz w:val="18"/>
                <w:szCs w:val="18"/>
              </w:rPr>
            </w:pPr>
            <w:r w:rsidRPr="00BE14DD">
              <w:rPr>
                <w:sz w:val="18"/>
                <w:szCs w:val="18"/>
              </w:rPr>
              <w:t>114,80</w:t>
            </w:r>
          </w:p>
        </w:tc>
        <w:tc>
          <w:tcPr>
            <w:tcW w:w="1339" w:type="dxa"/>
            <w:vAlign w:val="bottom"/>
          </w:tcPr>
          <w:p w:rsidR="001C55F3" w:rsidRPr="00BE14DD" w:rsidRDefault="001C55F3" w:rsidP="001C55F3">
            <w:pPr>
              <w:spacing w:line="240" w:lineRule="auto"/>
              <w:rPr>
                <w:sz w:val="18"/>
                <w:szCs w:val="18"/>
              </w:rPr>
            </w:pPr>
            <w:r w:rsidRPr="00BE14DD">
              <w:rPr>
                <w:sz w:val="18"/>
                <w:szCs w:val="18"/>
              </w:rPr>
              <w:t>12,60</w:t>
            </w:r>
          </w:p>
        </w:tc>
        <w:tc>
          <w:tcPr>
            <w:tcW w:w="1637" w:type="dxa"/>
            <w:vAlign w:val="bottom"/>
          </w:tcPr>
          <w:p w:rsidR="001C55F3" w:rsidRPr="00BE14DD" w:rsidRDefault="001C55F3" w:rsidP="001C55F3">
            <w:pPr>
              <w:spacing w:line="240" w:lineRule="auto"/>
              <w:rPr>
                <w:sz w:val="18"/>
                <w:szCs w:val="18"/>
              </w:rPr>
            </w:pPr>
            <w:r w:rsidRPr="00BE14DD">
              <w:rPr>
                <w:sz w:val="18"/>
                <w:szCs w:val="18"/>
              </w:rPr>
              <w:t>1,15</w:t>
            </w:r>
          </w:p>
        </w:tc>
        <w:tc>
          <w:tcPr>
            <w:tcW w:w="1560" w:type="dxa"/>
            <w:vAlign w:val="bottom"/>
          </w:tcPr>
          <w:p w:rsidR="001C55F3" w:rsidRPr="00BE14DD" w:rsidRDefault="001C55F3" w:rsidP="001C55F3">
            <w:pPr>
              <w:spacing w:line="240" w:lineRule="auto"/>
              <w:rPr>
                <w:sz w:val="18"/>
                <w:szCs w:val="18"/>
              </w:rPr>
            </w:pPr>
            <w:r w:rsidRPr="00BE14DD">
              <w:rPr>
                <w:sz w:val="18"/>
                <w:szCs w:val="18"/>
              </w:rPr>
              <w:t>1,39</w:t>
            </w:r>
          </w:p>
        </w:tc>
        <w:tc>
          <w:tcPr>
            <w:tcW w:w="1383" w:type="dxa"/>
            <w:vAlign w:val="bottom"/>
          </w:tcPr>
          <w:p w:rsidR="001C55F3" w:rsidRPr="00BE14DD" w:rsidRDefault="001C55F3" w:rsidP="001C55F3">
            <w:pPr>
              <w:spacing w:line="240" w:lineRule="auto"/>
              <w:rPr>
                <w:sz w:val="18"/>
                <w:szCs w:val="18"/>
              </w:rPr>
            </w:pPr>
            <w:r w:rsidRPr="00BE14DD">
              <w:rPr>
                <w:sz w:val="18"/>
                <w:szCs w:val="18"/>
              </w:rPr>
              <w:t>12,99</w:t>
            </w:r>
          </w:p>
        </w:tc>
      </w:tr>
      <w:tr w:rsidR="001C55F3" w:rsidRPr="00BE14DD" w:rsidTr="001C55F3">
        <w:tc>
          <w:tcPr>
            <w:tcW w:w="1951" w:type="dxa"/>
          </w:tcPr>
          <w:p w:rsidR="001C55F3" w:rsidRPr="00BE14DD" w:rsidRDefault="001C55F3" w:rsidP="001C55F3">
            <w:pPr>
              <w:spacing w:line="240" w:lineRule="auto"/>
              <w:rPr>
                <w:sz w:val="18"/>
                <w:szCs w:val="18"/>
              </w:rPr>
            </w:pPr>
            <w:r w:rsidRPr="00BE14DD">
              <w:rPr>
                <w:sz w:val="18"/>
                <w:szCs w:val="18"/>
              </w:rPr>
              <w:t>Mediterranean forest (continental)</w:t>
            </w:r>
          </w:p>
        </w:tc>
        <w:tc>
          <w:tcPr>
            <w:tcW w:w="1418" w:type="dxa"/>
            <w:vAlign w:val="bottom"/>
          </w:tcPr>
          <w:p w:rsidR="001C55F3" w:rsidRPr="00BE14DD" w:rsidRDefault="001C55F3" w:rsidP="001C55F3">
            <w:pPr>
              <w:spacing w:line="240" w:lineRule="auto"/>
              <w:rPr>
                <w:sz w:val="18"/>
                <w:szCs w:val="18"/>
              </w:rPr>
            </w:pPr>
            <w:r w:rsidRPr="00BE14DD">
              <w:rPr>
                <w:sz w:val="18"/>
                <w:szCs w:val="18"/>
              </w:rPr>
              <w:t>123,89</w:t>
            </w:r>
          </w:p>
        </w:tc>
        <w:tc>
          <w:tcPr>
            <w:tcW w:w="1339" w:type="dxa"/>
            <w:vAlign w:val="bottom"/>
          </w:tcPr>
          <w:p w:rsidR="001C55F3" w:rsidRPr="00BE14DD" w:rsidRDefault="001C55F3" w:rsidP="001C55F3">
            <w:pPr>
              <w:spacing w:line="240" w:lineRule="auto"/>
              <w:rPr>
                <w:sz w:val="18"/>
                <w:szCs w:val="18"/>
              </w:rPr>
            </w:pPr>
            <w:r w:rsidRPr="00BE14DD">
              <w:rPr>
                <w:sz w:val="18"/>
                <w:szCs w:val="18"/>
              </w:rPr>
              <w:t>12,83</w:t>
            </w:r>
          </w:p>
        </w:tc>
        <w:tc>
          <w:tcPr>
            <w:tcW w:w="1637" w:type="dxa"/>
            <w:vAlign w:val="bottom"/>
          </w:tcPr>
          <w:p w:rsidR="001C55F3" w:rsidRPr="00BE14DD" w:rsidRDefault="001C55F3" w:rsidP="001C55F3">
            <w:pPr>
              <w:spacing w:line="240" w:lineRule="auto"/>
              <w:rPr>
                <w:sz w:val="18"/>
                <w:szCs w:val="18"/>
              </w:rPr>
            </w:pPr>
            <w:r w:rsidRPr="00BE14DD">
              <w:rPr>
                <w:sz w:val="18"/>
                <w:szCs w:val="18"/>
              </w:rPr>
              <w:t>1,19</w:t>
            </w:r>
          </w:p>
        </w:tc>
        <w:tc>
          <w:tcPr>
            <w:tcW w:w="1560" w:type="dxa"/>
            <w:vAlign w:val="bottom"/>
          </w:tcPr>
          <w:p w:rsidR="001C55F3" w:rsidRPr="00BE14DD" w:rsidRDefault="001C55F3" w:rsidP="001C55F3">
            <w:pPr>
              <w:spacing w:line="240" w:lineRule="auto"/>
              <w:rPr>
                <w:sz w:val="18"/>
                <w:szCs w:val="18"/>
              </w:rPr>
            </w:pPr>
            <w:r w:rsidRPr="00BE14DD">
              <w:rPr>
                <w:sz w:val="18"/>
                <w:szCs w:val="18"/>
              </w:rPr>
              <w:t>1,21</w:t>
            </w:r>
          </w:p>
        </w:tc>
        <w:tc>
          <w:tcPr>
            <w:tcW w:w="1383" w:type="dxa"/>
            <w:vAlign w:val="bottom"/>
          </w:tcPr>
          <w:p w:rsidR="001C55F3" w:rsidRPr="00BE14DD" w:rsidRDefault="001C55F3" w:rsidP="001C55F3">
            <w:pPr>
              <w:spacing w:line="240" w:lineRule="auto"/>
              <w:rPr>
                <w:sz w:val="18"/>
                <w:szCs w:val="18"/>
              </w:rPr>
            </w:pPr>
            <w:r w:rsidRPr="00BE14DD">
              <w:rPr>
                <w:sz w:val="18"/>
                <w:szCs w:val="18"/>
              </w:rPr>
              <w:t>13,02</w:t>
            </w:r>
          </w:p>
        </w:tc>
      </w:tr>
      <w:tr w:rsidR="001C55F3" w:rsidRPr="00BE14DD" w:rsidTr="001C55F3">
        <w:tc>
          <w:tcPr>
            <w:tcW w:w="1951" w:type="dxa"/>
          </w:tcPr>
          <w:p w:rsidR="001C55F3" w:rsidRPr="00BE14DD" w:rsidRDefault="001C55F3" w:rsidP="001C55F3">
            <w:pPr>
              <w:spacing w:line="240" w:lineRule="auto"/>
              <w:rPr>
                <w:sz w:val="18"/>
                <w:szCs w:val="18"/>
              </w:rPr>
            </w:pPr>
            <w:r w:rsidRPr="00BE14DD">
              <w:rPr>
                <w:sz w:val="18"/>
                <w:szCs w:val="18"/>
              </w:rPr>
              <w:t>Mediterranean forest (esclerophylos)</w:t>
            </w:r>
          </w:p>
        </w:tc>
        <w:tc>
          <w:tcPr>
            <w:tcW w:w="1418" w:type="dxa"/>
            <w:vAlign w:val="bottom"/>
          </w:tcPr>
          <w:p w:rsidR="001C55F3" w:rsidRPr="00BE14DD" w:rsidRDefault="001C55F3" w:rsidP="001C55F3">
            <w:pPr>
              <w:spacing w:line="240" w:lineRule="auto"/>
              <w:rPr>
                <w:sz w:val="18"/>
                <w:szCs w:val="18"/>
              </w:rPr>
            </w:pPr>
            <w:r w:rsidRPr="00BE14DD">
              <w:rPr>
                <w:sz w:val="18"/>
                <w:szCs w:val="18"/>
              </w:rPr>
              <w:t>110,27</w:t>
            </w:r>
          </w:p>
        </w:tc>
        <w:tc>
          <w:tcPr>
            <w:tcW w:w="1339" w:type="dxa"/>
            <w:vAlign w:val="bottom"/>
          </w:tcPr>
          <w:p w:rsidR="001C55F3" w:rsidRPr="00BE14DD" w:rsidRDefault="001C55F3" w:rsidP="001C55F3">
            <w:pPr>
              <w:spacing w:line="240" w:lineRule="auto"/>
              <w:rPr>
                <w:sz w:val="18"/>
                <w:szCs w:val="18"/>
              </w:rPr>
            </w:pPr>
            <w:r w:rsidRPr="00BE14DD">
              <w:rPr>
                <w:sz w:val="18"/>
                <w:szCs w:val="18"/>
              </w:rPr>
              <w:t>13,38</w:t>
            </w:r>
          </w:p>
        </w:tc>
        <w:tc>
          <w:tcPr>
            <w:tcW w:w="1637" w:type="dxa"/>
            <w:vAlign w:val="bottom"/>
          </w:tcPr>
          <w:p w:rsidR="001C55F3" w:rsidRPr="00BE14DD" w:rsidRDefault="001C55F3" w:rsidP="001C55F3">
            <w:pPr>
              <w:spacing w:line="240" w:lineRule="auto"/>
              <w:rPr>
                <w:sz w:val="18"/>
                <w:szCs w:val="18"/>
              </w:rPr>
            </w:pPr>
            <w:r w:rsidRPr="00BE14DD">
              <w:rPr>
                <w:sz w:val="18"/>
                <w:szCs w:val="18"/>
              </w:rPr>
              <w:t>1,27</w:t>
            </w:r>
          </w:p>
        </w:tc>
        <w:tc>
          <w:tcPr>
            <w:tcW w:w="1560" w:type="dxa"/>
            <w:vAlign w:val="bottom"/>
          </w:tcPr>
          <w:p w:rsidR="001C55F3" w:rsidRPr="00BE14DD" w:rsidRDefault="001C55F3" w:rsidP="001C55F3">
            <w:pPr>
              <w:spacing w:line="240" w:lineRule="auto"/>
              <w:rPr>
                <w:sz w:val="18"/>
                <w:szCs w:val="18"/>
              </w:rPr>
            </w:pPr>
            <w:r w:rsidRPr="00BE14DD">
              <w:rPr>
                <w:sz w:val="18"/>
                <w:szCs w:val="18"/>
              </w:rPr>
              <w:t>1,45</w:t>
            </w:r>
          </w:p>
        </w:tc>
        <w:tc>
          <w:tcPr>
            <w:tcW w:w="1383" w:type="dxa"/>
            <w:vAlign w:val="bottom"/>
          </w:tcPr>
          <w:p w:rsidR="001C55F3" w:rsidRPr="00BE14DD" w:rsidRDefault="001C55F3" w:rsidP="001C55F3">
            <w:pPr>
              <w:spacing w:line="240" w:lineRule="auto"/>
              <w:rPr>
                <w:sz w:val="18"/>
                <w:szCs w:val="18"/>
              </w:rPr>
            </w:pPr>
            <w:r w:rsidRPr="00BE14DD">
              <w:rPr>
                <w:sz w:val="18"/>
                <w:szCs w:val="18"/>
              </w:rPr>
              <w:t>13,63</w:t>
            </w:r>
          </w:p>
        </w:tc>
      </w:tr>
      <w:tr w:rsidR="001C55F3" w:rsidRPr="00BE14DD" w:rsidTr="001C55F3">
        <w:tc>
          <w:tcPr>
            <w:tcW w:w="1951" w:type="dxa"/>
          </w:tcPr>
          <w:p w:rsidR="001C55F3" w:rsidRPr="00BE14DD" w:rsidRDefault="001C55F3" w:rsidP="001C55F3">
            <w:pPr>
              <w:spacing w:line="240" w:lineRule="auto"/>
              <w:rPr>
                <w:sz w:val="18"/>
                <w:szCs w:val="18"/>
              </w:rPr>
            </w:pPr>
            <w:r w:rsidRPr="00BE14DD">
              <w:rPr>
                <w:sz w:val="18"/>
                <w:szCs w:val="18"/>
              </w:rPr>
              <w:t>Costal</w:t>
            </w:r>
          </w:p>
        </w:tc>
        <w:tc>
          <w:tcPr>
            <w:tcW w:w="1418" w:type="dxa"/>
            <w:vAlign w:val="bottom"/>
          </w:tcPr>
          <w:p w:rsidR="001C55F3" w:rsidRPr="00BE14DD" w:rsidRDefault="001C55F3" w:rsidP="001C55F3">
            <w:pPr>
              <w:spacing w:line="240" w:lineRule="auto"/>
              <w:rPr>
                <w:sz w:val="18"/>
                <w:szCs w:val="18"/>
              </w:rPr>
            </w:pPr>
            <w:r w:rsidRPr="00BE14DD">
              <w:rPr>
                <w:sz w:val="18"/>
                <w:szCs w:val="18"/>
              </w:rPr>
              <w:t>94,12</w:t>
            </w:r>
          </w:p>
        </w:tc>
        <w:tc>
          <w:tcPr>
            <w:tcW w:w="1339" w:type="dxa"/>
            <w:vAlign w:val="bottom"/>
          </w:tcPr>
          <w:p w:rsidR="001C55F3" w:rsidRPr="00BE14DD" w:rsidRDefault="001C55F3" w:rsidP="001C55F3">
            <w:pPr>
              <w:spacing w:line="240" w:lineRule="auto"/>
              <w:rPr>
                <w:sz w:val="18"/>
                <w:szCs w:val="18"/>
              </w:rPr>
            </w:pPr>
            <w:r w:rsidRPr="00BE14DD">
              <w:rPr>
                <w:sz w:val="18"/>
                <w:szCs w:val="18"/>
              </w:rPr>
              <w:t>11,73</w:t>
            </w:r>
          </w:p>
        </w:tc>
        <w:tc>
          <w:tcPr>
            <w:tcW w:w="1637" w:type="dxa"/>
            <w:vAlign w:val="bottom"/>
          </w:tcPr>
          <w:p w:rsidR="001C55F3" w:rsidRPr="00BE14DD" w:rsidRDefault="001C55F3" w:rsidP="001C55F3">
            <w:pPr>
              <w:spacing w:line="240" w:lineRule="auto"/>
              <w:rPr>
                <w:sz w:val="18"/>
                <w:szCs w:val="18"/>
              </w:rPr>
            </w:pPr>
            <w:r w:rsidRPr="00BE14DD">
              <w:rPr>
                <w:sz w:val="18"/>
                <w:szCs w:val="18"/>
              </w:rPr>
              <w:t>1,10</w:t>
            </w:r>
          </w:p>
        </w:tc>
        <w:tc>
          <w:tcPr>
            <w:tcW w:w="1560" w:type="dxa"/>
            <w:vAlign w:val="bottom"/>
          </w:tcPr>
          <w:p w:rsidR="001C55F3" w:rsidRPr="00BE14DD" w:rsidRDefault="001C55F3" w:rsidP="001C55F3">
            <w:pPr>
              <w:spacing w:line="240" w:lineRule="auto"/>
              <w:rPr>
                <w:sz w:val="18"/>
                <w:szCs w:val="18"/>
              </w:rPr>
            </w:pPr>
            <w:r w:rsidRPr="00BE14DD">
              <w:rPr>
                <w:sz w:val="18"/>
                <w:szCs w:val="18"/>
              </w:rPr>
              <w:t>1,71</w:t>
            </w:r>
          </w:p>
        </w:tc>
        <w:tc>
          <w:tcPr>
            <w:tcW w:w="1383" w:type="dxa"/>
            <w:vAlign w:val="bottom"/>
          </w:tcPr>
          <w:p w:rsidR="001C55F3" w:rsidRPr="00BE14DD" w:rsidRDefault="001C55F3" w:rsidP="001C55F3">
            <w:pPr>
              <w:spacing w:line="240" w:lineRule="auto"/>
              <w:rPr>
                <w:sz w:val="18"/>
                <w:szCs w:val="18"/>
              </w:rPr>
            </w:pPr>
            <w:r w:rsidRPr="00BE14DD">
              <w:rPr>
                <w:sz w:val="18"/>
                <w:szCs w:val="18"/>
              </w:rPr>
              <w:t>12,45</w:t>
            </w:r>
          </w:p>
        </w:tc>
      </w:tr>
      <w:tr w:rsidR="001C55F3" w:rsidRPr="00BE14DD" w:rsidTr="001C55F3">
        <w:tc>
          <w:tcPr>
            <w:tcW w:w="1951" w:type="dxa"/>
          </w:tcPr>
          <w:p w:rsidR="001C55F3" w:rsidRPr="00BE14DD" w:rsidRDefault="001C55F3" w:rsidP="001C55F3">
            <w:pPr>
              <w:spacing w:line="240" w:lineRule="auto"/>
              <w:rPr>
                <w:sz w:val="18"/>
                <w:szCs w:val="18"/>
              </w:rPr>
            </w:pPr>
            <w:r w:rsidRPr="00BE14DD">
              <w:rPr>
                <w:sz w:val="18"/>
                <w:szCs w:val="18"/>
              </w:rPr>
              <w:t>Mountain (alpine)</w:t>
            </w:r>
          </w:p>
        </w:tc>
        <w:tc>
          <w:tcPr>
            <w:tcW w:w="1418" w:type="dxa"/>
            <w:vAlign w:val="bottom"/>
          </w:tcPr>
          <w:p w:rsidR="001C55F3" w:rsidRPr="00BE14DD" w:rsidRDefault="001C55F3" w:rsidP="001C55F3">
            <w:pPr>
              <w:spacing w:line="240" w:lineRule="auto"/>
              <w:rPr>
                <w:sz w:val="18"/>
                <w:szCs w:val="18"/>
              </w:rPr>
            </w:pPr>
            <w:r w:rsidRPr="00BE14DD">
              <w:rPr>
                <w:sz w:val="18"/>
                <w:szCs w:val="18"/>
              </w:rPr>
              <w:t>122,36</w:t>
            </w:r>
          </w:p>
        </w:tc>
        <w:tc>
          <w:tcPr>
            <w:tcW w:w="1339" w:type="dxa"/>
            <w:vAlign w:val="bottom"/>
          </w:tcPr>
          <w:p w:rsidR="001C55F3" w:rsidRPr="00BE14DD" w:rsidRDefault="001C55F3" w:rsidP="001C55F3">
            <w:pPr>
              <w:spacing w:line="240" w:lineRule="auto"/>
              <w:rPr>
                <w:sz w:val="18"/>
                <w:szCs w:val="18"/>
              </w:rPr>
            </w:pPr>
            <w:r w:rsidRPr="00BE14DD">
              <w:rPr>
                <w:sz w:val="18"/>
                <w:szCs w:val="18"/>
              </w:rPr>
              <w:t>12,84</w:t>
            </w:r>
          </w:p>
        </w:tc>
        <w:tc>
          <w:tcPr>
            <w:tcW w:w="1637" w:type="dxa"/>
            <w:vAlign w:val="bottom"/>
          </w:tcPr>
          <w:p w:rsidR="001C55F3" w:rsidRPr="00BE14DD" w:rsidRDefault="001C55F3" w:rsidP="001C55F3">
            <w:pPr>
              <w:spacing w:line="240" w:lineRule="auto"/>
              <w:rPr>
                <w:sz w:val="18"/>
                <w:szCs w:val="18"/>
              </w:rPr>
            </w:pPr>
            <w:r w:rsidRPr="00BE14DD">
              <w:rPr>
                <w:sz w:val="18"/>
                <w:szCs w:val="18"/>
              </w:rPr>
              <w:t>1,27</w:t>
            </w:r>
          </w:p>
        </w:tc>
        <w:tc>
          <w:tcPr>
            <w:tcW w:w="1560" w:type="dxa"/>
            <w:vAlign w:val="bottom"/>
          </w:tcPr>
          <w:p w:rsidR="001C55F3" w:rsidRPr="00BE14DD" w:rsidRDefault="001C55F3" w:rsidP="001C55F3">
            <w:pPr>
              <w:spacing w:line="240" w:lineRule="auto"/>
              <w:rPr>
                <w:sz w:val="18"/>
                <w:szCs w:val="18"/>
              </w:rPr>
            </w:pPr>
            <w:r w:rsidRPr="00BE14DD">
              <w:rPr>
                <w:sz w:val="18"/>
                <w:szCs w:val="18"/>
              </w:rPr>
              <w:t>1,32</w:t>
            </w:r>
          </w:p>
        </w:tc>
        <w:tc>
          <w:tcPr>
            <w:tcW w:w="1383" w:type="dxa"/>
            <w:vAlign w:val="bottom"/>
          </w:tcPr>
          <w:p w:rsidR="001C55F3" w:rsidRPr="00BE14DD" w:rsidRDefault="001C55F3" w:rsidP="001C55F3">
            <w:pPr>
              <w:spacing w:line="240" w:lineRule="auto"/>
              <w:rPr>
                <w:sz w:val="18"/>
                <w:szCs w:val="18"/>
              </w:rPr>
            </w:pPr>
            <w:r w:rsidRPr="00BE14DD">
              <w:rPr>
                <w:sz w:val="18"/>
                <w:szCs w:val="18"/>
              </w:rPr>
              <w:t>13,15</w:t>
            </w:r>
          </w:p>
        </w:tc>
      </w:tr>
      <w:tr w:rsidR="001C55F3" w:rsidRPr="00BE14DD" w:rsidTr="001C55F3">
        <w:tc>
          <w:tcPr>
            <w:tcW w:w="1951" w:type="dxa"/>
          </w:tcPr>
          <w:p w:rsidR="001C55F3" w:rsidRPr="00BE14DD" w:rsidRDefault="001C55F3" w:rsidP="001C55F3">
            <w:pPr>
              <w:spacing w:line="240" w:lineRule="auto"/>
              <w:rPr>
                <w:sz w:val="18"/>
                <w:szCs w:val="18"/>
              </w:rPr>
            </w:pPr>
            <w:r w:rsidRPr="00BE14DD">
              <w:rPr>
                <w:sz w:val="18"/>
                <w:szCs w:val="18"/>
              </w:rPr>
              <w:t>Mountain (Mediterranean)</w:t>
            </w:r>
          </w:p>
        </w:tc>
        <w:tc>
          <w:tcPr>
            <w:tcW w:w="1418" w:type="dxa"/>
            <w:vAlign w:val="bottom"/>
          </w:tcPr>
          <w:p w:rsidR="001C55F3" w:rsidRPr="00BE14DD" w:rsidRDefault="001C55F3" w:rsidP="001C55F3">
            <w:pPr>
              <w:spacing w:line="240" w:lineRule="auto"/>
              <w:rPr>
                <w:sz w:val="18"/>
                <w:szCs w:val="18"/>
              </w:rPr>
            </w:pPr>
            <w:r w:rsidRPr="00BE14DD">
              <w:rPr>
                <w:sz w:val="18"/>
                <w:szCs w:val="18"/>
              </w:rPr>
              <w:t>117,37</w:t>
            </w:r>
          </w:p>
        </w:tc>
        <w:tc>
          <w:tcPr>
            <w:tcW w:w="1339" w:type="dxa"/>
            <w:vAlign w:val="bottom"/>
          </w:tcPr>
          <w:p w:rsidR="001C55F3" w:rsidRPr="00BE14DD" w:rsidRDefault="001C55F3" w:rsidP="001C55F3">
            <w:pPr>
              <w:spacing w:line="240" w:lineRule="auto"/>
              <w:rPr>
                <w:sz w:val="18"/>
                <w:szCs w:val="18"/>
              </w:rPr>
            </w:pPr>
            <w:r w:rsidRPr="00BE14DD">
              <w:rPr>
                <w:sz w:val="18"/>
                <w:szCs w:val="18"/>
              </w:rPr>
              <w:t>12,41</w:t>
            </w:r>
          </w:p>
        </w:tc>
        <w:tc>
          <w:tcPr>
            <w:tcW w:w="1637" w:type="dxa"/>
            <w:vAlign w:val="bottom"/>
          </w:tcPr>
          <w:p w:rsidR="001C55F3" w:rsidRPr="00BE14DD" w:rsidRDefault="001C55F3" w:rsidP="001C55F3">
            <w:pPr>
              <w:spacing w:line="240" w:lineRule="auto"/>
              <w:rPr>
                <w:sz w:val="18"/>
                <w:szCs w:val="18"/>
              </w:rPr>
            </w:pPr>
            <w:r w:rsidRPr="00BE14DD">
              <w:rPr>
                <w:sz w:val="18"/>
                <w:szCs w:val="18"/>
              </w:rPr>
              <w:t>1,47</w:t>
            </w:r>
          </w:p>
        </w:tc>
        <w:tc>
          <w:tcPr>
            <w:tcW w:w="1560" w:type="dxa"/>
            <w:vAlign w:val="bottom"/>
          </w:tcPr>
          <w:p w:rsidR="001C55F3" w:rsidRPr="00BE14DD" w:rsidRDefault="001C55F3" w:rsidP="001C55F3">
            <w:pPr>
              <w:spacing w:line="240" w:lineRule="auto"/>
              <w:rPr>
                <w:sz w:val="18"/>
                <w:szCs w:val="18"/>
              </w:rPr>
            </w:pPr>
            <w:r w:rsidRPr="00BE14DD">
              <w:rPr>
                <w:sz w:val="18"/>
                <w:szCs w:val="18"/>
              </w:rPr>
              <w:t>1,95</w:t>
            </w:r>
          </w:p>
        </w:tc>
        <w:tc>
          <w:tcPr>
            <w:tcW w:w="1383" w:type="dxa"/>
            <w:vAlign w:val="bottom"/>
          </w:tcPr>
          <w:p w:rsidR="001C55F3" w:rsidRPr="00BE14DD" w:rsidRDefault="001C55F3" w:rsidP="001C55F3">
            <w:pPr>
              <w:spacing w:line="240" w:lineRule="auto"/>
              <w:rPr>
                <w:sz w:val="18"/>
                <w:szCs w:val="18"/>
              </w:rPr>
            </w:pPr>
            <w:r w:rsidRPr="00BE14DD">
              <w:rPr>
                <w:sz w:val="18"/>
                <w:szCs w:val="18"/>
              </w:rPr>
              <w:t>12,97</w:t>
            </w:r>
          </w:p>
        </w:tc>
      </w:tr>
      <w:tr w:rsidR="001C55F3" w:rsidRPr="00BE14DD" w:rsidTr="001C55F3">
        <w:tc>
          <w:tcPr>
            <w:tcW w:w="1951" w:type="dxa"/>
          </w:tcPr>
          <w:p w:rsidR="001C55F3" w:rsidRPr="00BE14DD" w:rsidRDefault="001C55F3" w:rsidP="001C55F3">
            <w:pPr>
              <w:spacing w:line="240" w:lineRule="auto"/>
              <w:rPr>
                <w:sz w:val="18"/>
                <w:szCs w:val="18"/>
              </w:rPr>
            </w:pPr>
            <w:r w:rsidRPr="00BE14DD">
              <w:rPr>
                <w:sz w:val="18"/>
                <w:szCs w:val="18"/>
              </w:rPr>
              <w:t>Urban</w:t>
            </w:r>
          </w:p>
        </w:tc>
        <w:tc>
          <w:tcPr>
            <w:tcW w:w="1418" w:type="dxa"/>
            <w:vAlign w:val="bottom"/>
          </w:tcPr>
          <w:p w:rsidR="001C55F3" w:rsidRPr="00BE14DD" w:rsidRDefault="001C55F3" w:rsidP="001C55F3">
            <w:pPr>
              <w:spacing w:line="240" w:lineRule="auto"/>
              <w:rPr>
                <w:sz w:val="18"/>
                <w:szCs w:val="18"/>
              </w:rPr>
            </w:pPr>
            <w:r w:rsidRPr="00BE14DD">
              <w:rPr>
                <w:sz w:val="18"/>
                <w:szCs w:val="18"/>
              </w:rPr>
              <w:t>109,73</w:t>
            </w:r>
          </w:p>
        </w:tc>
        <w:tc>
          <w:tcPr>
            <w:tcW w:w="1339" w:type="dxa"/>
            <w:vAlign w:val="bottom"/>
          </w:tcPr>
          <w:p w:rsidR="001C55F3" w:rsidRPr="00BE14DD" w:rsidRDefault="001C55F3" w:rsidP="001C55F3">
            <w:pPr>
              <w:spacing w:line="240" w:lineRule="auto"/>
              <w:rPr>
                <w:sz w:val="18"/>
                <w:szCs w:val="18"/>
              </w:rPr>
            </w:pPr>
            <w:r w:rsidRPr="00BE14DD">
              <w:rPr>
                <w:sz w:val="18"/>
                <w:szCs w:val="18"/>
              </w:rPr>
              <w:t>11,72</w:t>
            </w:r>
          </w:p>
        </w:tc>
        <w:tc>
          <w:tcPr>
            <w:tcW w:w="1637" w:type="dxa"/>
            <w:vAlign w:val="bottom"/>
          </w:tcPr>
          <w:p w:rsidR="001C55F3" w:rsidRPr="00BE14DD" w:rsidRDefault="001C55F3" w:rsidP="001C55F3">
            <w:pPr>
              <w:spacing w:line="240" w:lineRule="auto"/>
              <w:rPr>
                <w:sz w:val="18"/>
                <w:szCs w:val="18"/>
              </w:rPr>
            </w:pPr>
            <w:r w:rsidRPr="00BE14DD">
              <w:rPr>
                <w:sz w:val="18"/>
                <w:szCs w:val="18"/>
              </w:rPr>
              <w:t>1,16</w:t>
            </w:r>
          </w:p>
        </w:tc>
        <w:tc>
          <w:tcPr>
            <w:tcW w:w="1560" w:type="dxa"/>
            <w:vAlign w:val="bottom"/>
          </w:tcPr>
          <w:p w:rsidR="001C55F3" w:rsidRPr="00BE14DD" w:rsidRDefault="001C55F3" w:rsidP="001C55F3">
            <w:pPr>
              <w:spacing w:line="240" w:lineRule="auto"/>
              <w:rPr>
                <w:sz w:val="18"/>
                <w:szCs w:val="18"/>
              </w:rPr>
            </w:pPr>
            <w:r w:rsidRPr="00BE14DD">
              <w:rPr>
                <w:sz w:val="18"/>
                <w:szCs w:val="18"/>
              </w:rPr>
              <w:t>1,52</w:t>
            </w:r>
          </w:p>
        </w:tc>
        <w:tc>
          <w:tcPr>
            <w:tcW w:w="1383" w:type="dxa"/>
            <w:vAlign w:val="bottom"/>
          </w:tcPr>
          <w:p w:rsidR="001C55F3" w:rsidRPr="00BE14DD" w:rsidRDefault="001C55F3" w:rsidP="001C55F3">
            <w:pPr>
              <w:spacing w:line="240" w:lineRule="auto"/>
              <w:rPr>
                <w:sz w:val="18"/>
                <w:szCs w:val="18"/>
              </w:rPr>
            </w:pPr>
            <w:r w:rsidRPr="00BE14DD">
              <w:rPr>
                <w:sz w:val="18"/>
                <w:szCs w:val="18"/>
              </w:rPr>
              <w:t>12,17</w:t>
            </w:r>
          </w:p>
        </w:tc>
      </w:tr>
      <w:bookmarkEnd w:id="38"/>
    </w:tbl>
    <w:p w:rsidR="001C55F3" w:rsidRPr="00BE14DD" w:rsidRDefault="001C55F3" w:rsidP="001C55F3">
      <w:pPr>
        <w:autoSpaceDE w:val="0"/>
        <w:autoSpaceDN w:val="0"/>
        <w:adjustRightInd w:val="0"/>
        <w:spacing w:after="0" w:line="360" w:lineRule="auto"/>
        <w:rPr>
          <w:szCs w:val="20"/>
        </w:rPr>
      </w:pPr>
    </w:p>
    <w:p w:rsidR="001C55F3" w:rsidRPr="00151B8D" w:rsidRDefault="001C55F3" w:rsidP="001C55F3">
      <w:pPr>
        <w:spacing w:line="240" w:lineRule="auto"/>
        <w:rPr>
          <w:b/>
          <w:u w:val="single"/>
        </w:rPr>
      </w:pPr>
      <w:r w:rsidRPr="00151B8D">
        <w:rPr>
          <w:b/>
          <w:u w:val="single"/>
        </w:rPr>
        <w:t>II. ECOSYSTEMS</w:t>
      </w:r>
    </w:p>
    <w:p w:rsidR="001C55F3" w:rsidRPr="00151B8D" w:rsidRDefault="001C55F3" w:rsidP="001C55F3">
      <w:pPr>
        <w:spacing w:line="240" w:lineRule="auto"/>
      </w:pPr>
      <w:r w:rsidRPr="00151B8D">
        <w:t>The selection of ecosystem types to be evaluated in Spain was based on a set of general operational issues appropriate for articulating the assessment at a national scale.There is therefore no attempt to define a typology based on the specific composition or dominance of certain species or physiognomic types, but to identify the main areas of expression of nature of Spain (Figure 4.5). The considerations that guided the selection of ecosystem types were:</w:t>
      </w:r>
    </w:p>
    <w:p w:rsidR="001C55F3" w:rsidRPr="00151B8D" w:rsidRDefault="001C55F3" w:rsidP="00622218">
      <w:pPr>
        <w:pStyle w:val="Paragraphedeliste"/>
        <w:numPr>
          <w:ilvl w:val="0"/>
          <w:numId w:val="102"/>
        </w:numPr>
        <w:spacing w:line="240" w:lineRule="auto"/>
      </w:pPr>
      <w:r w:rsidRPr="00151B8D">
        <w:t>The number of ecosystem types evaluated (14) should be sufficient to effectively collect the original character of nature in Spain.</w:t>
      </w:r>
    </w:p>
    <w:p w:rsidR="001C55F3" w:rsidRPr="00151B8D" w:rsidRDefault="001C55F3" w:rsidP="00622218">
      <w:pPr>
        <w:pStyle w:val="Paragraphedeliste"/>
        <w:numPr>
          <w:ilvl w:val="0"/>
          <w:numId w:val="102"/>
        </w:numPr>
        <w:spacing w:line="240" w:lineRule="auto"/>
      </w:pPr>
      <w:r w:rsidRPr="00151B8D">
        <w:t>The selection must consider the importance of ecosystem services selected (22) in relation to the human wellbeing of the Spanish population and therefore representative of our natural capital.</w:t>
      </w:r>
    </w:p>
    <w:p w:rsidR="001C55F3" w:rsidRPr="00151B8D" w:rsidRDefault="001C55F3" w:rsidP="00622218">
      <w:pPr>
        <w:pStyle w:val="Paragraphedeliste"/>
        <w:numPr>
          <w:ilvl w:val="0"/>
          <w:numId w:val="102"/>
        </w:numPr>
        <w:spacing w:line="240" w:lineRule="auto"/>
      </w:pPr>
      <w:r w:rsidRPr="00151B8D">
        <w:lastRenderedPageBreak/>
        <w:t xml:space="preserve">The differentiation of ecosystem types identified as 1) the main determinants of geophysical conditions and 2) the level of influence of human control. For the first processes operating at large scale were considered (mainly macroclimatic characteristics and the presence or absence of drinking water) and for the second the contrast between urban and rural ecosystems dominated by agricultural uses was considered (agroecosystems). </w:t>
      </w:r>
    </w:p>
    <w:p w:rsidR="001C55F3" w:rsidRPr="00151B8D" w:rsidRDefault="001C55F3" w:rsidP="001C55F3">
      <w:pPr>
        <w:spacing w:line="240" w:lineRule="auto"/>
      </w:pPr>
      <w:r w:rsidRPr="00151B8D">
        <w:t>The proposed ecosystem classification of Spain is compatible with ecosystem classifications made at European level (EU 2010 biodiversity baseline, EEA) and allows for consistent assessments from national to European scale. Information from a more detailed classification at local scale and at higher spatial resolution should be compatible with these classifications and could be aggregated in a consistent manner.</w:t>
      </w:r>
    </w:p>
    <w:p w:rsidR="001C55F3" w:rsidRPr="00BE14DD" w:rsidRDefault="001C55F3" w:rsidP="001C55F3">
      <w:pPr>
        <w:autoSpaceDE w:val="0"/>
        <w:autoSpaceDN w:val="0"/>
        <w:adjustRightInd w:val="0"/>
        <w:spacing w:after="0" w:line="360" w:lineRule="auto"/>
        <w:rPr>
          <w:szCs w:val="20"/>
        </w:rPr>
      </w:pPr>
      <w:r w:rsidRPr="00BE14DD">
        <w:rPr>
          <w:noProof/>
          <w:lang w:val="fr-BE" w:eastAsia="fr-BE"/>
        </w:rPr>
        <w:drawing>
          <wp:inline distT="0" distB="0" distL="0" distR="0">
            <wp:extent cx="4223130" cy="3289512"/>
            <wp:effectExtent l="0" t="0" r="0" b="0"/>
            <wp:docPr id="1229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acion_ecosistemas2_Ingles.jpg"/>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23130" cy="3289512"/>
                    </a:xfrm>
                    <a:prstGeom prst="rect">
                      <a:avLst/>
                    </a:prstGeom>
                  </pic:spPr>
                </pic:pic>
              </a:graphicData>
            </a:graphic>
          </wp:inline>
        </w:drawing>
      </w:r>
    </w:p>
    <w:p w:rsidR="001C55F3" w:rsidRPr="00BE14DD" w:rsidRDefault="001C55F3" w:rsidP="001C55F3">
      <w:pPr>
        <w:rPr>
          <w:i/>
          <w:szCs w:val="20"/>
        </w:rPr>
      </w:pPr>
      <w:r w:rsidRPr="00BE14DD">
        <w:rPr>
          <w:i/>
          <w:szCs w:val="20"/>
        </w:rPr>
        <w:t>Figure 4.5. Spatial representation of ecosystems types assessed in Spanish NEA.  ( SNEA, 2011)</w:t>
      </w:r>
    </w:p>
    <w:p w:rsidR="001C55F3" w:rsidRPr="00BE14DD" w:rsidRDefault="001C55F3" w:rsidP="001C55F3">
      <w:pPr>
        <w:rPr>
          <w:i/>
          <w:szCs w:val="20"/>
        </w:rPr>
      </w:pPr>
    </w:p>
    <w:p w:rsidR="001C55F3" w:rsidRPr="00BE14DD" w:rsidRDefault="001C55F3" w:rsidP="001C55F3">
      <w:pPr>
        <w:rPr>
          <w:i/>
          <w:lang w:val="en-US"/>
        </w:rPr>
      </w:pPr>
      <w:r w:rsidRPr="00BE14DD">
        <w:rPr>
          <w:i/>
          <w:lang w:val="en-US"/>
        </w:rPr>
        <w:t xml:space="preserve">Table 4.8. </w:t>
      </w:r>
      <w:r w:rsidRPr="00BE14DD">
        <w:rPr>
          <w:i/>
        </w:rPr>
        <w:t>Relationship between the selection of ecosystems types in Spain (EME, 2011) and the EU classification (MAES, 2013).</w:t>
      </w: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20"/>
        <w:gridCol w:w="1173"/>
        <w:gridCol w:w="2229"/>
        <w:gridCol w:w="1456"/>
        <w:gridCol w:w="2552"/>
      </w:tblGrid>
      <w:tr w:rsidR="001C55F3" w:rsidRPr="00BE14DD" w:rsidTr="001C55F3">
        <w:trPr>
          <w:trHeight w:val="519"/>
        </w:trPr>
        <w:tc>
          <w:tcPr>
            <w:tcW w:w="920" w:type="dxa"/>
            <w:shd w:val="clear" w:color="auto" w:fill="D9D9D9"/>
          </w:tcPr>
          <w:p w:rsidR="001C55F3" w:rsidRPr="00BE14DD" w:rsidRDefault="001C55F3" w:rsidP="001C55F3">
            <w:pPr>
              <w:spacing w:after="0"/>
              <w:rPr>
                <w:b/>
                <w:sz w:val="16"/>
                <w:szCs w:val="16"/>
              </w:rPr>
            </w:pPr>
            <w:r w:rsidRPr="00BE14DD">
              <w:rPr>
                <w:b/>
                <w:sz w:val="16"/>
                <w:szCs w:val="16"/>
              </w:rPr>
              <w:t xml:space="preserve">Ecosystem category </w:t>
            </w:r>
          </w:p>
        </w:tc>
        <w:tc>
          <w:tcPr>
            <w:tcW w:w="1173" w:type="dxa"/>
            <w:shd w:val="clear" w:color="auto" w:fill="EEECE1"/>
          </w:tcPr>
          <w:p w:rsidR="001C55F3" w:rsidRPr="00BE14DD" w:rsidRDefault="001C55F3" w:rsidP="001C55F3">
            <w:pPr>
              <w:spacing w:after="0"/>
              <w:rPr>
                <w:b/>
                <w:sz w:val="16"/>
                <w:szCs w:val="16"/>
              </w:rPr>
            </w:pPr>
            <w:r w:rsidRPr="00BE14DD">
              <w:rPr>
                <w:b/>
                <w:sz w:val="16"/>
                <w:szCs w:val="16"/>
              </w:rPr>
              <w:t>EU TYPE (MAES, 2013)</w:t>
            </w:r>
          </w:p>
        </w:tc>
        <w:tc>
          <w:tcPr>
            <w:tcW w:w="2229" w:type="dxa"/>
            <w:shd w:val="clear" w:color="auto" w:fill="EEECE1"/>
          </w:tcPr>
          <w:p w:rsidR="001C55F3" w:rsidRPr="00BE14DD" w:rsidRDefault="001C55F3" w:rsidP="001C55F3">
            <w:pPr>
              <w:spacing w:after="0"/>
              <w:rPr>
                <w:b/>
                <w:sz w:val="16"/>
                <w:szCs w:val="16"/>
              </w:rPr>
            </w:pPr>
            <w:r w:rsidRPr="00BE14DD">
              <w:rPr>
                <w:b/>
                <w:sz w:val="16"/>
                <w:szCs w:val="16"/>
              </w:rPr>
              <w:t>Spatial representation,  and definitions</w:t>
            </w:r>
          </w:p>
        </w:tc>
        <w:tc>
          <w:tcPr>
            <w:tcW w:w="1456" w:type="dxa"/>
            <w:tcBorders>
              <w:bottom w:val="single" w:sz="4" w:space="0" w:color="auto"/>
            </w:tcBorders>
            <w:shd w:val="clear" w:color="auto" w:fill="EEECE1"/>
          </w:tcPr>
          <w:p w:rsidR="001C55F3" w:rsidRPr="00BE14DD" w:rsidRDefault="001C55F3" w:rsidP="001C55F3">
            <w:pPr>
              <w:spacing w:after="0"/>
              <w:rPr>
                <w:b/>
                <w:sz w:val="16"/>
                <w:szCs w:val="16"/>
              </w:rPr>
            </w:pPr>
            <w:r w:rsidRPr="00BE14DD">
              <w:rPr>
                <w:b/>
                <w:sz w:val="16"/>
                <w:szCs w:val="16"/>
              </w:rPr>
              <w:t xml:space="preserve">EME TYPE </w:t>
            </w:r>
          </w:p>
          <w:p w:rsidR="001C55F3" w:rsidRPr="00BE14DD" w:rsidRDefault="001C55F3" w:rsidP="001C55F3">
            <w:pPr>
              <w:spacing w:after="0"/>
              <w:rPr>
                <w:b/>
                <w:sz w:val="16"/>
                <w:szCs w:val="16"/>
              </w:rPr>
            </w:pPr>
            <w:r w:rsidRPr="00BE14DD">
              <w:rPr>
                <w:b/>
                <w:sz w:val="16"/>
                <w:szCs w:val="16"/>
              </w:rPr>
              <w:t>(SNEA, 2011)</w:t>
            </w:r>
          </w:p>
        </w:tc>
        <w:tc>
          <w:tcPr>
            <w:tcW w:w="2552" w:type="dxa"/>
            <w:tcBorders>
              <w:bottom w:val="single" w:sz="4" w:space="0" w:color="auto"/>
            </w:tcBorders>
            <w:shd w:val="clear" w:color="auto" w:fill="EEECE1"/>
          </w:tcPr>
          <w:p w:rsidR="001C55F3" w:rsidRPr="00BE14DD" w:rsidRDefault="001C55F3" w:rsidP="001C55F3">
            <w:pPr>
              <w:spacing w:after="0"/>
              <w:rPr>
                <w:b/>
                <w:sz w:val="16"/>
                <w:szCs w:val="16"/>
              </w:rPr>
            </w:pPr>
            <w:r w:rsidRPr="00BE14DD">
              <w:rPr>
                <w:b/>
                <w:sz w:val="16"/>
                <w:szCs w:val="16"/>
              </w:rPr>
              <w:t>Spatial representation and definitions</w:t>
            </w:r>
          </w:p>
        </w:tc>
      </w:tr>
      <w:tr w:rsidR="001C55F3" w:rsidRPr="00BE14DD" w:rsidTr="001C55F3">
        <w:trPr>
          <w:trHeight w:val="414"/>
        </w:trPr>
        <w:tc>
          <w:tcPr>
            <w:tcW w:w="920" w:type="dxa"/>
            <w:vMerge w:val="restart"/>
            <w:shd w:val="clear" w:color="auto" w:fill="D9D9D9"/>
          </w:tcPr>
          <w:p w:rsidR="001C55F3" w:rsidRPr="00BE14DD" w:rsidRDefault="001C55F3" w:rsidP="001C55F3">
            <w:pPr>
              <w:spacing w:after="0"/>
              <w:ind w:right="-66"/>
              <w:rPr>
                <w:b/>
                <w:sz w:val="16"/>
                <w:szCs w:val="16"/>
              </w:rPr>
            </w:pPr>
            <w:r w:rsidRPr="00BE14DD">
              <w:rPr>
                <w:b/>
                <w:sz w:val="16"/>
                <w:szCs w:val="16"/>
              </w:rPr>
              <w:t>Terrestrial</w:t>
            </w:r>
          </w:p>
        </w:tc>
        <w:tc>
          <w:tcPr>
            <w:tcW w:w="1173" w:type="dxa"/>
            <w:shd w:val="clear" w:color="auto" w:fill="F1CBB5"/>
          </w:tcPr>
          <w:p w:rsidR="001C55F3" w:rsidRPr="00BE14DD" w:rsidRDefault="001C55F3" w:rsidP="001C55F3">
            <w:pPr>
              <w:spacing w:after="0"/>
              <w:rPr>
                <w:sz w:val="16"/>
                <w:szCs w:val="16"/>
              </w:rPr>
            </w:pPr>
            <w:r w:rsidRPr="00BE14DD">
              <w:rPr>
                <w:bCs/>
                <w:sz w:val="16"/>
                <w:szCs w:val="16"/>
              </w:rPr>
              <w:t xml:space="preserve">Urban </w:t>
            </w:r>
          </w:p>
        </w:tc>
        <w:tc>
          <w:tcPr>
            <w:tcW w:w="2229" w:type="dxa"/>
            <w:shd w:val="clear" w:color="auto" w:fill="F1CBB5"/>
          </w:tcPr>
          <w:p w:rsidR="001C55F3" w:rsidRPr="00BE14DD" w:rsidRDefault="001C55F3" w:rsidP="001C55F3">
            <w:pPr>
              <w:spacing w:after="0"/>
              <w:rPr>
                <w:sz w:val="16"/>
                <w:szCs w:val="16"/>
              </w:rPr>
            </w:pPr>
            <w:r w:rsidRPr="00BE14DD">
              <w:rPr>
                <w:sz w:val="16"/>
                <w:szCs w:val="16"/>
              </w:rPr>
              <w:t xml:space="preserve">Constructed, industrial and other </w:t>
            </w:r>
            <w:r w:rsidRPr="00BE14DD">
              <w:rPr>
                <w:b/>
                <w:sz w:val="16"/>
                <w:szCs w:val="16"/>
              </w:rPr>
              <w:t>artificial</w:t>
            </w:r>
            <w:r w:rsidRPr="00BE14DD">
              <w:rPr>
                <w:sz w:val="16"/>
                <w:szCs w:val="16"/>
              </w:rPr>
              <w:t xml:space="preserve"> habitats</w:t>
            </w:r>
          </w:p>
        </w:tc>
        <w:tc>
          <w:tcPr>
            <w:tcW w:w="1456" w:type="dxa"/>
            <w:tcBorders>
              <w:bottom w:val="single" w:sz="4" w:space="0" w:color="auto"/>
            </w:tcBorders>
            <w:shd w:val="clear" w:color="auto" w:fill="F1CBB5"/>
          </w:tcPr>
          <w:p w:rsidR="001C55F3" w:rsidRPr="00BE14DD" w:rsidRDefault="001C55F3" w:rsidP="001C55F3">
            <w:pPr>
              <w:spacing w:after="0"/>
              <w:rPr>
                <w:sz w:val="16"/>
                <w:szCs w:val="16"/>
              </w:rPr>
            </w:pPr>
            <w:r w:rsidRPr="00BE14DD">
              <w:rPr>
                <w:sz w:val="16"/>
                <w:szCs w:val="16"/>
              </w:rPr>
              <w:t>Urban</w:t>
            </w:r>
          </w:p>
        </w:tc>
        <w:tc>
          <w:tcPr>
            <w:tcW w:w="2552" w:type="dxa"/>
            <w:tcBorders>
              <w:bottom w:val="single" w:sz="4" w:space="0" w:color="auto"/>
            </w:tcBorders>
            <w:shd w:val="clear" w:color="auto" w:fill="F1CBB5"/>
          </w:tcPr>
          <w:p w:rsidR="001C55F3" w:rsidRPr="00BE14DD" w:rsidRDefault="001C55F3" w:rsidP="001C55F3">
            <w:pPr>
              <w:spacing w:after="0"/>
              <w:rPr>
                <w:sz w:val="16"/>
                <w:szCs w:val="16"/>
              </w:rPr>
            </w:pPr>
            <w:r w:rsidRPr="00BE14DD">
              <w:rPr>
                <w:sz w:val="16"/>
                <w:szCs w:val="16"/>
              </w:rPr>
              <w:t>Artificial surfaces associated with urban areas</w:t>
            </w:r>
          </w:p>
        </w:tc>
      </w:tr>
      <w:tr w:rsidR="001C55F3" w:rsidRPr="00BE14DD" w:rsidTr="001C55F3">
        <w:trPr>
          <w:trHeight w:val="945"/>
        </w:trPr>
        <w:tc>
          <w:tcPr>
            <w:tcW w:w="920" w:type="dxa"/>
            <w:vMerge/>
            <w:shd w:val="clear" w:color="auto" w:fill="D9D9D9"/>
          </w:tcPr>
          <w:p w:rsidR="001C55F3" w:rsidRPr="00BE14DD" w:rsidRDefault="001C55F3" w:rsidP="001C55F3">
            <w:pPr>
              <w:spacing w:after="0"/>
              <w:rPr>
                <w:sz w:val="16"/>
                <w:szCs w:val="16"/>
              </w:rPr>
            </w:pPr>
          </w:p>
        </w:tc>
        <w:tc>
          <w:tcPr>
            <w:tcW w:w="1173" w:type="dxa"/>
            <w:shd w:val="clear" w:color="auto" w:fill="FFFF99"/>
          </w:tcPr>
          <w:p w:rsidR="001C55F3" w:rsidRPr="00BE14DD" w:rsidRDefault="001C55F3" w:rsidP="001C55F3">
            <w:pPr>
              <w:spacing w:after="0"/>
              <w:rPr>
                <w:sz w:val="16"/>
                <w:szCs w:val="16"/>
              </w:rPr>
            </w:pPr>
            <w:r w:rsidRPr="00BE14DD">
              <w:rPr>
                <w:bCs/>
                <w:sz w:val="16"/>
                <w:szCs w:val="16"/>
              </w:rPr>
              <w:t>Cropland</w:t>
            </w:r>
          </w:p>
          <w:p w:rsidR="001C55F3" w:rsidRPr="00BE14DD" w:rsidRDefault="001C55F3" w:rsidP="001C55F3">
            <w:pPr>
              <w:spacing w:after="0"/>
              <w:rPr>
                <w:sz w:val="16"/>
                <w:szCs w:val="16"/>
              </w:rPr>
            </w:pPr>
          </w:p>
        </w:tc>
        <w:tc>
          <w:tcPr>
            <w:tcW w:w="2229" w:type="dxa"/>
            <w:shd w:val="clear" w:color="auto" w:fill="FFFF99"/>
          </w:tcPr>
          <w:p w:rsidR="001C55F3" w:rsidRPr="00BE14DD" w:rsidRDefault="001C55F3" w:rsidP="001C55F3">
            <w:pPr>
              <w:spacing w:after="0"/>
              <w:rPr>
                <w:sz w:val="16"/>
                <w:szCs w:val="16"/>
              </w:rPr>
            </w:pPr>
            <w:r w:rsidRPr="00BE14DD">
              <w:rPr>
                <w:sz w:val="16"/>
                <w:szCs w:val="16"/>
              </w:rPr>
              <w:t xml:space="preserve">Regularly or recently cultivated </w:t>
            </w:r>
            <w:r w:rsidRPr="00BE14DD">
              <w:rPr>
                <w:b/>
                <w:sz w:val="16"/>
                <w:szCs w:val="16"/>
              </w:rPr>
              <w:t>agricultural</w:t>
            </w:r>
            <w:r w:rsidRPr="00BE14DD">
              <w:rPr>
                <w:sz w:val="16"/>
                <w:szCs w:val="16"/>
              </w:rPr>
              <w:t>, horticultural and domestic habitats</w:t>
            </w:r>
          </w:p>
        </w:tc>
        <w:tc>
          <w:tcPr>
            <w:tcW w:w="1456" w:type="dxa"/>
            <w:tcBorders>
              <w:bottom w:val="single" w:sz="4" w:space="0" w:color="auto"/>
            </w:tcBorders>
            <w:shd w:val="clear" w:color="auto" w:fill="FFFF99"/>
          </w:tcPr>
          <w:p w:rsidR="001C55F3" w:rsidRPr="00BE14DD" w:rsidRDefault="001C55F3" w:rsidP="001C55F3">
            <w:pPr>
              <w:spacing w:after="0"/>
              <w:rPr>
                <w:sz w:val="16"/>
                <w:szCs w:val="16"/>
              </w:rPr>
            </w:pPr>
            <w:r w:rsidRPr="00BE14DD">
              <w:rPr>
                <w:sz w:val="16"/>
                <w:szCs w:val="16"/>
              </w:rPr>
              <w:t>Agroecosystems</w:t>
            </w:r>
          </w:p>
        </w:tc>
        <w:tc>
          <w:tcPr>
            <w:tcW w:w="2552" w:type="dxa"/>
            <w:tcBorders>
              <w:bottom w:val="single" w:sz="4" w:space="0" w:color="auto"/>
            </w:tcBorders>
            <w:shd w:val="clear" w:color="auto" w:fill="FFFF99"/>
          </w:tcPr>
          <w:p w:rsidR="001C55F3" w:rsidRPr="00BE14DD" w:rsidRDefault="001C55F3" w:rsidP="00622218">
            <w:pPr>
              <w:pStyle w:val="Paragraphedeliste"/>
              <w:numPr>
                <w:ilvl w:val="0"/>
                <w:numId w:val="93"/>
              </w:numPr>
              <w:spacing w:after="0" w:line="240" w:lineRule="auto"/>
              <w:ind w:left="202" w:hanging="202"/>
              <w:rPr>
                <w:sz w:val="16"/>
                <w:szCs w:val="16"/>
              </w:rPr>
            </w:pPr>
            <w:r w:rsidRPr="00BE14DD">
              <w:rPr>
                <w:sz w:val="16"/>
                <w:szCs w:val="16"/>
              </w:rPr>
              <w:t xml:space="preserve">Systems with woody elements </w:t>
            </w:r>
          </w:p>
          <w:p w:rsidR="001C55F3" w:rsidRPr="00BE14DD" w:rsidRDefault="001C55F3" w:rsidP="00622218">
            <w:pPr>
              <w:pStyle w:val="Paragraphedeliste"/>
              <w:numPr>
                <w:ilvl w:val="0"/>
                <w:numId w:val="93"/>
              </w:numPr>
              <w:spacing w:after="0" w:line="240" w:lineRule="auto"/>
              <w:ind w:left="202" w:hanging="202"/>
              <w:rPr>
                <w:sz w:val="16"/>
                <w:szCs w:val="16"/>
              </w:rPr>
            </w:pPr>
            <w:r w:rsidRPr="00BE14DD">
              <w:rPr>
                <w:sz w:val="16"/>
                <w:szCs w:val="16"/>
              </w:rPr>
              <w:t>Grasslands</w:t>
            </w:r>
          </w:p>
          <w:p w:rsidR="001C55F3" w:rsidRPr="00BE14DD" w:rsidRDefault="001C55F3" w:rsidP="001C55F3">
            <w:pPr>
              <w:spacing w:after="0" w:line="240" w:lineRule="auto"/>
              <w:rPr>
                <w:sz w:val="16"/>
                <w:szCs w:val="16"/>
              </w:rPr>
            </w:pPr>
            <w:r w:rsidRPr="00BE14DD">
              <w:rPr>
                <w:sz w:val="16"/>
                <w:szCs w:val="16"/>
              </w:rPr>
              <w:t>III. Monospecific arable</w:t>
            </w:r>
          </w:p>
          <w:p w:rsidR="001C55F3" w:rsidRPr="00BE14DD" w:rsidRDefault="001C55F3" w:rsidP="001C55F3">
            <w:pPr>
              <w:spacing w:after="0" w:line="240" w:lineRule="auto"/>
              <w:rPr>
                <w:sz w:val="16"/>
                <w:szCs w:val="16"/>
              </w:rPr>
            </w:pPr>
            <w:r w:rsidRPr="00BE14DD">
              <w:rPr>
                <w:sz w:val="16"/>
                <w:szCs w:val="16"/>
              </w:rPr>
              <w:t>IV. Polycultures</w:t>
            </w:r>
          </w:p>
          <w:p w:rsidR="001C55F3" w:rsidRPr="00BE14DD" w:rsidRDefault="001C55F3" w:rsidP="001C55F3">
            <w:pPr>
              <w:spacing w:after="0" w:line="240" w:lineRule="auto"/>
              <w:rPr>
                <w:sz w:val="16"/>
                <w:szCs w:val="16"/>
              </w:rPr>
            </w:pPr>
            <w:r w:rsidRPr="00BE14DD">
              <w:rPr>
                <w:sz w:val="16"/>
                <w:szCs w:val="16"/>
              </w:rPr>
              <w:t>V. Industrial agriculture</w:t>
            </w:r>
          </w:p>
        </w:tc>
      </w:tr>
      <w:tr w:rsidR="001C55F3" w:rsidRPr="00BE14DD" w:rsidTr="001C55F3">
        <w:tc>
          <w:tcPr>
            <w:tcW w:w="920" w:type="dxa"/>
            <w:vMerge/>
            <w:shd w:val="clear" w:color="auto" w:fill="D9D9D9"/>
          </w:tcPr>
          <w:p w:rsidR="001C55F3" w:rsidRPr="00BE14DD" w:rsidRDefault="001C55F3" w:rsidP="001C55F3">
            <w:pPr>
              <w:spacing w:after="0"/>
              <w:rPr>
                <w:sz w:val="16"/>
                <w:szCs w:val="16"/>
              </w:rPr>
            </w:pPr>
          </w:p>
        </w:tc>
        <w:tc>
          <w:tcPr>
            <w:tcW w:w="1173" w:type="dxa"/>
            <w:shd w:val="clear" w:color="auto" w:fill="CCFF99"/>
          </w:tcPr>
          <w:p w:rsidR="001C55F3" w:rsidRPr="00BE14DD" w:rsidRDefault="001C55F3" w:rsidP="001C55F3">
            <w:pPr>
              <w:spacing w:after="0"/>
              <w:rPr>
                <w:sz w:val="16"/>
                <w:szCs w:val="16"/>
              </w:rPr>
            </w:pPr>
            <w:r w:rsidRPr="00BE14DD">
              <w:rPr>
                <w:sz w:val="16"/>
                <w:szCs w:val="16"/>
              </w:rPr>
              <w:t>Grassland</w:t>
            </w:r>
          </w:p>
        </w:tc>
        <w:tc>
          <w:tcPr>
            <w:tcW w:w="2229" w:type="dxa"/>
            <w:shd w:val="clear" w:color="auto" w:fill="CCFF99"/>
          </w:tcPr>
          <w:p w:rsidR="001C55F3" w:rsidRPr="00BE14DD" w:rsidRDefault="001C55F3" w:rsidP="001C55F3">
            <w:pPr>
              <w:spacing w:after="0"/>
              <w:rPr>
                <w:sz w:val="16"/>
                <w:szCs w:val="16"/>
              </w:rPr>
            </w:pPr>
            <w:r w:rsidRPr="00BE14DD">
              <w:rPr>
                <w:b/>
                <w:sz w:val="16"/>
                <w:szCs w:val="16"/>
              </w:rPr>
              <w:t>L</w:t>
            </w:r>
            <w:r w:rsidRPr="00BE14DD">
              <w:rPr>
                <w:sz w:val="16"/>
                <w:szCs w:val="16"/>
              </w:rPr>
              <w:t>and dominated by forbs, mosses or lichens</w:t>
            </w:r>
          </w:p>
        </w:tc>
        <w:tc>
          <w:tcPr>
            <w:tcW w:w="1456" w:type="dxa"/>
            <w:tcBorders>
              <w:bottom w:val="single" w:sz="4" w:space="0" w:color="auto"/>
            </w:tcBorders>
            <w:shd w:val="clear" w:color="auto" w:fill="CCFF99"/>
          </w:tcPr>
          <w:p w:rsidR="001C55F3" w:rsidRPr="00BE14DD" w:rsidRDefault="001C55F3" w:rsidP="001C55F3">
            <w:pPr>
              <w:spacing w:after="0"/>
              <w:rPr>
                <w:sz w:val="16"/>
                <w:szCs w:val="16"/>
              </w:rPr>
            </w:pPr>
          </w:p>
        </w:tc>
        <w:tc>
          <w:tcPr>
            <w:tcW w:w="2552" w:type="dxa"/>
            <w:tcBorders>
              <w:bottom w:val="single" w:sz="4" w:space="0" w:color="auto"/>
            </w:tcBorders>
            <w:shd w:val="clear" w:color="auto" w:fill="CCFF99"/>
          </w:tcPr>
          <w:p w:rsidR="001C55F3" w:rsidRPr="00BE14DD" w:rsidRDefault="001C55F3" w:rsidP="001C55F3">
            <w:pPr>
              <w:spacing w:after="0"/>
              <w:rPr>
                <w:sz w:val="16"/>
                <w:szCs w:val="16"/>
              </w:rPr>
            </w:pPr>
          </w:p>
        </w:tc>
      </w:tr>
      <w:tr w:rsidR="001C55F3" w:rsidRPr="00BE14DD" w:rsidTr="001C55F3">
        <w:trPr>
          <w:trHeight w:val="341"/>
        </w:trPr>
        <w:tc>
          <w:tcPr>
            <w:tcW w:w="920" w:type="dxa"/>
            <w:vMerge/>
            <w:shd w:val="clear" w:color="auto" w:fill="D9D9D9"/>
          </w:tcPr>
          <w:p w:rsidR="001C55F3" w:rsidRPr="00BE14DD" w:rsidRDefault="001C55F3" w:rsidP="001C55F3">
            <w:pPr>
              <w:spacing w:after="0"/>
              <w:rPr>
                <w:sz w:val="16"/>
                <w:szCs w:val="16"/>
              </w:rPr>
            </w:pPr>
          </w:p>
        </w:tc>
        <w:tc>
          <w:tcPr>
            <w:tcW w:w="1173" w:type="dxa"/>
            <w:shd w:val="clear" w:color="auto" w:fill="92D050"/>
          </w:tcPr>
          <w:p w:rsidR="001C55F3" w:rsidRPr="00BE14DD" w:rsidRDefault="001C55F3" w:rsidP="001C55F3">
            <w:pPr>
              <w:spacing w:after="0"/>
              <w:rPr>
                <w:sz w:val="16"/>
                <w:szCs w:val="16"/>
              </w:rPr>
            </w:pPr>
            <w:r w:rsidRPr="00BE14DD">
              <w:rPr>
                <w:bCs/>
                <w:sz w:val="16"/>
                <w:szCs w:val="16"/>
              </w:rPr>
              <w:t>Woodland and forest</w:t>
            </w:r>
          </w:p>
        </w:tc>
        <w:tc>
          <w:tcPr>
            <w:tcW w:w="2229" w:type="dxa"/>
            <w:shd w:val="clear" w:color="auto" w:fill="92D050"/>
          </w:tcPr>
          <w:p w:rsidR="001C55F3" w:rsidRPr="00BE14DD" w:rsidRDefault="001C55F3" w:rsidP="001C55F3">
            <w:pPr>
              <w:spacing w:after="0"/>
              <w:rPr>
                <w:sz w:val="16"/>
                <w:szCs w:val="16"/>
              </w:rPr>
            </w:pPr>
            <w:r w:rsidRPr="00BE14DD">
              <w:rPr>
                <w:sz w:val="16"/>
                <w:szCs w:val="16"/>
              </w:rPr>
              <w:t xml:space="preserve">Woodland, </w:t>
            </w:r>
            <w:r w:rsidRPr="00BE14DD">
              <w:rPr>
                <w:b/>
                <w:sz w:val="16"/>
                <w:szCs w:val="16"/>
              </w:rPr>
              <w:t>forest</w:t>
            </w:r>
            <w:r w:rsidRPr="00BE14DD">
              <w:rPr>
                <w:sz w:val="16"/>
                <w:szCs w:val="16"/>
              </w:rPr>
              <w:t xml:space="preserve"> and other wooded land</w:t>
            </w:r>
          </w:p>
        </w:tc>
        <w:tc>
          <w:tcPr>
            <w:tcW w:w="1456" w:type="dxa"/>
            <w:tcBorders>
              <w:bottom w:val="single" w:sz="4" w:space="0" w:color="auto"/>
            </w:tcBorders>
            <w:shd w:val="clear" w:color="auto" w:fill="92D050"/>
          </w:tcPr>
          <w:p w:rsidR="001C55F3" w:rsidRPr="00BE14DD" w:rsidRDefault="001C55F3" w:rsidP="001C55F3">
            <w:pPr>
              <w:spacing w:after="0"/>
              <w:rPr>
                <w:sz w:val="16"/>
                <w:szCs w:val="16"/>
              </w:rPr>
            </w:pPr>
            <w:r w:rsidRPr="00BE14DD">
              <w:rPr>
                <w:sz w:val="16"/>
                <w:szCs w:val="16"/>
              </w:rPr>
              <w:t>Atlantic forest</w:t>
            </w:r>
          </w:p>
        </w:tc>
        <w:tc>
          <w:tcPr>
            <w:tcW w:w="2552" w:type="dxa"/>
            <w:tcBorders>
              <w:bottom w:val="single" w:sz="4" w:space="0" w:color="auto"/>
            </w:tcBorders>
            <w:shd w:val="clear" w:color="auto" w:fill="92D050"/>
          </w:tcPr>
          <w:p w:rsidR="001C55F3" w:rsidRPr="00BE14DD" w:rsidRDefault="001C55F3" w:rsidP="001C55F3">
            <w:pPr>
              <w:spacing w:after="0"/>
              <w:rPr>
                <w:sz w:val="16"/>
                <w:szCs w:val="16"/>
              </w:rPr>
            </w:pPr>
            <w:r w:rsidRPr="00BE14DD">
              <w:rPr>
                <w:sz w:val="16"/>
                <w:szCs w:val="16"/>
              </w:rPr>
              <w:t>Bioclimatic Eurosiberian Region: Colino and Montano floors</w:t>
            </w:r>
          </w:p>
        </w:tc>
      </w:tr>
      <w:tr w:rsidR="001C55F3" w:rsidRPr="00BE14DD" w:rsidTr="001C55F3">
        <w:trPr>
          <w:trHeight w:val="228"/>
        </w:trPr>
        <w:tc>
          <w:tcPr>
            <w:tcW w:w="920" w:type="dxa"/>
            <w:vMerge/>
            <w:shd w:val="clear" w:color="auto" w:fill="D9D9D9"/>
          </w:tcPr>
          <w:p w:rsidR="001C55F3" w:rsidRPr="00BE14DD" w:rsidRDefault="001C55F3" w:rsidP="001C55F3">
            <w:pPr>
              <w:spacing w:after="0"/>
              <w:rPr>
                <w:sz w:val="16"/>
                <w:szCs w:val="16"/>
              </w:rPr>
            </w:pPr>
          </w:p>
        </w:tc>
        <w:tc>
          <w:tcPr>
            <w:tcW w:w="1173" w:type="dxa"/>
            <w:shd w:val="clear" w:color="auto" w:fill="92D050"/>
          </w:tcPr>
          <w:p w:rsidR="001C55F3" w:rsidRPr="00BE14DD" w:rsidRDefault="001C55F3" w:rsidP="001C55F3">
            <w:pPr>
              <w:spacing w:after="0"/>
              <w:rPr>
                <w:sz w:val="16"/>
                <w:szCs w:val="16"/>
              </w:rPr>
            </w:pPr>
          </w:p>
        </w:tc>
        <w:tc>
          <w:tcPr>
            <w:tcW w:w="2229" w:type="dxa"/>
            <w:shd w:val="clear" w:color="auto" w:fill="92D050"/>
          </w:tcPr>
          <w:p w:rsidR="001C55F3" w:rsidRPr="00BE14DD" w:rsidRDefault="001C55F3" w:rsidP="001C55F3">
            <w:pPr>
              <w:spacing w:after="0"/>
              <w:rPr>
                <w:sz w:val="16"/>
                <w:szCs w:val="16"/>
              </w:rPr>
            </w:pPr>
          </w:p>
        </w:tc>
        <w:tc>
          <w:tcPr>
            <w:tcW w:w="1456" w:type="dxa"/>
            <w:shd w:val="clear" w:color="auto" w:fill="92D050"/>
          </w:tcPr>
          <w:p w:rsidR="001C55F3" w:rsidRPr="00BE14DD" w:rsidRDefault="001C55F3" w:rsidP="001C55F3">
            <w:pPr>
              <w:spacing w:after="0"/>
              <w:rPr>
                <w:sz w:val="16"/>
                <w:szCs w:val="16"/>
              </w:rPr>
            </w:pPr>
            <w:r w:rsidRPr="00BE14DD">
              <w:rPr>
                <w:sz w:val="16"/>
                <w:szCs w:val="16"/>
              </w:rPr>
              <w:t>Mediterranean continental forest</w:t>
            </w:r>
          </w:p>
        </w:tc>
        <w:tc>
          <w:tcPr>
            <w:tcW w:w="2552" w:type="dxa"/>
            <w:shd w:val="clear" w:color="auto" w:fill="92D050"/>
          </w:tcPr>
          <w:p w:rsidR="001C55F3" w:rsidRPr="00BE14DD" w:rsidRDefault="001C55F3" w:rsidP="001C55F3">
            <w:pPr>
              <w:spacing w:after="0"/>
              <w:rPr>
                <w:sz w:val="16"/>
                <w:szCs w:val="16"/>
              </w:rPr>
            </w:pPr>
            <w:r w:rsidRPr="00BE14DD">
              <w:rPr>
                <w:sz w:val="16"/>
                <w:szCs w:val="16"/>
              </w:rPr>
              <w:t>Matches bioclimatic supramediterranean floor</w:t>
            </w:r>
          </w:p>
        </w:tc>
      </w:tr>
      <w:tr w:rsidR="001C55F3" w:rsidRPr="00BE14DD" w:rsidTr="001C55F3">
        <w:trPr>
          <w:trHeight w:val="719"/>
        </w:trPr>
        <w:tc>
          <w:tcPr>
            <w:tcW w:w="920" w:type="dxa"/>
            <w:vMerge/>
            <w:shd w:val="clear" w:color="auto" w:fill="D9D9D9"/>
          </w:tcPr>
          <w:p w:rsidR="001C55F3" w:rsidRPr="00BE14DD" w:rsidRDefault="001C55F3" w:rsidP="001C55F3">
            <w:pPr>
              <w:spacing w:after="0"/>
              <w:rPr>
                <w:sz w:val="16"/>
                <w:szCs w:val="16"/>
              </w:rPr>
            </w:pPr>
          </w:p>
        </w:tc>
        <w:tc>
          <w:tcPr>
            <w:tcW w:w="1173" w:type="dxa"/>
            <w:shd w:val="clear" w:color="auto" w:fill="CC99FF"/>
          </w:tcPr>
          <w:p w:rsidR="001C55F3" w:rsidRPr="00BE14DD" w:rsidRDefault="001C55F3" w:rsidP="001C55F3">
            <w:pPr>
              <w:spacing w:after="0"/>
              <w:rPr>
                <w:sz w:val="16"/>
                <w:szCs w:val="16"/>
              </w:rPr>
            </w:pPr>
            <w:r w:rsidRPr="00BE14DD">
              <w:rPr>
                <w:bCs/>
                <w:sz w:val="16"/>
                <w:szCs w:val="16"/>
              </w:rPr>
              <w:t>Heathland and shrub</w:t>
            </w:r>
          </w:p>
        </w:tc>
        <w:tc>
          <w:tcPr>
            <w:tcW w:w="2229" w:type="dxa"/>
            <w:shd w:val="clear" w:color="auto" w:fill="CC99FF"/>
          </w:tcPr>
          <w:p w:rsidR="001C55F3" w:rsidRPr="00BE14DD" w:rsidRDefault="001C55F3" w:rsidP="001C55F3">
            <w:pPr>
              <w:spacing w:after="0"/>
              <w:rPr>
                <w:sz w:val="16"/>
                <w:szCs w:val="16"/>
              </w:rPr>
            </w:pPr>
            <w:r w:rsidRPr="00BE14DD">
              <w:rPr>
                <w:sz w:val="16"/>
                <w:szCs w:val="16"/>
              </w:rPr>
              <w:t>Moors, heathland and sclerophyllous vegetation</w:t>
            </w:r>
          </w:p>
        </w:tc>
        <w:tc>
          <w:tcPr>
            <w:tcW w:w="1456" w:type="dxa"/>
            <w:tcBorders>
              <w:bottom w:val="single" w:sz="4" w:space="0" w:color="auto"/>
            </w:tcBorders>
            <w:shd w:val="clear" w:color="auto" w:fill="CC99FF"/>
          </w:tcPr>
          <w:p w:rsidR="001C55F3" w:rsidRPr="00BE14DD" w:rsidRDefault="001C55F3" w:rsidP="001C55F3">
            <w:pPr>
              <w:spacing w:after="0"/>
              <w:rPr>
                <w:sz w:val="16"/>
                <w:szCs w:val="16"/>
              </w:rPr>
            </w:pPr>
            <w:r w:rsidRPr="00BE14DD">
              <w:rPr>
                <w:sz w:val="16"/>
                <w:szCs w:val="16"/>
              </w:rPr>
              <w:t>Sclerophylous forest and shrub</w:t>
            </w:r>
          </w:p>
        </w:tc>
        <w:tc>
          <w:tcPr>
            <w:tcW w:w="2552" w:type="dxa"/>
            <w:tcBorders>
              <w:bottom w:val="single" w:sz="4" w:space="0" w:color="auto"/>
            </w:tcBorders>
            <w:shd w:val="clear" w:color="auto" w:fill="CC99FF"/>
          </w:tcPr>
          <w:p w:rsidR="001C55F3" w:rsidRPr="00BE14DD" w:rsidRDefault="001C55F3" w:rsidP="001C55F3">
            <w:pPr>
              <w:spacing w:after="0"/>
              <w:rPr>
                <w:sz w:val="16"/>
                <w:szCs w:val="16"/>
              </w:rPr>
            </w:pPr>
            <w:r w:rsidRPr="00BE14DD">
              <w:rPr>
                <w:sz w:val="16"/>
                <w:szCs w:val="16"/>
              </w:rPr>
              <w:t>Matches bioclimatic mesomediterranean and thermomediterranean floors</w:t>
            </w:r>
          </w:p>
        </w:tc>
      </w:tr>
      <w:tr w:rsidR="001C55F3" w:rsidRPr="00BE14DD" w:rsidTr="001C55F3">
        <w:trPr>
          <w:trHeight w:val="293"/>
        </w:trPr>
        <w:tc>
          <w:tcPr>
            <w:tcW w:w="920" w:type="dxa"/>
            <w:vMerge/>
            <w:shd w:val="clear" w:color="auto" w:fill="D9D9D9"/>
          </w:tcPr>
          <w:p w:rsidR="001C55F3" w:rsidRPr="00BE14DD" w:rsidRDefault="001C55F3" w:rsidP="001C55F3">
            <w:pPr>
              <w:spacing w:after="0"/>
              <w:rPr>
                <w:sz w:val="16"/>
                <w:szCs w:val="16"/>
              </w:rPr>
            </w:pPr>
          </w:p>
        </w:tc>
        <w:tc>
          <w:tcPr>
            <w:tcW w:w="1173" w:type="dxa"/>
            <w:vMerge w:val="restart"/>
            <w:shd w:val="clear" w:color="auto" w:fill="E0CAA3"/>
          </w:tcPr>
          <w:p w:rsidR="001C55F3" w:rsidRPr="00BE14DD" w:rsidRDefault="001C55F3" w:rsidP="001C55F3">
            <w:pPr>
              <w:spacing w:after="0"/>
              <w:rPr>
                <w:sz w:val="16"/>
                <w:szCs w:val="16"/>
              </w:rPr>
            </w:pPr>
            <w:r w:rsidRPr="00BE14DD">
              <w:rPr>
                <w:bCs/>
                <w:sz w:val="16"/>
                <w:szCs w:val="16"/>
              </w:rPr>
              <w:t>Sparsely vegetated land</w:t>
            </w:r>
          </w:p>
          <w:p w:rsidR="001C55F3" w:rsidRPr="00BE14DD" w:rsidRDefault="001C55F3" w:rsidP="001C55F3">
            <w:pPr>
              <w:spacing w:after="0"/>
              <w:rPr>
                <w:sz w:val="16"/>
                <w:szCs w:val="16"/>
              </w:rPr>
            </w:pPr>
          </w:p>
        </w:tc>
        <w:tc>
          <w:tcPr>
            <w:tcW w:w="2229" w:type="dxa"/>
            <w:vMerge w:val="restart"/>
            <w:shd w:val="clear" w:color="auto" w:fill="E0CAA3"/>
          </w:tcPr>
          <w:p w:rsidR="001C55F3" w:rsidRPr="00BE14DD" w:rsidRDefault="001C55F3" w:rsidP="001C55F3">
            <w:pPr>
              <w:spacing w:after="0"/>
              <w:rPr>
                <w:sz w:val="16"/>
                <w:szCs w:val="16"/>
              </w:rPr>
            </w:pPr>
            <w:r w:rsidRPr="00BE14DD">
              <w:rPr>
                <w:sz w:val="16"/>
                <w:szCs w:val="16"/>
              </w:rPr>
              <w:t>Open spaces with little or no vegetation (bare rocks, glaciers and inland dunes and sand plains included)</w:t>
            </w:r>
          </w:p>
        </w:tc>
        <w:tc>
          <w:tcPr>
            <w:tcW w:w="1456" w:type="dxa"/>
            <w:tcBorders>
              <w:bottom w:val="single" w:sz="4" w:space="0" w:color="auto"/>
            </w:tcBorders>
            <w:shd w:val="clear" w:color="auto" w:fill="E0CAA3"/>
          </w:tcPr>
          <w:p w:rsidR="001C55F3" w:rsidRPr="00BE14DD" w:rsidRDefault="001C55F3" w:rsidP="001C55F3">
            <w:pPr>
              <w:spacing w:after="0"/>
              <w:rPr>
                <w:sz w:val="16"/>
                <w:szCs w:val="16"/>
              </w:rPr>
            </w:pPr>
            <w:r w:rsidRPr="00BE14DD">
              <w:rPr>
                <w:sz w:val="16"/>
                <w:szCs w:val="16"/>
              </w:rPr>
              <w:t>Alpine mountain</w:t>
            </w:r>
          </w:p>
        </w:tc>
        <w:tc>
          <w:tcPr>
            <w:tcW w:w="2552" w:type="dxa"/>
            <w:tcBorders>
              <w:bottom w:val="single" w:sz="4" w:space="0" w:color="auto"/>
            </w:tcBorders>
            <w:shd w:val="clear" w:color="auto" w:fill="E0CAA3"/>
          </w:tcPr>
          <w:p w:rsidR="001C55F3" w:rsidRPr="00BE14DD" w:rsidRDefault="001C55F3" w:rsidP="001C55F3">
            <w:pPr>
              <w:spacing w:after="0"/>
              <w:rPr>
                <w:sz w:val="16"/>
                <w:szCs w:val="16"/>
              </w:rPr>
            </w:pPr>
            <w:r w:rsidRPr="00BE14DD">
              <w:rPr>
                <w:sz w:val="16"/>
                <w:szCs w:val="16"/>
              </w:rPr>
              <w:t>Bioclimatic Eurosiberian Region:</w:t>
            </w:r>
          </w:p>
          <w:p w:rsidR="001C55F3" w:rsidRPr="00BE14DD" w:rsidRDefault="001C55F3" w:rsidP="001C55F3">
            <w:pPr>
              <w:spacing w:after="0"/>
              <w:rPr>
                <w:sz w:val="16"/>
                <w:szCs w:val="16"/>
              </w:rPr>
            </w:pPr>
            <w:r w:rsidRPr="00BE14DD">
              <w:rPr>
                <w:sz w:val="16"/>
                <w:szCs w:val="16"/>
              </w:rPr>
              <w:t>altitudes above 1,500 m</w:t>
            </w:r>
          </w:p>
        </w:tc>
      </w:tr>
      <w:tr w:rsidR="001C55F3" w:rsidRPr="00BE14DD" w:rsidTr="001C55F3">
        <w:trPr>
          <w:trHeight w:val="402"/>
        </w:trPr>
        <w:tc>
          <w:tcPr>
            <w:tcW w:w="920" w:type="dxa"/>
            <w:vMerge/>
            <w:shd w:val="clear" w:color="auto" w:fill="D9D9D9"/>
          </w:tcPr>
          <w:p w:rsidR="001C55F3" w:rsidRPr="00BE14DD" w:rsidRDefault="001C55F3" w:rsidP="001C55F3">
            <w:pPr>
              <w:spacing w:after="0"/>
              <w:rPr>
                <w:sz w:val="16"/>
                <w:szCs w:val="16"/>
              </w:rPr>
            </w:pPr>
          </w:p>
        </w:tc>
        <w:tc>
          <w:tcPr>
            <w:tcW w:w="1173" w:type="dxa"/>
            <w:vMerge/>
            <w:shd w:val="clear" w:color="auto" w:fill="E0CAA3"/>
          </w:tcPr>
          <w:p w:rsidR="001C55F3" w:rsidRPr="00BE14DD" w:rsidRDefault="001C55F3" w:rsidP="001C55F3">
            <w:pPr>
              <w:spacing w:after="0"/>
              <w:rPr>
                <w:sz w:val="16"/>
                <w:szCs w:val="16"/>
              </w:rPr>
            </w:pPr>
          </w:p>
        </w:tc>
        <w:tc>
          <w:tcPr>
            <w:tcW w:w="2229" w:type="dxa"/>
            <w:vMerge/>
            <w:shd w:val="clear" w:color="auto" w:fill="E0CAA3"/>
          </w:tcPr>
          <w:p w:rsidR="001C55F3" w:rsidRPr="00BE14DD" w:rsidRDefault="001C55F3" w:rsidP="001C55F3">
            <w:pPr>
              <w:spacing w:after="0"/>
              <w:rPr>
                <w:sz w:val="16"/>
                <w:szCs w:val="16"/>
              </w:rPr>
            </w:pPr>
          </w:p>
        </w:tc>
        <w:tc>
          <w:tcPr>
            <w:tcW w:w="1456" w:type="dxa"/>
            <w:tcBorders>
              <w:bottom w:val="single" w:sz="4" w:space="0" w:color="auto"/>
            </w:tcBorders>
            <w:shd w:val="clear" w:color="auto" w:fill="E0CAA3"/>
          </w:tcPr>
          <w:p w:rsidR="001C55F3" w:rsidRPr="00BE14DD" w:rsidRDefault="001C55F3" w:rsidP="001C55F3">
            <w:pPr>
              <w:spacing w:after="0"/>
              <w:rPr>
                <w:sz w:val="16"/>
                <w:szCs w:val="16"/>
              </w:rPr>
            </w:pPr>
            <w:r w:rsidRPr="00BE14DD">
              <w:rPr>
                <w:sz w:val="16"/>
                <w:szCs w:val="16"/>
              </w:rPr>
              <w:t>Mediterranean mountain</w:t>
            </w:r>
          </w:p>
        </w:tc>
        <w:tc>
          <w:tcPr>
            <w:tcW w:w="2552" w:type="dxa"/>
            <w:tcBorders>
              <w:bottom w:val="single" w:sz="4" w:space="0" w:color="auto"/>
            </w:tcBorders>
            <w:shd w:val="clear" w:color="auto" w:fill="E0CAA3"/>
          </w:tcPr>
          <w:p w:rsidR="001C55F3" w:rsidRPr="00BE14DD" w:rsidRDefault="001C55F3" w:rsidP="001C55F3">
            <w:pPr>
              <w:spacing w:after="0"/>
              <w:rPr>
                <w:sz w:val="16"/>
                <w:szCs w:val="16"/>
              </w:rPr>
            </w:pPr>
            <w:r w:rsidRPr="00BE14DD">
              <w:rPr>
                <w:sz w:val="16"/>
                <w:szCs w:val="16"/>
              </w:rPr>
              <w:t>Bioclimatic Mediterranean Region:</w:t>
            </w:r>
          </w:p>
          <w:p w:rsidR="001C55F3" w:rsidRPr="00BE14DD" w:rsidRDefault="001C55F3" w:rsidP="001C55F3">
            <w:pPr>
              <w:spacing w:after="0"/>
              <w:rPr>
                <w:sz w:val="16"/>
                <w:szCs w:val="16"/>
              </w:rPr>
            </w:pPr>
            <w:r w:rsidRPr="00BE14DD">
              <w:rPr>
                <w:sz w:val="16"/>
                <w:szCs w:val="16"/>
              </w:rPr>
              <w:t>altitudes above 1,300 m</w:t>
            </w:r>
          </w:p>
        </w:tc>
      </w:tr>
      <w:tr w:rsidR="001C55F3" w:rsidRPr="00BE14DD" w:rsidTr="001C55F3">
        <w:trPr>
          <w:trHeight w:val="126"/>
        </w:trPr>
        <w:tc>
          <w:tcPr>
            <w:tcW w:w="920" w:type="dxa"/>
            <w:vMerge/>
            <w:shd w:val="clear" w:color="auto" w:fill="D9D9D9"/>
          </w:tcPr>
          <w:p w:rsidR="001C55F3" w:rsidRPr="00BE14DD" w:rsidRDefault="001C55F3" w:rsidP="001C55F3">
            <w:pPr>
              <w:spacing w:after="0"/>
              <w:rPr>
                <w:sz w:val="16"/>
                <w:szCs w:val="16"/>
              </w:rPr>
            </w:pPr>
          </w:p>
        </w:tc>
        <w:tc>
          <w:tcPr>
            <w:tcW w:w="1173" w:type="dxa"/>
            <w:vMerge/>
            <w:shd w:val="clear" w:color="auto" w:fill="E0CAA3"/>
          </w:tcPr>
          <w:p w:rsidR="001C55F3" w:rsidRPr="00BE14DD" w:rsidRDefault="001C55F3" w:rsidP="001C55F3">
            <w:pPr>
              <w:spacing w:after="0"/>
              <w:rPr>
                <w:sz w:val="16"/>
                <w:szCs w:val="16"/>
              </w:rPr>
            </w:pPr>
          </w:p>
        </w:tc>
        <w:tc>
          <w:tcPr>
            <w:tcW w:w="2229" w:type="dxa"/>
            <w:vMerge/>
            <w:shd w:val="clear" w:color="auto" w:fill="E0CAA3"/>
          </w:tcPr>
          <w:p w:rsidR="001C55F3" w:rsidRPr="00BE14DD" w:rsidRDefault="001C55F3" w:rsidP="001C55F3">
            <w:pPr>
              <w:spacing w:after="0"/>
              <w:rPr>
                <w:sz w:val="16"/>
                <w:szCs w:val="16"/>
              </w:rPr>
            </w:pPr>
          </w:p>
        </w:tc>
        <w:tc>
          <w:tcPr>
            <w:tcW w:w="1456" w:type="dxa"/>
            <w:tcBorders>
              <w:bottom w:val="single" w:sz="4" w:space="0" w:color="auto"/>
            </w:tcBorders>
            <w:shd w:val="clear" w:color="auto" w:fill="E0CAA3"/>
          </w:tcPr>
          <w:p w:rsidR="001C55F3" w:rsidRPr="00BE14DD" w:rsidRDefault="001C55F3" w:rsidP="001C55F3">
            <w:pPr>
              <w:spacing w:after="0"/>
              <w:rPr>
                <w:sz w:val="16"/>
                <w:szCs w:val="16"/>
              </w:rPr>
            </w:pPr>
            <w:r w:rsidRPr="00BE14DD">
              <w:rPr>
                <w:sz w:val="16"/>
                <w:szCs w:val="16"/>
              </w:rPr>
              <w:t>Arid zones</w:t>
            </w:r>
          </w:p>
        </w:tc>
        <w:tc>
          <w:tcPr>
            <w:tcW w:w="2552" w:type="dxa"/>
            <w:tcBorders>
              <w:bottom w:val="single" w:sz="4" w:space="0" w:color="auto"/>
            </w:tcBorders>
            <w:shd w:val="clear" w:color="auto" w:fill="E0CAA3"/>
          </w:tcPr>
          <w:p w:rsidR="001C55F3" w:rsidRPr="00BE14DD" w:rsidRDefault="001C55F3" w:rsidP="001C55F3">
            <w:pPr>
              <w:spacing w:after="0"/>
              <w:rPr>
                <w:sz w:val="16"/>
                <w:szCs w:val="16"/>
              </w:rPr>
            </w:pPr>
            <w:r w:rsidRPr="00BE14DD">
              <w:rPr>
                <w:sz w:val="16"/>
                <w:szCs w:val="16"/>
              </w:rPr>
              <w:t>Less than 300 mm annual rainfall</w:t>
            </w:r>
          </w:p>
        </w:tc>
      </w:tr>
      <w:tr w:rsidR="001C55F3" w:rsidRPr="00BE14DD" w:rsidTr="001C55F3">
        <w:trPr>
          <w:trHeight w:val="413"/>
        </w:trPr>
        <w:tc>
          <w:tcPr>
            <w:tcW w:w="920" w:type="dxa"/>
            <w:vMerge/>
            <w:shd w:val="clear" w:color="auto" w:fill="D9D9D9"/>
          </w:tcPr>
          <w:p w:rsidR="001C55F3" w:rsidRPr="00BE14DD" w:rsidRDefault="001C55F3" w:rsidP="001C55F3">
            <w:pPr>
              <w:spacing w:after="0"/>
              <w:rPr>
                <w:sz w:val="16"/>
                <w:szCs w:val="16"/>
              </w:rPr>
            </w:pPr>
          </w:p>
        </w:tc>
        <w:tc>
          <w:tcPr>
            <w:tcW w:w="1173" w:type="dxa"/>
            <w:vMerge w:val="restart"/>
            <w:shd w:val="clear" w:color="auto" w:fill="99CCFF"/>
          </w:tcPr>
          <w:p w:rsidR="001C55F3" w:rsidRPr="00BE14DD" w:rsidRDefault="001C55F3" w:rsidP="001C55F3">
            <w:pPr>
              <w:spacing w:after="0"/>
              <w:rPr>
                <w:sz w:val="16"/>
                <w:szCs w:val="16"/>
              </w:rPr>
            </w:pPr>
            <w:r w:rsidRPr="00BE14DD">
              <w:rPr>
                <w:bCs/>
                <w:sz w:val="16"/>
                <w:szCs w:val="16"/>
              </w:rPr>
              <w:t xml:space="preserve">Inland wetlands </w:t>
            </w:r>
          </w:p>
          <w:p w:rsidR="001C55F3" w:rsidRPr="00BE14DD" w:rsidRDefault="001C55F3" w:rsidP="001C55F3">
            <w:pPr>
              <w:spacing w:after="0"/>
              <w:rPr>
                <w:sz w:val="16"/>
                <w:szCs w:val="16"/>
              </w:rPr>
            </w:pPr>
          </w:p>
        </w:tc>
        <w:tc>
          <w:tcPr>
            <w:tcW w:w="2229" w:type="dxa"/>
            <w:vMerge w:val="restart"/>
            <w:shd w:val="clear" w:color="auto" w:fill="99CCFF"/>
          </w:tcPr>
          <w:p w:rsidR="001C55F3" w:rsidRPr="00BE14DD" w:rsidRDefault="001C55F3" w:rsidP="001C55F3">
            <w:pPr>
              <w:spacing w:after="0"/>
              <w:rPr>
                <w:sz w:val="16"/>
                <w:szCs w:val="16"/>
              </w:rPr>
            </w:pPr>
            <w:r w:rsidRPr="00BE14DD">
              <w:rPr>
                <w:b/>
                <w:sz w:val="16"/>
                <w:szCs w:val="16"/>
              </w:rPr>
              <w:t>Mires</w:t>
            </w:r>
            <w:r w:rsidRPr="00BE14DD">
              <w:rPr>
                <w:sz w:val="16"/>
                <w:szCs w:val="16"/>
              </w:rPr>
              <w:t>, bogs and fens (freshwater wetland habitats)</w:t>
            </w:r>
          </w:p>
        </w:tc>
        <w:tc>
          <w:tcPr>
            <w:tcW w:w="1456" w:type="dxa"/>
            <w:tcBorders>
              <w:bottom w:val="single" w:sz="4" w:space="0" w:color="auto"/>
            </w:tcBorders>
            <w:shd w:val="clear" w:color="auto" w:fill="99CCFF"/>
          </w:tcPr>
          <w:p w:rsidR="001C55F3" w:rsidRPr="00BE14DD" w:rsidRDefault="001C55F3" w:rsidP="001C55F3">
            <w:pPr>
              <w:spacing w:after="0"/>
              <w:rPr>
                <w:sz w:val="16"/>
                <w:szCs w:val="16"/>
              </w:rPr>
            </w:pPr>
            <w:r w:rsidRPr="00BE14DD">
              <w:rPr>
                <w:sz w:val="16"/>
                <w:szCs w:val="16"/>
              </w:rPr>
              <w:t>Wetlands and lakes</w:t>
            </w:r>
          </w:p>
        </w:tc>
        <w:tc>
          <w:tcPr>
            <w:tcW w:w="2552" w:type="dxa"/>
            <w:tcBorders>
              <w:bottom w:val="single" w:sz="4" w:space="0" w:color="auto"/>
            </w:tcBorders>
            <w:shd w:val="clear" w:color="auto" w:fill="99CCFF"/>
          </w:tcPr>
          <w:p w:rsidR="001C55F3" w:rsidRPr="00BE14DD" w:rsidRDefault="001C55F3" w:rsidP="001C55F3">
            <w:pPr>
              <w:spacing w:after="0"/>
              <w:rPr>
                <w:sz w:val="16"/>
                <w:szCs w:val="16"/>
              </w:rPr>
            </w:pPr>
            <w:r w:rsidRPr="00BE14DD">
              <w:rPr>
                <w:sz w:val="16"/>
                <w:szCs w:val="16"/>
              </w:rPr>
              <w:t>Wetlands: shallow water (&gt; 8-10m) Lakes: deep water (&gt; 10 m)</w:t>
            </w:r>
          </w:p>
        </w:tc>
      </w:tr>
      <w:tr w:rsidR="001C55F3" w:rsidRPr="00BE14DD" w:rsidTr="001C55F3">
        <w:trPr>
          <w:trHeight w:val="346"/>
        </w:trPr>
        <w:tc>
          <w:tcPr>
            <w:tcW w:w="920" w:type="dxa"/>
            <w:vMerge/>
            <w:shd w:val="clear" w:color="auto" w:fill="D9D9D9"/>
          </w:tcPr>
          <w:p w:rsidR="001C55F3" w:rsidRPr="00BE14DD" w:rsidRDefault="001C55F3" w:rsidP="001C55F3">
            <w:pPr>
              <w:spacing w:after="0"/>
              <w:rPr>
                <w:sz w:val="16"/>
                <w:szCs w:val="16"/>
              </w:rPr>
            </w:pPr>
          </w:p>
        </w:tc>
        <w:tc>
          <w:tcPr>
            <w:tcW w:w="1173" w:type="dxa"/>
            <w:vMerge/>
            <w:shd w:val="clear" w:color="auto" w:fill="99CCFF"/>
          </w:tcPr>
          <w:p w:rsidR="001C55F3" w:rsidRPr="00BE14DD" w:rsidRDefault="001C55F3" w:rsidP="001C55F3">
            <w:pPr>
              <w:spacing w:after="0"/>
              <w:rPr>
                <w:sz w:val="16"/>
                <w:szCs w:val="16"/>
              </w:rPr>
            </w:pPr>
          </w:p>
        </w:tc>
        <w:tc>
          <w:tcPr>
            <w:tcW w:w="2229" w:type="dxa"/>
            <w:vMerge/>
            <w:shd w:val="clear" w:color="auto" w:fill="99CCFF"/>
          </w:tcPr>
          <w:p w:rsidR="001C55F3" w:rsidRPr="00BE14DD" w:rsidRDefault="001C55F3" w:rsidP="001C55F3">
            <w:pPr>
              <w:spacing w:after="0"/>
              <w:rPr>
                <w:sz w:val="16"/>
                <w:szCs w:val="16"/>
              </w:rPr>
            </w:pPr>
          </w:p>
        </w:tc>
        <w:tc>
          <w:tcPr>
            <w:tcW w:w="1456" w:type="dxa"/>
            <w:tcBorders>
              <w:bottom w:val="single" w:sz="4" w:space="0" w:color="auto"/>
            </w:tcBorders>
            <w:shd w:val="clear" w:color="auto" w:fill="99CCFF"/>
          </w:tcPr>
          <w:p w:rsidR="001C55F3" w:rsidRPr="00BE14DD" w:rsidRDefault="001C55F3" w:rsidP="001C55F3">
            <w:pPr>
              <w:spacing w:after="0"/>
              <w:rPr>
                <w:sz w:val="16"/>
                <w:szCs w:val="16"/>
              </w:rPr>
            </w:pPr>
            <w:r w:rsidRPr="00BE14DD">
              <w:rPr>
                <w:sz w:val="16"/>
                <w:szCs w:val="16"/>
              </w:rPr>
              <w:t>Aquifers</w:t>
            </w:r>
          </w:p>
        </w:tc>
        <w:tc>
          <w:tcPr>
            <w:tcW w:w="2552" w:type="dxa"/>
            <w:tcBorders>
              <w:bottom w:val="single" w:sz="4" w:space="0" w:color="auto"/>
            </w:tcBorders>
            <w:shd w:val="clear" w:color="auto" w:fill="99CCFF"/>
          </w:tcPr>
          <w:p w:rsidR="001C55F3" w:rsidRPr="00BE14DD" w:rsidRDefault="001C55F3" w:rsidP="001C55F3">
            <w:pPr>
              <w:spacing w:after="0"/>
              <w:rPr>
                <w:sz w:val="16"/>
                <w:szCs w:val="16"/>
              </w:rPr>
            </w:pPr>
            <w:r w:rsidRPr="00BE14DD">
              <w:rPr>
                <w:sz w:val="16"/>
                <w:szCs w:val="16"/>
              </w:rPr>
              <w:t>Identified a total of 740 groundwater bodies</w:t>
            </w:r>
          </w:p>
        </w:tc>
      </w:tr>
      <w:tr w:rsidR="001C55F3" w:rsidRPr="00BE14DD" w:rsidTr="001C55F3">
        <w:trPr>
          <w:trHeight w:val="560"/>
        </w:trPr>
        <w:tc>
          <w:tcPr>
            <w:tcW w:w="920" w:type="dxa"/>
            <w:vMerge/>
            <w:shd w:val="clear" w:color="auto" w:fill="D9D9D9"/>
          </w:tcPr>
          <w:p w:rsidR="001C55F3" w:rsidRPr="00BE14DD" w:rsidRDefault="001C55F3" w:rsidP="001C55F3">
            <w:pPr>
              <w:spacing w:after="0"/>
              <w:rPr>
                <w:sz w:val="16"/>
                <w:szCs w:val="16"/>
              </w:rPr>
            </w:pPr>
          </w:p>
        </w:tc>
        <w:tc>
          <w:tcPr>
            <w:tcW w:w="1173" w:type="dxa"/>
            <w:vMerge w:val="restart"/>
            <w:shd w:val="clear" w:color="auto" w:fill="FFFF66"/>
          </w:tcPr>
          <w:p w:rsidR="001C55F3" w:rsidRPr="00BE14DD" w:rsidRDefault="001C55F3" w:rsidP="001C55F3">
            <w:pPr>
              <w:spacing w:after="0"/>
              <w:rPr>
                <w:sz w:val="16"/>
                <w:szCs w:val="16"/>
              </w:rPr>
            </w:pPr>
            <w:r w:rsidRPr="00BE14DD">
              <w:rPr>
                <w:bCs/>
                <w:sz w:val="16"/>
                <w:szCs w:val="16"/>
              </w:rPr>
              <w:t xml:space="preserve">Coastal </w:t>
            </w:r>
          </w:p>
          <w:p w:rsidR="001C55F3" w:rsidRPr="00BE14DD" w:rsidRDefault="001C55F3" w:rsidP="001C55F3">
            <w:pPr>
              <w:spacing w:after="0"/>
              <w:rPr>
                <w:sz w:val="16"/>
                <w:szCs w:val="16"/>
              </w:rPr>
            </w:pPr>
          </w:p>
        </w:tc>
        <w:tc>
          <w:tcPr>
            <w:tcW w:w="2229" w:type="dxa"/>
            <w:vMerge w:val="restart"/>
            <w:shd w:val="clear" w:color="auto" w:fill="FFFF66"/>
          </w:tcPr>
          <w:p w:rsidR="001C55F3" w:rsidRPr="00BE14DD" w:rsidRDefault="001C55F3" w:rsidP="001C55F3">
            <w:pPr>
              <w:spacing w:after="0"/>
              <w:rPr>
                <w:sz w:val="16"/>
                <w:szCs w:val="16"/>
              </w:rPr>
            </w:pPr>
            <w:r w:rsidRPr="00BE14DD">
              <w:rPr>
                <w:b/>
                <w:sz w:val="16"/>
                <w:szCs w:val="16"/>
              </w:rPr>
              <w:t xml:space="preserve">Coastal </w:t>
            </w:r>
            <w:r w:rsidRPr="00BE14DD">
              <w:rPr>
                <w:sz w:val="16"/>
                <w:szCs w:val="16"/>
              </w:rPr>
              <w:t>habitats (characteristic coastal wetlands and open spaces)</w:t>
            </w:r>
          </w:p>
        </w:tc>
        <w:tc>
          <w:tcPr>
            <w:tcW w:w="1456" w:type="dxa"/>
            <w:tcBorders>
              <w:bottom w:val="single" w:sz="4" w:space="0" w:color="auto"/>
            </w:tcBorders>
            <w:shd w:val="clear" w:color="auto" w:fill="FFFF66"/>
          </w:tcPr>
          <w:p w:rsidR="001C55F3" w:rsidRPr="00BE14DD" w:rsidRDefault="001C55F3" w:rsidP="001C55F3">
            <w:pPr>
              <w:spacing w:after="0"/>
              <w:rPr>
                <w:sz w:val="16"/>
                <w:szCs w:val="16"/>
              </w:rPr>
            </w:pPr>
            <w:r w:rsidRPr="00BE14DD">
              <w:rPr>
                <w:sz w:val="16"/>
                <w:szCs w:val="16"/>
              </w:rPr>
              <w:t>Coastal</w:t>
            </w:r>
          </w:p>
        </w:tc>
        <w:tc>
          <w:tcPr>
            <w:tcW w:w="2552" w:type="dxa"/>
            <w:tcBorders>
              <w:bottom w:val="single" w:sz="4" w:space="0" w:color="auto"/>
            </w:tcBorders>
            <w:shd w:val="clear" w:color="auto" w:fill="FFFF66"/>
          </w:tcPr>
          <w:p w:rsidR="001C55F3" w:rsidRPr="00BE14DD" w:rsidRDefault="001C55F3" w:rsidP="001C55F3">
            <w:pPr>
              <w:spacing w:after="0" w:line="240" w:lineRule="auto"/>
              <w:rPr>
                <w:sz w:val="16"/>
                <w:szCs w:val="16"/>
              </w:rPr>
            </w:pPr>
            <w:r w:rsidRPr="00BE14DD">
              <w:rPr>
                <w:sz w:val="16"/>
                <w:szCs w:val="16"/>
              </w:rPr>
              <w:t>- Coastal plain and islands.</w:t>
            </w:r>
          </w:p>
          <w:p w:rsidR="001C55F3" w:rsidRPr="00BE14DD" w:rsidRDefault="001C55F3" w:rsidP="001C55F3">
            <w:pPr>
              <w:spacing w:after="0" w:line="240" w:lineRule="auto"/>
              <w:rPr>
                <w:sz w:val="16"/>
                <w:szCs w:val="16"/>
              </w:rPr>
            </w:pPr>
            <w:r w:rsidRPr="00BE14DD">
              <w:rPr>
                <w:sz w:val="16"/>
                <w:szCs w:val="16"/>
              </w:rPr>
              <w:t>- Coastal and intertidal shoreline: tidal influence ecosystems.</w:t>
            </w:r>
          </w:p>
          <w:p w:rsidR="001C55F3" w:rsidRPr="00BE14DD" w:rsidRDefault="001C55F3" w:rsidP="001C55F3">
            <w:pPr>
              <w:spacing w:after="0" w:line="240" w:lineRule="auto"/>
              <w:rPr>
                <w:sz w:val="16"/>
                <w:szCs w:val="16"/>
              </w:rPr>
            </w:pPr>
            <w:r w:rsidRPr="00BE14DD">
              <w:rPr>
                <w:sz w:val="16"/>
                <w:szCs w:val="16"/>
              </w:rPr>
              <w:t>- Coastal Marine: shallow water ecosystems (isobaths 50)</w:t>
            </w:r>
          </w:p>
        </w:tc>
      </w:tr>
      <w:tr w:rsidR="001C55F3" w:rsidRPr="00BE14DD" w:rsidTr="001C55F3">
        <w:trPr>
          <w:trHeight w:val="168"/>
        </w:trPr>
        <w:tc>
          <w:tcPr>
            <w:tcW w:w="920" w:type="dxa"/>
            <w:vMerge/>
            <w:shd w:val="clear" w:color="auto" w:fill="D9D9D9"/>
          </w:tcPr>
          <w:p w:rsidR="001C55F3" w:rsidRPr="00BE14DD" w:rsidRDefault="001C55F3" w:rsidP="001C55F3">
            <w:pPr>
              <w:spacing w:after="0"/>
              <w:rPr>
                <w:sz w:val="16"/>
                <w:szCs w:val="16"/>
              </w:rPr>
            </w:pPr>
          </w:p>
        </w:tc>
        <w:tc>
          <w:tcPr>
            <w:tcW w:w="1173" w:type="dxa"/>
            <w:vMerge/>
            <w:shd w:val="clear" w:color="auto" w:fill="FFFF66"/>
          </w:tcPr>
          <w:p w:rsidR="001C55F3" w:rsidRPr="00BE14DD" w:rsidRDefault="001C55F3" w:rsidP="001C55F3">
            <w:pPr>
              <w:spacing w:after="0"/>
              <w:rPr>
                <w:sz w:val="16"/>
                <w:szCs w:val="16"/>
              </w:rPr>
            </w:pPr>
          </w:p>
        </w:tc>
        <w:tc>
          <w:tcPr>
            <w:tcW w:w="2229" w:type="dxa"/>
            <w:vMerge/>
            <w:shd w:val="clear" w:color="auto" w:fill="FFFF66"/>
          </w:tcPr>
          <w:p w:rsidR="001C55F3" w:rsidRPr="00BE14DD" w:rsidRDefault="001C55F3" w:rsidP="001C55F3">
            <w:pPr>
              <w:spacing w:after="0"/>
              <w:rPr>
                <w:sz w:val="16"/>
                <w:szCs w:val="16"/>
              </w:rPr>
            </w:pPr>
          </w:p>
        </w:tc>
        <w:tc>
          <w:tcPr>
            <w:tcW w:w="1456" w:type="dxa"/>
            <w:tcBorders>
              <w:bottom w:val="single" w:sz="4" w:space="0" w:color="auto"/>
            </w:tcBorders>
            <w:shd w:val="clear" w:color="auto" w:fill="FFFF66"/>
          </w:tcPr>
          <w:p w:rsidR="001C55F3" w:rsidRPr="00BE14DD" w:rsidRDefault="001C55F3" w:rsidP="001C55F3">
            <w:pPr>
              <w:spacing w:after="0"/>
              <w:rPr>
                <w:sz w:val="16"/>
                <w:szCs w:val="16"/>
              </w:rPr>
            </w:pPr>
            <w:r w:rsidRPr="00BE14DD">
              <w:rPr>
                <w:sz w:val="16"/>
                <w:szCs w:val="16"/>
              </w:rPr>
              <w:t xml:space="preserve">Insular </w:t>
            </w:r>
          </w:p>
        </w:tc>
        <w:tc>
          <w:tcPr>
            <w:tcW w:w="2552" w:type="dxa"/>
            <w:tcBorders>
              <w:bottom w:val="single" w:sz="4" w:space="0" w:color="auto"/>
            </w:tcBorders>
            <w:shd w:val="clear" w:color="auto" w:fill="FFFF66"/>
          </w:tcPr>
          <w:p w:rsidR="001C55F3" w:rsidRPr="00BE14DD" w:rsidRDefault="001C55F3" w:rsidP="001C55F3">
            <w:pPr>
              <w:spacing w:after="0"/>
              <w:rPr>
                <w:sz w:val="16"/>
                <w:szCs w:val="16"/>
              </w:rPr>
            </w:pPr>
            <w:r w:rsidRPr="00BE14DD">
              <w:rPr>
                <w:sz w:val="16"/>
                <w:szCs w:val="16"/>
              </w:rPr>
              <w:t>Macaronesian bioclimatic region</w:t>
            </w:r>
          </w:p>
        </w:tc>
      </w:tr>
      <w:tr w:rsidR="001C55F3" w:rsidRPr="00BE14DD" w:rsidTr="001C55F3">
        <w:tc>
          <w:tcPr>
            <w:tcW w:w="920" w:type="dxa"/>
            <w:shd w:val="clear" w:color="auto" w:fill="D9D9D9"/>
          </w:tcPr>
          <w:p w:rsidR="001C55F3" w:rsidRPr="00BE14DD" w:rsidRDefault="001C55F3" w:rsidP="001C55F3">
            <w:pPr>
              <w:spacing w:after="0"/>
              <w:rPr>
                <w:b/>
                <w:sz w:val="16"/>
                <w:szCs w:val="16"/>
              </w:rPr>
            </w:pPr>
            <w:r w:rsidRPr="00BE14DD">
              <w:rPr>
                <w:b/>
                <w:sz w:val="16"/>
                <w:szCs w:val="16"/>
              </w:rPr>
              <w:t>Fresh water</w:t>
            </w:r>
          </w:p>
        </w:tc>
        <w:tc>
          <w:tcPr>
            <w:tcW w:w="1173" w:type="dxa"/>
            <w:shd w:val="clear" w:color="auto" w:fill="00B0F0"/>
          </w:tcPr>
          <w:p w:rsidR="001C55F3" w:rsidRPr="00BE14DD" w:rsidRDefault="001C55F3" w:rsidP="001C55F3">
            <w:pPr>
              <w:spacing w:after="0"/>
              <w:rPr>
                <w:sz w:val="16"/>
                <w:szCs w:val="16"/>
              </w:rPr>
            </w:pPr>
            <w:r w:rsidRPr="00BE14DD">
              <w:rPr>
                <w:bCs/>
                <w:sz w:val="16"/>
                <w:szCs w:val="16"/>
              </w:rPr>
              <w:t>Rivers and lakes</w:t>
            </w:r>
          </w:p>
        </w:tc>
        <w:tc>
          <w:tcPr>
            <w:tcW w:w="2229" w:type="dxa"/>
            <w:shd w:val="clear" w:color="auto" w:fill="00B0F0"/>
          </w:tcPr>
          <w:p w:rsidR="001C55F3" w:rsidRPr="00BE14DD" w:rsidRDefault="001C55F3" w:rsidP="001C55F3">
            <w:pPr>
              <w:spacing w:after="0"/>
              <w:rPr>
                <w:sz w:val="16"/>
                <w:szCs w:val="16"/>
              </w:rPr>
            </w:pPr>
            <w:r w:rsidRPr="00BE14DD">
              <w:rPr>
                <w:sz w:val="16"/>
                <w:szCs w:val="16"/>
              </w:rPr>
              <w:t xml:space="preserve">Inland surface </w:t>
            </w:r>
            <w:r w:rsidRPr="00BE14DD">
              <w:rPr>
                <w:b/>
                <w:sz w:val="16"/>
                <w:szCs w:val="16"/>
              </w:rPr>
              <w:t xml:space="preserve">waters </w:t>
            </w:r>
          </w:p>
          <w:p w:rsidR="001C55F3" w:rsidRPr="00BE14DD" w:rsidRDefault="001C55F3" w:rsidP="001C55F3">
            <w:pPr>
              <w:spacing w:after="0"/>
              <w:rPr>
                <w:sz w:val="16"/>
                <w:szCs w:val="16"/>
              </w:rPr>
            </w:pPr>
            <w:r w:rsidRPr="00BE14DD">
              <w:rPr>
                <w:sz w:val="16"/>
                <w:szCs w:val="16"/>
              </w:rPr>
              <w:t>Water courses and bodies</w:t>
            </w:r>
          </w:p>
        </w:tc>
        <w:tc>
          <w:tcPr>
            <w:tcW w:w="1456" w:type="dxa"/>
            <w:tcBorders>
              <w:bottom w:val="single" w:sz="4" w:space="0" w:color="auto"/>
            </w:tcBorders>
            <w:shd w:val="clear" w:color="auto" w:fill="00B0F0"/>
          </w:tcPr>
          <w:p w:rsidR="001C55F3" w:rsidRPr="00BE14DD" w:rsidRDefault="001C55F3" w:rsidP="001C55F3">
            <w:pPr>
              <w:spacing w:after="0"/>
              <w:rPr>
                <w:sz w:val="16"/>
                <w:szCs w:val="16"/>
              </w:rPr>
            </w:pPr>
            <w:r w:rsidRPr="00BE14DD">
              <w:rPr>
                <w:sz w:val="16"/>
                <w:szCs w:val="16"/>
              </w:rPr>
              <w:t xml:space="preserve">Rivers </w:t>
            </w:r>
          </w:p>
        </w:tc>
        <w:tc>
          <w:tcPr>
            <w:tcW w:w="2552" w:type="dxa"/>
            <w:tcBorders>
              <w:bottom w:val="single" w:sz="4" w:space="0" w:color="auto"/>
            </w:tcBorders>
            <w:shd w:val="clear" w:color="auto" w:fill="00B0F0"/>
          </w:tcPr>
          <w:p w:rsidR="001C55F3" w:rsidRPr="00BE14DD" w:rsidRDefault="001C55F3" w:rsidP="001C55F3">
            <w:pPr>
              <w:spacing w:after="0"/>
              <w:rPr>
                <w:sz w:val="16"/>
                <w:szCs w:val="16"/>
              </w:rPr>
            </w:pPr>
            <w:r w:rsidRPr="00BE14DD">
              <w:rPr>
                <w:sz w:val="16"/>
                <w:szCs w:val="16"/>
              </w:rPr>
              <w:t>Vector lines distributed over the entire surface of the state territory.</w:t>
            </w:r>
          </w:p>
        </w:tc>
      </w:tr>
      <w:tr w:rsidR="001C55F3" w:rsidRPr="00BE14DD" w:rsidTr="001C55F3">
        <w:trPr>
          <w:trHeight w:val="425"/>
        </w:trPr>
        <w:tc>
          <w:tcPr>
            <w:tcW w:w="920" w:type="dxa"/>
            <w:vMerge w:val="restart"/>
            <w:shd w:val="clear" w:color="auto" w:fill="D9D9D9"/>
          </w:tcPr>
          <w:p w:rsidR="001C55F3" w:rsidRPr="00BE14DD" w:rsidRDefault="001C55F3" w:rsidP="001C55F3">
            <w:pPr>
              <w:spacing w:after="0"/>
              <w:rPr>
                <w:sz w:val="16"/>
                <w:szCs w:val="16"/>
              </w:rPr>
            </w:pPr>
            <w:r w:rsidRPr="00BE14DD">
              <w:rPr>
                <w:b/>
                <w:sz w:val="16"/>
                <w:szCs w:val="16"/>
              </w:rPr>
              <w:t>Marine</w:t>
            </w:r>
          </w:p>
        </w:tc>
        <w:tc>
          <w:tcPr>
            <w:tcW w:w="1173" w:type="dxa"/>
            <w:shd w:val="clear" w:color="auto" w:fill="AFCAC4"/>
          </w:tcPr>
          <w:p w:rsidR="001C55F3" w:rsidRPr="00BE14DD" w:rsidRDefault="001C55F3" w:rsidP="001C55F3">
            <w:pPr>
              <w:spacing w:after="0"/>
              <w:rPr>
                <w:sz w:val="16"/>
                <w:szCs w:val="16"/>
              </w:rPr>
            </w:pPr>
            <w:r w:rsidRPr="00BE14DD">
              <w:rPr>
                <w:b/>
                <w:sz w:val="16"/>
                <w:szCs w:val="16"/>
              </w:rPr>
              <w:t>Benthic photic</w:t>
            </w:r>
          </w:p>
        </w:tc>
        <w:tc>
          <w:tcPr>
            <w:tcW w:w="2229" w:type="dxa"/>
            <w:shd w:val="clear" w:color="auto" w:fill="AFCAC4"/>
          </w:tcPr>
          <w:p w:rsidR="001C55F3" w:rsidRPr="00BE14DD" w:rsidRDefault="001C55F3" w:rsidP="001C55F3">
            <w:pPr>
              <w:spacing w:after="0"/>
              <w:rPr>
                <w:sz w:val="16"/>
                <w:szCs w:val="16"/>
              </w:rPr>
            </w:pPr>
            <w:r w:rsidRPr="00BE14DD">
              <w:rPr>
                <w:sz w:val="16"/>
                <w:szCs w:val="16"/>
              </w:rPr>
              <w:t>Littoral and shallow sublittoral habitats</w:t>
            </w:r>
          </w:p>
        </w:tc>
        <w:tc>
          <w:tcPr>
            <w:tcW w:w="1456" w:type="dxa"/>
            <w:vMerge w:val="restart"/>
            <w:shd w:val="clear" w:color="auto" w:fill="AFCAC4"/>
          </w:tcPr>
          <w:p w:rsidR="001C55F3" w:rsidRPr="00BE14DD" w:rsidRDefault="001C55F3" w:rsidP="001C55F3">
            <w:pPr>
              <w:spacing w:after="0"/>
              <w:rPr>
                <w:sz w:val="16"/>
                <w:szCs w:val="16"/>
              </w:rPr>
            </w:pPr>
            <w:r w:rsidRPr="00BE14DD">
              <w:rPr>
                <w:sz w:val="16"/>
                <w:szCs w:val="16"/>
              </w:rPr>
              <w:t>Marine waters (sea and ocean)</w:t>
            </w:r>
          </w:p>
        </w:tc>
        <w:tc>
          <w:tcPr>
            <w:tcW w:w="2552" w:type="dxa"/>
            <w:vMerge w:val="restart"/>
            <w:shd w:val="clear" w:color="auto" w:fill="AFCAC4"/>
          </w:tcPr>
          <w:p w:rsidR="001C55F3" w:rsidRPr="00BE14DD" w:rsidRDefault="001C55F3" w:rsidP="001C55F3">
            <w:pPr>
              <w:spacing w:after="0"/>
              <w:rPr>
                <w:sz w:val="16"/>
                <w:szCs w:val="16"/>
              </w:rPr>
            </w:pPr>
            <w:r w:rsidRPr="00BE14DD">
              <w:rPr>
                <w:sz w:val="16"/>
                <w:szCs w:val="16"/>
              </w:rPr>
              <w:t>Area within the outer limits established in the coastal ecosystem and the Exclusive Economic Zone (EEZ) of Spain.</w:t>
            </w:r>
          </w:p>
        </w:tc>
      </w:tr>
      <w:tr w:rsidR="001C55F3" w:rsidRPr="00BE14DD" w:rsidTr="001C55F3">
        <w:trPr>
          <w:trHeight w:val="425"/>
        </w:trPr>
        <w:tc>
          <w:tcPr>
            <w:tcW w:w="920" w:type="dxa"/>
            <w:vMerge/>
            <w:shd w:val="clear" w:color="auto" w:fill="D9D9D9"/>
          </w:tcPr>
          <w:p w:rsidR="001C55F3" w:rsidRPr="00BE14DD" w:rsidRDefault="001C55F3" w:rsidP="001C55F3">
            <w:pPr>
              <w:spacing w:after="0"/>
              <w:rPr>
                <w:sz w:val="16"/>
                <w:szCs w:val="16"/>
              </w:rPr>
            </w:pPr>
          </w:p>
        </w:tc>
        <w:tc>
          <w:tcPr>
            <w:tcW w:w="1173" w:type="dxa"/>
            <w:shd w:val="clear" w:color="auto" w:fill="CADBD7"/>
          </w:tcPr>
          <w:p w:rsidR="001C55F3" w:rsidRPr="00BE14DD" w:rsidRDefault="001C55F3" w:rsidP="001C55F3">
            <w:pPr>
              <w:spacing w:after="0"/>
              <w:rPr>
                <w:sz w:val="16"/>
                <w:szCs w:val="16"/>
              </w:rPr>
            </w:pPr>
            <w:r w:rsidRPr="00BE14DD">
              <w:rPr>
                <w:b/>
                <w:sz w:val="16"/>
                <w:szCs w:val="16"/>
              </w:rPr>
              <w:t>Benthic non-photic</w:t>
            </w:r>
          </w:p>
        </w:tc>
        <w:tc>
          <w:tcPr>
            <w:tcW w:w="2229" w:type="dxa"/>
            <w:shd w:val="clear" w:color="auto" w:fill="CADBD7"/>
          </w:tcPr>
          <w:p w:rsidR="001C55F3" w:rsidRPr="00BE14DD" w:rsidRDefault="001C55F3" w:rsidP="001C55F3">
            <w:pPr>
              <w:spacing w:after="0"/>
              <w:rPr>
                <w:sz w:val="16"/>
                <w:szCs w:val="16"/>
              </w:rPr>
            </w:pPr>
            <w:r w:rsidRPr="00BE14DD">
              <w:rPr>
                <w:sz w:val="16"/>
                <w:szCs w:val="16"/>
              </w:rPr>
              <w:t>Shelf sublittoral and deep sea habitats</w:t>
            </w:r>
          </w:p>
        </w:tc>
        <w:tc>
          <w:tcPr>
            <w:tcW w:w="1456" w:type="dxa"/>
            <w:vMerge/>
            <w:shd w:val="clear" w:color="auto" w:fill="CADBD7"/>
          </w:tcPr>
          <w:p w:rsidR="001C55F3" w:rsidRPr="00BE14DD" w:rsidRDefault="001C55F3" w:rsidP="001C55F3">
            <w:pPr>
              <w:spacing w:after="0"/>
              <w:rPr>
                <w:sz w:val="16"/>
                <w:szCs w:val="16"/>
              </w:rPr>
            </w:pPr>
          </w:p>
        </w:tc>
        <w:tc>
          <w:tcPr>
            <w:tcW w:w="2552" w:type="dxa"/>
            <w:vMerge/>
            <w:shd w:val="clear" w:color="auto" w:fill="CADBD7"/>
          </w:tcPr>
          <w:p w:rsidR="001C55F3" w:rsidRPr="00BE14DD" w:rsidRDefault="001C55F3" w:rsidP="001C55F3">
            <w:pPr>
              <w:spacing w:after="0"/>
              <w:rPr>
                <w:sz w:val="16"/>
                <w:szCs w:val="16"/>
              </w:rPr>
            </w:pPr>
          </w:p>
        </w:tc>
      </w:tr>
      <w:tr w:rsidR="001C55F3" w:rsidRPr="00BE14DD" w:rsidTr="001C55F3">
        <w:trPr>
          <w:trHeight w:val="425"/>
        </w:trPr>
        <w:tc>
          <w:tcPr>
            <w:tcW w:w="920" w:type="dxa"/>
            <w:vMerge/>
            <w:shd w:val="clear" w:color="auto" w:fill="D9D9D9"/>
          </w:tcPr>
          <w:p w:rsidR="001C55F3" w:rsidRPr="00BE14DD" w:rsidRDefault="001C55F3" w:rsidP="001C55F3">
            <w:pPr>
              <w:spacing w:after="0"/>
              <w:rPr>
                <w:sz w:val="16"/>
                <w:szCs w:val="16"/>
              </w:rPr>
            </w:pPr>
          </w:p>
        </w:tc>
        <w:tc>
          <w:tcPr>
            <w:tcW w:w="1173" w:type="dxa"/>
            <w:shd w:val="clear" w:color="auto" w:fill="BED3E4"/>
          </w:tcPr>
          <w:p w:rsidR="001C55F3" w:rsidRPr="00BE14DD" w:rsidRDefault="001C55F3" w:rsidP="001C55F3">
            <w:pPr>
              <w:spacing w:after="0"/>
              <w:rPr>
                <w:sz w:val="16"/>
                <w:szCs w:val="16"/>
              </w:rPr>
            </w:pPr>
            <w:r w:rsidRPr="00BE14DD">
              <w:rPr>
                <w:b/>
                <w:sz w:val="16"/>
                <w:szCs w:val="16"/>
              </w:rPr>
              <w:t>Pelagic photic</w:t>
            </w:r>
          </w:p>
        </w:tc>
        <w:tc>
          <w:tcPr>
            <w:tcW w:w="2229" w:type="dxa"/>
            <w:shd w:val="clear" w:color="auto" w:fill="BED3E4"/>
          </w:tcPr>
          <w:p w:rsidR="001C55F3" w:rsidRPr="00BE14DD" w:rsidRDefault="001C55F3" w:rsidP="001C55F3">
            <w:pPr>
              <w:spacing w:after="0"/>
              <w:rPr>
                <w:sz w:val="16"/>
                <w:szCs w:val="16"/>
              </w:rPr>
            </w:pPr>
            <w:r w:rsidRPr="00BE14DD">
              <w:rPr>
                <w:sz w:val="16"/>
                <w:szCs w:val="16"/>
              </w:rPr>
              <w:t xml:space="preserve">Coastal, shelf and oceanic marine water habitats </w:t>
            </w:r>
          </w:p>
        </w:tc>
        <w:tc>
          <w:tcPr>
            <w:tcW w:w="1456" w:type="dxa"/>
            <w:vMerge/>
            <w:shd w:val="clear" w:color="auto" w:fill="BED3E4"/>
          </w:tcPr>
          <w:p w:rsidR="001C55F3" w:rsidRPr="00BE14DD" w:rsidRDefault="001C55F3" w:rsidP="001C55F3">
            <w:pPr>
              <w:spacing w:after="0"/>
              <w:rPr>
                <w:sz w:val="16"/>
                <w:szCs w:val="16"/>
              </w:rPr>
            </w:pPr>
          </w:p>
        </w:tc>
        <w:tc>
          <w:tcPr>
            <w:tcW w:w="2552" w:type="dxa"/>
            <w:vMerge/>
            <w:shd w:val="clear" w:color="auto" w:fill="BED3E4"/>
          </w:tcPr>
          <w:p w:rsidR="001C55F3" w:rsidRPr="00BE14DD" w:rsidRDefault="001C55F3" w:rsidP="001C55F3">
            <w:pPr>
              <w:spacing w:after="0"/>
              <w:rPr>
                <w:sz w:val="16"/>
                <w:szCs w:val="16"/>
              </w:rPr>
            </w:pPr>
          </w:p>
        </w:tc>
      </w:tr>
      <w:tr w:rsidR="001C55F3" w:rsidRPr="00BE14DD" w:rsidTr="001C55F3">
        <w:trPr>
          <w:trHeight w:val="367"/>
        </w:trPr>
        <w:tc>
          <w:tcPr>
            <w:tcW w:w="920" w:type="dxa"/>
            <w:vMerge/>
            <w:shd w:val="clear" w:color="auto" w:fill="D9D9D9"/>
          </w:tcPr>
          <w:p w:rsidR="001C55F3" w:rsidRPr="00BE14DD" w:rsidRDefault="001C55F3" w:rsidP="001C55F3">
            <w:pPr>
              <w:spacing w:after="0"/>
              <w:rPr>
                <w:sz w:val="16"/>
                <w:szCs w:val="16"/>
              </w:rPr>
            </w:pPr>
          </w:p>
        </w:tc>
        <w:tc>
          <w:tcPr>
            <w:tcW w:w="1173" w:type="dxa"/>
            <w:shd w:val="clear" w:color="auto" w:fill="D4E1ED"/>
          </w:tcPr>
          <w:p w:rsidR="001C55F3" w:rsidRPr="00BE14DD" w:rsidRDefault="001C55F3" w:rsidP="001C55F3">
            <w:pPr>
              <w:spacing w:after="0"/>
              <w:rPr>
                <w:sz w:val="16"/>
                <w:szCs w:val="16"/>
              </w:rPr>
            </w:pPr>
            <w:r w:rsidRPr="00BE14DD">
              <w:rPr>
                <w:b/>
                <w:sz w:val="16"/>
                <w:szCs w:val="16"/>
              </w:rPr>
              <w:t>Pelagic non-photic</w:t>
            </w:r>
          </w:p>
        </w:tc>
        <w:tc>
          <w:tcPr>
            <w:tcW w:w="2229" w:type="dxa"/>
            <w:shd w:val="clear" w:color="auto" w:fill="D4E1ED"/>
          </w:tcPr>
          <w:p w:rsidR="001C55F3" w:rsidRPr="00BE14DD" w:rsidRDefault="001C55F3" w:rsidP="001C55F3">
            <w:pPr>
              <w:spacing w:after="0"/>
              <w:rPr>
                <w:sz w:val="16"/>
                <w:szCs w:val="16"/>
              </w:rPr>
            </w:pPr>
            <w:r w:rsidRPr="00BE14DD">
              <w:rPr>
                <w:sz w:val="16"/>
                <w:szCs w:val="16"/>
              </w:rPr>
              <w:t>Coastal, shelf and oceanic marine water habitats</w:t>
            </w:r>
          </w:p>
        </w:tc>
        <w:tc>
          <w:tcPr>
            <w:tcW w:w="1456" w:type="dxa"/>
            <w:vMerge/>
            <w:shd w:val="clear" w:color="auto" w:fill="D4E1ED"/>
          </w:tcPr>
          <w:p w:rsidR="001C55F3" w:rsidRPr="00BE14DD" w:rsidRDefault="001C55F3" w:rsidP="001C55F3">
            <w:pPr>
              <w:spacing w:after="0"/>
              <w:rPr>
                <w:sz w:val="16"/>
                <w:szCs w:val="16"/>
              </w:rPr>
            </w:pPr>
          </w:p>
        </w:tc>
        <w:tc>
          <w:tcPr>
            <w:tcW w:w="2552" w:type="dxa"/>
            <w:vMerge/>
            <w:shd w:val="clear" w:color="auto" w:fill="D4E1ED"/>
          </w:tcPr>
          <w:p w:rsidR="001C55F3" w:rsidRPr="00BE14DD" w:rsidRDefault="001C55F3" w:rsidP="001C55F3">
            <w:pPr>
              <w:spacing w:after="0"/>
              <w:rPr>
                <w:sz w:val="16"/>
                <w:szCs w:val="16"/>
              </w:rPr>
            </w:pPr>
          </w:p>
        </w:tc>
      </w:tr>
    </w:tbl>
    <w:p w:rsidR="001C55F3" w:rsidRPr="00BE14DD" w:rsidRDefault="001C55F3" w:rsidP="001C55F3">
      <w:pPr>
        <w:rPr>
          <w:lang w:val="en-US"/>
        </w:rPr>
      </w:pPr>
    </w:p>
    <w:p w:rsidR="001C55F3" w:rsidRPr="00151B8D" w:rsidRDefault="001C55F3" w:rsidP="001C55F3">
      <w:pPr>
        <w:pStyle w:val="Titre3"/>
        <w:rPr>
          <w:rFonts w:asciiTheme="minorHAnsi" w:hAnsiTheme="minorHAnsi"/>
          <w:sz w:val="22"/>
        </w:rPr>
      </w:pPr>
      <w:r w:rsidRPr="00151B8D">
        <w:rPr>
          <w:rFonts w:asciiTheme="minorHAnsi" w:hAnsiTheme="minorHAnsi"/>
          <w:sz w:val="22"/>
        </w:rPr>
        <w:t>4.3.4 Remarks and conclusions</w:t>
      </w:r>
    </w:p>
    <w:p w:rsidR="001C55F3" w:rsidRPr="00151B8D" w:rsidRDefault="001C55F3" w:rsidP="001C55F3">
      <w:pPr>
        <w:pStyle w:val="Paragraphedeliste"/>
        <w:spacing w:line="240" w:lineRule="auto"/>
        <w:ind w:left="0"/>
        <w:rPr>
          <w:lang w:val="en-US"/>
        </w:rPr>
      </w:pPr>
      <w:r w:rsidRPr="00151B8D">
        <w:rPr>
          <w:lang w:val="en-US"/>
        </w:rPr>
        <w:t xml:space="preserve">The Spanish Inventory of Natural Heritage and Biodiversity and the national indicator system are the main instruments from the Ministry that are used to assess the state and trends of Spanish ecosystems and biodiversity. They are used to feed national reporting, EU reporting mechanisms and supranational level obligations. Their results (values and trends) and conclusions are reflected annually in a report </w:t>
      </w:r>
      <w:r w:rsidRPr="00151B8D">
        <w:t>with special attention to those species with specific conservation measures required or which have Community interest declared (i.e., included in the Directive 2009/147/EEC, known as the Birds Directive, or Directive 92/43/EEC, known as Habitat Directive).</w:t>
      </w:r>
    </w:p>
    <w:p w:rsidR="001C55F3" w:rsidRPr="00151B8D" w:rsidRDefault="001C55F3" w:rsidP="001C55F3">
      <w:pPr>
        <w:spacing w:line="240" w:lineRule="auto"/>
        <w:rPr>
          <w:lang w:val="en-US"/>
        </w:rPr>
      </w:pPr>
      <w:r w:rsidRPr="00151B8D">
        <w:t xml:space="preserve">Biodiversity information shows the distribution, abundance and conservation status of the species within the Species Inventory (Ministry of Agriculture, Food and Environment, 2007). The spatial distribution of biodiversity by taxonomic groups is represented, showing the species richness and threatened species that exist in a grid of 5 km x 5 km covering the Iberian Peninsula and the Balearic and Canary Islands. </w:t>
      </w:r>
      <w:r w:rsidRPr="00151B8D">
        <w:rPr>
          <w:lang w:val="en-US"/>
        </w:rPr>
        <w:t xml:space="preserve">Systematic national assessments of the threatened species have been carried out for only a few taxonomic groups in recent years, such as vertebrates and plants. Vertebrates are the taxonomic group with the highest  rate of species assessed through the criteria of the Red Lists. Assuming that it is impossible to assess the extinction risks of all taxa, the Spanish Ministry of Agriculture, Food and the Environment has recently expanded the endangered species assessment to more taxonomic groups such as bryophytes. </w:t>
      </w:r>
    </w:p>
    <w:p w:rsidR="001C55F3" w:rsidRPr="00151B8D" w:rsidRDefault="001C55F3" w:rsidP="001C55F3">
      <w:pPr>
        <w:spacing w:line="240" w:lineRule="auto"/>
        <w:rPr>
          <w:highlight w:val="cyan"/>
        </w:rPr>
      </w:pPr>
      <w:r w:rsidRPr="00151B8D">
        <w:rPr>
          <w:lang w:val="en-US"/>
        </w:rPr>
        <w:t>In the Spanish NEA</w:t>
      </w:r>
      <w:r w:rsidRPr="00151B8D">
        <w:t xml:space="preserve"> biodiversity spatial information (</w:t>
      </w:r>
      <w:r w:rsidRPr="00151B8D">
        <w:rPr>
          <w:rFonts w:cs="MyriadPro-Regular"/>
          <w:color w:val="000000"/>
        </w:rPr>
        <w:t>Ministry of Agriculture, Food and Environment, 2007</w:t>
      </w:r>
      <w:r w:rsidRPr="00151B8D">
        <w:t xml:space="preserve">) was compared with ecosystem maps (Spanish NEA, 2011) using GIS tools to assess which ecosystems have the greatest species richness and threatened species based on available official information. Results highlight that there is a bias in the spatial biodiversity data because there are areas in which there has been a greater effort to study its biodiversity than others. </w:t>
      </w:r>
      <w:r w:rsidRPr="00151B8D">
        <w:rPr>
          <w:lang w:val="en-US"/>
        </w:rPr>
        <w:t xml:space="preserve">In the Spanish </w:t>
      </w:r>
      <w:r w:rsidRPr="00151B8D">
        <w:rPr>
          <w:lang w:val="en-US"/>
        </w:rPr>
        <w:lastRenderedPageBreak/>
        <w:t xml:space="preserve">NEA the Red List Index was calculated using the information from Red Books for each taxonomic group over time. </w:t>
      </w:r>
    </w:p>
    <w:p w:rsidR="001C55F3" w:rsidRPr="00151B8D" w:rsidRDefault="001C55F3" w:rsidP="001C55F3">
      <w:pPr>
        <w:spacing w:line="240" w:lineRule="auto"/>
        <w:rPr>
          <w:lang w:val="en-US"/>
        </w:rPr>
      </w:pPr>
      <w:r w:rsidRPr="00151B8D">
        <w:rPr>
          <w:lang w:val="en-US"/>
        </w:rPr>
        <w:t>The Spanish NEA biodiversity assessment was carried out with</w:t>
      </w:r>
      <w:r>
        <w:rPr>
          <w:lang w:val="en-US"/>
        </w:rPr>
        <w:t xml:space="preserve"> the main purpose to provide </w:t>
      </w:r>
      <w:r w:rsidRPr="00151B8D">
        <w:rPr>
          <w:lang w:val="en-US"/>
        </w:rPr>
        <w:t xml:space="preserve">evidence of the strong links that exist between biodiversity and ecosystem services, and to evaluate the direct and indirect effects that the loss of biodiversity and ecosystem services have on human wellbeing in Spain. To achieve this objective we strive to identify the long-term (1960-2010) dynamics and interrelationships of different components of natural and social systems. </w:t>
      </w:r>
    </w:p>
    <w:p w:rsidR="001C55F3" w:rsidRPr="00151B8D" w:rsidRDefault="001C55F3" w:rsidP="001C55F3">
      <w:pPr>
        <w:spacing w:line="240" w:lineRule="auto"/>
        <w:rPr>
          <w:lang w:val="en-US"/>
        </w:rPr>
      </w:pPr>
      <w:r w:rsidRPr="00151B8D">
        <w:rPr>
          <w:lang w:val="en-US"/>
        </w:rPr>
        <w:t xml:space="preserve">Biodiversity information available in the Spanish Inventory of Natural Heritage and Biodiversity provides a snapshot of what is happening to the assessed taxa at a given time, but it cannot provide information about trends, causes and impacts. Both sources of information are complementary and can strengthen each other if results are integrated and used systematically. </w:t>
      </w:r>
    </w:p>
    <w:p w:rsidR="001C55F3" w:rsidRPr="00151B8D" w:rsidRDefault="001C55F3" w:rsidP="001C55F3">
      <w:pPr>
        <w:spacing w:line="240" w:lineRule="auto"/>
        <w:rPr>
          <w:lang w:val="en-US"/>
        </w:rPr>
      </w:pPr>
      <w:r w:rsidRPr="00151B8D">
        <w:rPr>
          <w:lang w:val="en-US"/>
        </w:rPr>
        <w:t>Despite the fact that there is high evidence about the strong links between biodiversity and ecosystem services, the taxonomic bias in official national information prevents the NEA from making an assessment of the specific role of the different components of biodiversity in relation to the delivery of ecosystem services. There is therefore a need to extend the research objectives in scientific programs to the less well known taxonomic groups as well as to emphasize the functional role of biodiversity (i.e., functional diversity). Consequently, there is a need to improve the Spanish monitoring system in order to incorporate the components of biodiversity with high capability to supply ecosystem services.</w:t>
      </w:r>
    </w:p>
    <w:p w:rsidR="001C55F3" w:rsidRPr="00574694" w:rsidRDefault="001C55F3" w:rsidP="001C55F3">
      <w:pPr>
        <w:spacing w:line="240" w:lineRule="auto"/>
        <w:rPr>
          <w:lang w:val="en-US"/>
        </w:rPr>
      </w:pPr>
      <w:r w:rsidRPr="00151B8D">
        <w:rPr>
          <w:lang w:val="en-US"/>
        </w:rPr>
        <w:t>In addition, the NEA should focus on preventing the continued effect of drivers of change, particularly those related to land-use change. Consequently, NEA could be embedded into EU landscape management policies in order to preserve multifunctional landscapes that promote not only high levels of biodiversity but also a dive</w:t>
      </w:r>
      <w:r>
        <w:rPr>
          <w:lang w:val="en-US"/>
        </w:rPr>
        <w:t>rse flow of ecosystem services.</w:t>
      </w:r>
    </w:p>
    <w:p w:rsidR="001C55F3" w:rsidRPr="001C55F3" w:rsidRDefault="001C55F3" w:rsidP="001C55F3">
      <w:pPr>
        <w:pStyle w:val="Titre2"/>
        <w:rPr>
          <w:rFonts w:asciiTheme="minorHAnsi" w:hAnsiTheme="minorHAnsi"/>
          <w:lang w:val="fr-BE"/>
        </w:rPr>
      </w:pPr>
      <w:r w:rsidRPr="001C55F3">
        <w:rPr>
          <w:rFonts w:asciiTheme="minorHAnsi" w:hAnsiTheme="minorHAnsi"/>
          <w:lang w:val="fr-BE"/>
        </w:rPr>
        <w:t xml:space="preserve">References </w:t>
      </w:r>
    </w:p>
    <w:p w:rsidR="001C55F3" w:rsidRPr="001C55F3" w:rsidRDefault="001C55F3" w:rsidP="001C55F3">
      <w:pPr>
        <w:spacing w:before="120" w:line="240" w:lineRule="auto"/>
        <w:ind w:left="720" w:hanging="720"/>
        <w:rPr>
          <w:lang w:val="fr-BE"/>
        </w:rPr>
      </w:pPr>
      <w:r w:rsidRPr="001C55F3">
        <w:rPr>
          <w:lang w:val="fr-BE"/>
        </w:rPr>
        <w:t>Álvarez Cobelas, M. Catálogo de las algas de las aguas continentales españolas.</w:t>
      </w:r>
    </w:p>
    <w:p w:rsidR="001C55F3" w:rsidRPr="00574694" w:rsidRDefault="001C55F3" w:rsidP="001C55F3">
      <w:pPr>
        <w:spacing w:before="120" w:line="240" w:lineRule="auto"/>
        <w:ind w:left="720" w:hanging="720"/>
        <w:rPr>
          <w:lang w:val="nl-NL"/>
        </w:rPr>
      </w:pPr>
      <w:r w:rsidRPr="001C55F3">
        <w:rPr>
          <w:lang w:val="fr-BE"/>
        </w:rPr>
        <w:t xml:space="preserve">Arechavaleta, M., Rodríguez, S., Zurita, N. &amp; García, A. (coord.) 2010. Lista de especies silvestres de Canarias. Hongos, plantas y animales terrestres. </w:t>
      </w:r>
      <w:r w:rsidRPr="00574694">
        <w:rPr>
          <w:lang w:val="nl-NL"/>
        </w:rPr>
        <w:t>2009. Gobierno de Canarias.</w:t>
      </w:r>
    </w:p>
    <w:p w:rsidR="001C55F3" w:rsidRPr="001C55F3" w:rsidRDefault="001C55F3" w:rsidP="001C55F3">
      <w:pPr>
        <w:spacing w:before="120" w:line="240" w:lineRule="auto"/>
        <w:ind w:left="720" w:hanging="720"/>
        <w:rPr>
          <w:lang w:val="fr-BE"/>
        </w:rPr>
      </w:pPr>
      <w:r w:rsidRPr="00574694">
        <w:rPr>
          <w:lang w:val="nl-NL"/>
        </w:rPr>
        <w:t xml:space="preserve">Blanco JC, González JL. 1992. Libro Rojo de los Vertebrados de España. </w:t>
      </w:r>
      <w:r w:rsidRPr="001C55F3">
        <w:rPr>
          <w:lang w:val="fr-BE"/>
        </w:rPr>
        <w:t>ICONA. Madrid</w:t>
      </w:r>
    </w:p>
    <w:p w:rsidR="001C55F3" w:rsidRPr="00574694" w:rsidRDefault="001C55F3" w:rsidP="001C55F3">
      <w:pPr>
        <w:spacing w:before="120" w:line="240" w:lineRule="auto"/>
        <w:ind w:left="720" w:hanging="720"/>
        <w:rPr>
          <w:lang w:val="nl-NL"/>
        </w:rPr>
      </w:pPr>
      <w:r w:rsidRPr="001C55F3">
        <w:rPr>
          <w:lang w:val="fr-BE"/>
        </w:rPr>
        <w:t xml:space="preserve">Blanco, E. 2002. Flora. En: Reyero, J.M. (Ed.) </w:t>
      </w:r>
      <w:r w:rsidRPr="00574694">
        <w:rPr>
          <w:lang w:val="nl-NL"/>
        </w:rPr>
        <w:t>La naturaleza de España, pp. 180 189. Ministerio de Medio Ambiente.</w:t>
      </w:r>
    </w:p>
    <w:p w:rsidR="001C55F3" w:rsidRPr="001C55F3" w:rsidRDefault="001C55F3" w:rsidP="001C55F3">
      <w:pPr>
        <w:spacing w:before="120" w:line="240" w:lineRule="auto"/>
        <w:ind w:left="720" w:hanging="720"/>
        <w:rPr>
          <w:lang w:val="fr-BE"/>
        </w:rPr>
      </w:pPr>
      <w:r w:rsidRPr="00574694">
        <w:rPr>
          <w:lang w:val="nl-NL"/>
        </w:rPr>
        <w:t xml:space="preserve">Bubb PJ, Butchart SHM, Collen B, Dublin H, Kapos V, Pollock C, Stuart SN, Vié JC. 2009. </w:t>
      </w:r>
      <w:r w:rsidRPr="00574694">
        <w:t xml:space="preserve">IUCN Red List Index: Guidance for National and Regional Use. </w:t>
      </w:r>
      <w:r w:rsidRPr="001C55F3">
        <w:rPr>
          <w:lang w:val="fr-BE"/>
        </w:rPr>
        <w:t>Gland, Switzerland.</w:t>
      </w:r>
    </w:p>
    <w:p w:rsidR="001C55F3" w:rsidRPr="001C55F3" w:rsidRDefault="001C55F3" w:rsidP="001C55F3">
      <w:pPr>
        <w:spacing w:before="120" w:line="240" w:lineRule="auto"/>
        <w:ind w:left="720" w:hanging="720"/>
        <w:rPr>
          <w:lang w:val="fr-BE"/>
        </w:rPr>
      </w:pPr>
      <w:r w:rsidRPr="001C55F3">
        <w:rPr>
          <w:lang w:val="fr-BE"/>
        </w:rPr>
        <w:t>Carretero, M.A., Ayllón, E. &amp; Llorente G. (Eds.) .2010. Lista patrón de los anfibios y reptiles de España (actualizada a diciembre de 2009). Asociación Herpetológica Española</w:t>
      </w:r>
    </w:p>
    <w:p w:rsidR="001C55F3" w:rsidRPr="001C55F3" w:rsidRDefault="001C55F3" w:rsidP="001C55F3">
      <w:pPr>
        <w:spacing w:before="120" w:line="240" w:lineRule="auto"/>
        <w:ind w:left="720" w:hanging="720"/>
        <w:rPr>
          <w:lang w:val="fr-BE"/>
        </w:rPr>
      </w:pPr>
      <w:r w:rsidRPr="001C55F3">
        <w:rPr>
          <w:lang w:val="fr-BE"/>
        </w:rPr>
        <w:t>Castroviejo, S. 2010. La flora española: una riqueza en biodiversidad de primer orden aún en exploración. El proyecto Flora Iberica. Documentación Administrativa 278-279 (mayo-diciembre 2007): 23-38.</w:t>
      </w:r>
    </w:p>
    <w:p w:rsidR="001C55F3" w:rsidRPr="001C55F3" w:rsidRDefault="001C55F3" w:rsidP="001C55F3">
      <w:pPr>
        <w:spacing w:before="120" w:line="240" w:lineRule="auto"/>
        <w:ind w:left="720" w:hanging="720"/>
        <w:rPr>
          <w:lang w:val="fr-BE"/>
        </w:rPr>
      </w:pPr>
      <w:r w:rsidRPr="001C55F3">
        <w:rPr>
          <w:lang w:val="fr-BE"/>
        </w:rPr>
        <w:t xml:space="preserve">Doadrio I. 2001. Atlas y Libro Rojo de los Peces Continentales de España. </w:t>
      </w:r>
      <w:r w:rsidRPr="00574694">
        <w:t xml:space="preserve">National Museum of Natural Science. General Direction of Nature Conservation. </w:t>
      </w:r>
      <w:r w:rsidRPr="001C55F3">
        <w:rPr>
          <w:lang w:val="fr-BE"/>
        </w:rPr>
        <w:t>Madrid.</w:t>
      </w:r>
    </w:p>
    <w:p w:rsidR="001C55F3" w:rsidRPr="00574694" w:rsidRDefault="001C55F3" w:rsidP="001C55F3">
      <w:pPr>
        <w:spacing w:before="120" w:line="240" w:lineRule="auto"/>
        <w:ind w:left="720" w:hanging="720"/>
        <w:rPr>
          <w:lang w:val="nl-NL"/>
        </w:rPr>
      </w:pPr>
      <w:r w:rsidRPr="001C55F3">
        <w:rPr>
          <w:lang w:val="fr-BE"/>
        </w:rPr>
        <w:t xml:space="preserve">Doadrio, I. (Ed.). 2001. Atlas de los peces continentales de España. </w:t>
      </w:r>
      <w:r w:rsidRPr="00574694">
        <w:rPr>
          <w:lang w:val="nl-NL"/>
        </w:rPr>
        <w:t>Ministerio de Medio Ambiente. http://www.sefalgas.org/enlaces/fl oras/seffl oras.html, 13 diciembre 2010.</w:t>
      </w:r>
    </w:p>
    <w:p w:rsidR="001C55F3" w:rsidRPr="001C55F3" w:rsidRDefault="001C55F3" w:rsidP="001C55F3">
      <w:pPr>
        <w:spacing w:before="120" w:line="240" w:lineRule="auto"/>
        <w:ind w:left="720" w:hanging="720"/>
        <w:rPr>
          <w:lang w:val="fr-BE"/>
        </w:rPr>
      </w:pPr>
      <w:r w:rsidRPr="00574694">
        <w:rPr>
          <w:lang w:val="nl-NL"/>
        </w:rPr>
        <w:lastRenderedPageBreak/>
        <w:t xml:space="preserve">ICONA. 1986. Lista roja de los vertebrados de España. </w:t>
      </w:r>
      <w:r w:rsidRPr="001C55F3">
        <w:rPr>
          <w:lang w:val="fr-BE"/>
        </w:rPr>
        <w:t>ICONA, Ministerio de Agricultura, Pesca y Alimentación, Madrid.</w:t>
      </w:r>
    </w:p>
    <w:p w:rsidR="001C55F3" w:rsidRPr="001C55F3" w:rsidRDefault="001C55F3" w:rsidP="001C55F3">
      <w:pPr>
        <w:spacing w:before="120" w:line="240" w:lineRule="auto"/>
        <w:ind w:left="720" w:hanging="720"/>
        <w:rPr>
          <w:lang w:val="fr-BE"/>
        </w:rPr>
      </w:pPr>
      <w:r w:rsidRPr="00574694">
        <w:rPr>
          <w:lang w:val="de-DE"/>
        </w:rPr>
        <w:t xml:space="preserve">Llimona, X. &amp; Hladun, N. L. 2001. </w:t>
      </w:r>
      <w:r w:rsidRPr="00574694">
        <w:t xml:space="preserve">Checklist of the lichens and lichenicolous fungi of the Iberian Peninsula and Balearic Islands. </w:t>
      </w:r>
      <w:r w:rsidRPr="001C55F3">
        <w:rPr>
          <w:lang w:val="fr-BE"/>
        </w:rPr>
        <w:t>Bocconea 14: 5-581.</w:t>
      </w:r>
    </w:p>
    <w:p w:rsidR="001C55F3" w:rsidRPr="001C55F3" w:rsidRDefault="001C55F3" w:rsidP="001C55F3">
      <w:pPr>
        <w:spacing w:before="120" w:line="240" w:lineRule="auto"/>
        <w:ind w:left="720" w:hanging="720"/>
        <w:rPr>
          <w:lang w:val="fr-BE"/>
        </w:rPr>
      </w:pPr>
      <w:r w:rsidRPr="001C55F3">
        <w:rPr>
          <w:lang w:val="fr-BE"/>
        </w:rPr>
        <w:t>Madroño, A., González, C. &amp; Atienza, J.C. (Eds.). 2004. Libro Rojo de las Aves de España. Dirección para la Biodiversidad-SEO/BirdLife. Madrid.</w:t>
      </w:r>
    </w:p>
    <w:p w:rsidR="001C55F3" w:rsidRPr="001C55F3" w:rsidRDefault="001C55F3" w:rsidP="001C55F3">
      <w:pPr>
        <w:spacing w:before="120" w:line="240" w:lineRule="auto"/>
        <w:ind w:left="720" w:hanging="720"/>
        <w:rPr>
          <w:lang w:val="fr-BE"/>
        </w:rPr>
      </w:pPr>
      <w:r w:rsidRPr="001C55F3">
        <w:rPr>
          <w:lang w:val="fr-BE"/>
        </w:rPr>
        <w:t>MAGRAMA.</w:t>
      </w:r>
      <w:r w:rsidRPr="00574694">
        <w:rPr>
          <w:lang w:val="es-ES_tradnl"/>
        </w:rPr>
        <w:t xml:space="preserve"> 2013</w:t>
      </w:r>
      <w:r w:rsidRPr="00574694">
        <w:rPr>
          <w:rFonts w:cs="NewCicle-Fina"/>
          <w:lang w:val="es-ES"/>
        </w:rPr>
        <w:t xml:space="preserve">. </w:t>
      </w:r>
      <w:r w:rsidRPr="001C55F3">
        <w:rPr>
          <w:lang w:val="fr-BE"/>
        </w:rPr>
        <w:t xml:space="preserve">Informe 2011 sobre el estado del Patrimonio Natural y de la Biodiversidad en España. </w:t>
      </w:r>
      <w:r w:rsidRPr="00574694">
        <w:rPr>
          <w:lang w:val="es-ES_tradnl"/>
        </w:rPr>
        <w:t xml:space="preserve">Ministerio de Agricultura, Alimentación y Medio Ambiente. </w:t>
      </w:r>
      <w:r w:rsidRPr="001C55F3">
        <w:rPr>
          <w:lang w:val="fr-BE"/>
        </w:rPr>
        <w:t>Madrid. Spain. 298 p. http://www.magrama.gob.es/es/biodiversidad/temas/inventarios-nacionales/inventario-espanol-patrimonio-natural-biodiv/Informe_2011_IEPNB.aspx</w:t>
      </w:r>
    </w:p>
    <w:p w:rsidR="001C55F3" w:rsidRPr="001C55F3" w:rsidRDefault="001C55F3" w:rsidP="001C55F3">
      <w:pPr>
        <w:spacing w:before="120" w:line="240" w:lineRule="auto"/>
        <w:ind w:left="720" w:hanging="720"/>
        <w:rPr>
          <w:lang w:val="fr-BE"/>
        </w:rPr>
      </w:pPr>
      <w:r w:rsidRPr="001C55F3">
        <w:rPr>
          <w:lang w:val="fr-BE"/>
        </w:rPr>
        <w:t>Márquez, R. &amp; Lizama, M. 2002. Conservación de los Anfi bios y Reptiles de España. En: Atlas y Libro Rojo de los Anfi bios y Reptiles de España (Pleguezuelos, J.M., R. Márquez &amp; M. Lizana, eds.). Dirección General de Conservación de la Naturaleza-Asociación Herpetológica Española (2ª impresión).Madrid: 417-453.</w:t>
      </w:r>
    </w:p>
    <w:p w:rsidR="001C55F3" w:rsidRPr="00574694" w:rsidRDefault="001C55F3" w:rsidP="001C55F3">
      <w:pPr>
        <w:spacing w:before="120" w:line="240" w:lineRule="auto"/>
        <w:ind w:left="720" w:hanging="720"/>
      </w:pPr>
      <w:r w:rsidRPr="001C55F3">
        <w:rPr>
          <w:lang w:val="fr-BE"/>
        </w:rPr>
        <w:t xml:space="preserve">Martí R, Moral JC. 2003. Atlas de las Aves Reproductoras de España. </w:t>
      </w:r>
      <w:r w:rsidRPr="00574694">
        <w:t>Madrid, Spain: The Spanish Ministry of the Environment (Autonomous Organism of Nature Reserves) and Spanish Ortnithologist Society.</w:t>
      </w:r>
    </w:p>
    <w:p w:rsidR="001C55F3" w:rsidRPr="001C55F3" w:rsidRDefault="001C55F3" w:rsidP="001C55F3">
      <w:pPr>
        <w:spacing w:before="120" w:line="240" w:lineRule="auto"/>
        <w:ind w:left="720" w:hanging="720"/>
        <w:rPr>
          <w:lang w:val="fr-BE"/>
        </w:rPr>
      </w:pPr>
      <w:r w:rsidRPr="00574694">
        <w:t xml:space="preserve">Martí, R. &amp; Del Moral, J.C. (Eds.). </w:t>
      </w:r>
      <w:r w:rsidRPr="001C55F3">
        <w:rPr>
          <w:lang w:val="fr-BE"/>
        </w:rPr>
        <w:t>2003. Atlas de las Aves Reproductoras de España. Dirección General de Conservación de la Naturaleza-Sociedad Española de Ornitología. Madrid.</w:t>
      </w:r>
    </w:p>
    <w:p w:rsidR="001C55F3" w:rsidRPr="001C55F3" w:rsidRDefault="001C55F3" w:rsidP="001C55F3">
      <w:pPr>
        <w:spacing w:before="120" w:line="240" w:lineRule="auto"/>
        <w:ind w:left="720" w:hanging="720"/>
        <w:rPr>
          <w:lang w:val="fr-BE"/>
        </w:rPr>
      </w:pPr>
      <w:r w:rsidRPr="001C55F3">
        <w:rPr>
          <w:lang w:val="fr-BE"/>
        </w:rPr>
        <w:t xml:space="preserve">Morales J, Lizana M. 2011. </w:t>
      </w:r>
      <w:r w:rsidRPr="00574694">
        <w:rPr>
          <w:lang w:val="nl-NL"/>
        </w:rPr>
        <w:t xml:space="preserve">El estado de la biodiversidad de los vertebrados españoles. </w:t>
      </w:r>
      <w:r w:rsidRPr="001C55F3">
        <w:rPr>
          <w:lang w:val="fr-BE"/>
        </w:rPr>
        <w:t>Causa de la riqueza de especies y actualizacion taxonómica. Memorias R.Soc.Esp.Hist.Nat., 9: 285-342</w:t>
      </w:r>
    </w:p>
    <w:p w:rsidR="001C55F3" w:rsidRPr="001C55F3" w:rsidRDefault="001C55F3" w:rsidP="001C55F3">
      <w:pPr>
        <w:spacing w:before="120" w:line="240" w:lineRule="auto"/>
        <w:ind w:left="720" w:hanging="720"/>
        <w:rPr>
          <w:lang w:val="fr-BE"/>
        </w:rPr>
      </w:pPr>
      <w:r w:rsidRPr="001C55F3">
        <w:rPr>
          <w:lang w:val="fr-BE"/>
        </w:rPr>
        <w:t>Moreno, J.C. (Coord.). 2008. Lista Roja 2008 de la flora vascular española. Ministerio de Medio Ambiente, Medio Rural y Marino Sociedad Española de Biología de la Conservación de Plantas, Madrid.</w:t>
      </w:r>
    </w:p>
    <w:p w:rsidR="001C55F3" w:rsidRPr="00574694" w:rsidRDefault="001C55F3" w:rsidP="001C55F3">
      <w:pPr>
        <w:spacing w:before="120" w:line="240" w:lineRule="auto"/>
        <w:ind w:left="720" w:hanging="720"/>
      </w:pPr>
      <w:r w:rsidRPr="001C55F3">
        <w:rPr>
          <w:lang w:val="fr-BE"/>
        </w:rPr>
        <w:t xml:space="preserve">Palomo JL,. 2007. Atlas y Libro Rojo de los mamíferos terrestres de España. </w:t>
      </w:r>
      <w:r w:rsidRPr="00574694">
        <w:t xml:space="preserve">Madrid, Spain: The Spanish Ministry of the Environment. Autonomous Organism of Nature Reserves. </w:t>
      </w:r>
    </w:p>
    <w:p w:rsidR="001C55F3" w:rsidRPr="00574694" w:rsidRDefault="001C55F3" w:rsidP="001C55F3">
      <w:pPr>
        <w:spacing w:before="120" w:line="240" w:lineRule="auto"/>
        <w:ind w:left="720" w:hanging="720"/>
      </w:pPr>
      <w:r w:rsidRPr="001C55F3">
        <w:rPr>
          <w:lang w:val="fr-BE"/>
        </w:rPr>
        <w:t xml:space="preserve">Pleguezuelos JM, Márquez R. 2004. Atlas y Libro Rojo de los Anfibios y Reptiles de España. </w:t>
      </w:r>
      <w:r w:rsidRPr="00574694">
        <w:t>Madrid, Spain: National Museum of Natural Science. General Direction of Nature Conservation.</w:t>
      </w:r>
    </w:p>
    <w:p w:rsidR="001C55F3" w:rsidRPr="001C55F3" w:rsidRDefault="001C55F3" w:rsidP="001C55F3">
      <w:pPr>
        <w:spacing w:before="120" w:line="240" w:lineRule="auto"/>
        <w:ind w:left="720" w:hanging="720"/>
        <w:rPr>
          <w:lang w:val="fr-BE"/>
        </w:rPr>
      </w:pPr>
      <w:r w:rsidRPr="00574694">
        <w:t xml:space="preserve">Ramos, M.A. &amp; Templado, J. 2002. Invertebrados no insectos. </w:t>
      </w:r>
      <w:r w:rsidRPr="001C55F3">
        <w:rPr>
          <w:lang w:val="fr-BE"/>
        </w:rPr>
        <w:t>En: Reyero, J.M. (Ed.) La naturaleza de España, pp. 254-269. Ministerio de Medio Ambiente.</w:t>
      </w:r>
    </w:p>
    <w:p w:rsidR="001C55F3" w:rsidRPr="001C55F3" w:rsidRDefault="001C55F3" w:rsidP="001C55F3">
      <w:pPr>
        <w:tabs>
          <w:tab w:val="left" w:pos="426"/>
        </w:tabs>
        <w:spacing w:before="120" w:line="240" w:lineRule="auto"/>
        <w:ind w:left="720" w:hanging="720"/>
        <w:rPr>
          <w:i/>
          <w:lang w:val="fr-BE"/>
        </w:rPr>
      </w:pPr>
      <w:r w:rsidRPr="001C55F3">
        <w:rPr>
          <w:lang w:val="fr-BE"/>
        </w:rPr>
        <w:t>Royal Decree 139/2011, (BOE No 46, February 23, 2011, 20912 - pp. 20951.),</w:t>
      </w:r>
    </w:p>
    <w:p w:rsidR="001C55F3" w:rsidRPr="00574694" w:rsidRDefault="001C55F3" w:rsidP="001C55F3">
      <w:pPr>
        <w:spacing w:before="120" w:line="240" w:lineRule="auto"/>
        <w:ind w:left="720" w:hanging="720"/>
      </w:pPr>
      <w:r w:rsidRPr="001C55F3">
        <w:rPr>
          <w:lang w:val="fr-BE"/>
        </w:rPr>
        <w:t xml:space="preserve">Sérgio, C., Brugués, M., Cros, R.M., Casas, C., &amp; Garcia, C. 2006. </w:t>
      </w:r>
      <w:r w:rsidRPr="00574694">
        <w:t>The 2006 Red List and an updated Checklist of Bryophytes of the Iberian Peninsula (Portugal, Spain and Andorra). Lindbergia 31:109-126.</w:t>
      </w:r>
    </w:p>
    <w:p w:rsidR="001C55F3" w:rsidRPr="00574694" w:rsidRDefault="001C55F3" w:rsidP="001C55F3">
      <w:pPr>
        <w:spacing w:before="120" w:line="240" w:lineRule="auto"/>
        <w:ind w:left="720" w:hanging="720"/>
      </w:pPr>
      <w:r w:rsidRPr="00574694">
        <w:t xml:space="preserve">Spanish National Ecosystem Assessment. 2011. Ecosistemas y biodiversidad para el bienestar humano. </w:t>
      </w:r>
      <w:r w:rsidRPr="00574694">
        <w:rPr>
          <w:lang w:val="nl-NL"/>
        </w:rPr>
        <w:t xml:space="preserve">Evaluación de los Ecosistemas del Milenio de España. Fundación Biodiversidad, Ministerio de Medio Ambiente y Medio Rural y Marino. </w:t>
      </w:r>
      <w:r w:rsidRPr="00574694">
        <w:t>Madrid Spain:304 p.</w:t>
      </w:r>
    </w:p>
    <w:p w:rsidR="001C55F3" w:rsidRPr="001C55F3" w:rsidRDefault="001C55F3" w:rsidP="001C55F3">
      <w:pPr>
        <w:spacing w:before="120" w:line="240" w:lineRule="auto"/>
        <w:ind w:left="720" w:hanging="720"/>
        <w:rPr>
          <w:lang w:val="fr-BE"/>
        </w:rPr>
      </w:pPr>
      <w:r w:rsidRPr="001C55F3">
        <w:rPr>
          <w:lang w:val="fr-BE"/>
        </w:rPr>
        <w:t>Tellería, T. 2002. Riqueza fúngica de la península Ibérica e islas Baleares. El proyecto ‘Flora micológica ibérica’. En: Pineda, F.D., J.M. de Miguel, M.A. Casado &amp; J. Montalvo (Coord.-Eds.) 2002. La diversidad biológica de España, pp.153-160. Prentice Hall.</w:t>
      </w:r>
    </w:p>
    <w:p w:rsidR="001C55F3" w:rsidRPr="00574694" w:rsidRDefault="001C55F3" w:rsidP="001C55F3">
      <w:pPr>
        <w:spacing w:before="120" w:line="240" w:lineRule="auto"/>
        <w:ind w:left="720" w:hanging="720"/>
      </w:pPr>
      <w:r w:rsidRPr="001C55F3">
        <w:rPr>
          <w:lang w:val="fr-BE"/>
        </w:rPr>
        <w:lastRenderedPageBreak/>
        <w:t xml:space="preserve">Verdú, J.R. y&amp; Galante, E. (Eds.) 2008. </w:t>
      </w:r>
      <w:r w:rsidRPr="00574694">
        <w:rPr>
          <w:lang w:val="nl-NL"/>
        </w:rPr>
        <w:t xml:space="preserve">Atlas de los Invertebrados Amenazados de España (Especies En Peligro Crítico y En Peligro). </w:t>
      </w:r>
      <w:r w:rsidRPr="00574694">
        <w:t>Dirección General para la Biodiversidad, Ministerio de Medio Ambiente, Madrid.</w:t>
      </w:r>
    </w:p>
    <w:p w:rsidR="001C55F3" w:rsidRPr="00BE14DD" w:rsidRDefault="001C55F3" w:rsidP="001C55F3">
      <w:pPr>
        <w:rPr>
          <w:rFonts w:eastAsiaTheme="majorEastAsia" w:cstheme="majorBidi"/>
          <w:b/>
          <w:bCs/>
          <w:color w:val="4F81BD" w:themeColor="accent1"/>
          <w:sz w:val="26"/>
          <w:szCs w:val="26"/>
          <w:lang w:val="en-US"/>
        </w:rPr>
      </w:pPr>
      <w:r w:rsidRPr="00BE14DD">
        <w:rPr>
          <w:lang w:val="en-US"/>
        </w:rPr>
        <w:br w:type="page"/>
      </w:r>
    </w:p>
    <w:p w:rsidR="001C55F3" w:rsidRPr="00BE14DD" w:rsidRDefault="001C55F3" w:rsidP="00622218">
      <w:pPr>
        <w:pStyle w:val="Titre2"/>
        <w:numPr>
          <w:ilvl w:val="1"/>
          <w:numId w:val="111"/>
        </w:numPr>
        <w:rPr>
          <w:rFonts w:asciiTheme="minorHAnsi" w:hAnsiTheme="minorHAnsi"/>
          <w:lang w:val="es-ES"/>
        </w:rPr>
      </w:pPr>
      <w:r w:rsidRPr="00BE14DD">
        <w:rPr>
          <w:rFonts w:asciiTheme="minorHAnsi" w:hAnsiTheme="minorHAnsi"/>
          <w:lang w:val="es-ES"/>
        </w:rPr>
        <w:lastRenderedPageBreak/>
        <w:t>Austria</w:t>
      </w:r>
      <w:bookmarkEnd w:id="37"/>
    </w:p>
    <w:p w:rsidR="001C55F3" w:rsidRPr="00BE14DD" w:rsidRDefault="001C55F3" w:rsidP="001C55F3"/>
    <w:p w:rsidR="001C55F3" w:rsidRPr="00574694" w:rsidRDefault="001C55F3" w:rsidP="001C55F3">
      <w:pPr>
        <w:pStyle w:val="Titre3"/>
        <w:rPr>
          <w:rFonts w:asciiTheme="minorHAnsi" w:hAnsiTheme="minorHAnsi"/>
          <w:sz w:val="22"/>
        </w:rPr>
      </w:pPr>
      <w:r w:rsidRPr="00574694">
        <w:rPr>
          <w:rFonts w:asciiTheme="minorHAnsi" w:hAnsiTheme="minorHAnsi"/>
          <w:sz w:val="22"/>
        </w:rPr>
        <w:t xml:space="preserve">4.4.1 General information on national assessments </w:t>
      </w:r>
    </w:p>
    <w:p w:rsidR="001C55F3" w:rsidRPr="00574694" w:rsidRDefault="001C55F3" w:rsidP="001C55F3">
      <w:pPr>
        <w:spacing w:line="240" w:lineRule="auto"/>
      </w:pPr>
      <w:r w:rsidRPr="00574694">
        <w:t xml:space="preserve">No country wide site-based monitoring for all types of ecosystems has been established until now, although a concept for a monitoring programme has been developed based on 600 samples (1*1 km2), but this concept has never been implemented (MOBI-e 2006).  </w:t>
      </w:r>
    </w:p>
    <w:p w:rsidR="001C55F3" w:rsidRPr="00574694" w:rsidRDefault="001C55F3" w:rsidP="001C55F3">
      <w:pPr>
        <w:spacing w:line="240" w:lineRule="auto"/>
      </w:pPr>
      <w:r w:rsidRPr="00574694">
        <w:t xml:space="preserve">The regular Assessments of biodiversity in Austria therefore rely on published information about red list species and habitats as well as particular mapping and inventory activities especially for vascular plants and birds (bird life). Austria, situated in Central Europe, is mountainous and climatically diverse, harbouring at least 67.000 different species of organisms and more than 500 habitat types (see table 4.9 and 4.12). </w:t>
      </w:r>
    </w:p>
    <w:p w:rsidR="001C55F3" w:rsidRPr="00BE14DD" w:rsidRDefault="001C55F3" w:rsidP="001C55F3">
      <w:pPr>
        <w:rPr>
          <w:i/>
          <w:szCs w:val="20"/>
        </w:rPr>
      </w:pPr>
      <w:r w:rsidRPr="00BE14DD">
        <w:rPr>
          <w:i/>
          <w:szCs w:val="20"/>
        </w:rPr>
        <w:t>Table 4.9: Estimates of species diversity in Austria (Sauberer et al. 2008)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6"/>
        <w:gridCol w:w="2141"/>
        <w:gridCol w:w="3402"/>
      </w:tblGrid>
      <w:tr w:rsidR="001C55F3" w:rsidRPr="00BE14DD" w:rsidTr="001C55F3">
        <w:tc>
          <w:tcPr>
            <w:tcW w:w="2376" w:type="dxa"/>
            <w:shd w:val="clear" w:color="auto" w:fill="BFBFBF" w:themeFill="background1" w:themeFillShade="BF"/>
          </w:tcPr>
          <w:p w:rsidR="001C55F3" w:rsidRPr="00BE14DD" w:rsidRDefault="001C55F3" w:rsidP="001C55F3">
            <w:pPr>
              <w:spacing w:line="240" w:lineRule="auto"/>
              <w:rPr>
                <w:szCs w:val="20"/>
              </w:rPr>
            </w:pPr>
            <w:r w:rsidRPr="00BE14DD">
              <w:rPr>
                <w:szCs w:val="20"/>
              </w:rPr>
              <w:t>Group</w:t>
            </w:r>
          </w:p>
        </w:tc>
        <w:tc>
          <w:tcPr>
            <w:tcW w:w="2141" w:type="dxa"/>
            <w:shd w:val="clear" w:color="auto" w:fill="BFBFBF" w:themeFill="background1" w:themeFillShade="BF"/>
          </w:tcPr>
          <w:p w:rsidR="001C55F3" w:rsidRPr="00BE14DD" w:rsidRDefault="001C55F3" w:rsidP="001C55F3">
            <w:pPr>
              <w:spacing w:line="240" w:lineRule="auto"/>
              <w:rPr>
                <w:szCs w:val="20"/>
              </w:rPr>
            </w:pPr>
            <w:r w:rsidRPr="00BE14DD">
              <w:rPr>
                <w:szCs w:val="20"/>
              </w:rPr>
              <w:t>Count of species</w:t>
            </w:r>
          </w:p>
        </w:tc>
        <w:tc>
          <w:tcPr>
            <w:tcW w:w="3402" w:type="dxa"/>
            <w:shd w:val="clear" w:color="auto" w:fill="BFBFBF" w:themeFill="background1" w:themeFillShade="BF"/>
          </w:tcPr>
          <w:p w:rsidR="001C55F3" w:rsidRPr="00BE14DD" w:rsidRDefault="001C55F3" w:rsidP="001C55F3">
            <w:pPr>
              <w:spacing w:line="240" w:lineRule="auto"/>
              <w:rPr>
                <w:szCs w:val="20"/>
              </w:rPr>
            </w:pPr>
            <w:r w:rsidRPr="00BE14DD">
              <w:rPr>
                <w:szCs w:val="20"/>
              </w:rPr>
              <w:t>Source</w:t>
            </w:r>
          </w:p>
        </w:tc>
      </w:tr>
      <w:tr w:rsidR="001C55F3" w:rsidRPr="00BE14DD" w:rsidTr="001C55F3">
        <w:tc>
          <w:tcPr>
            <w:tcW w:w="2376" w:type="dxa"/>
          </w:tcPr>
          <w:p w:rsidR="001C55F3" w:rsidRPr="00BE14DD" w:rsidRDefault="001C55F3" w:rsidP="001C55F3">
            <w:pPr>
              <w:spacing w:line="240" w:lineRule="auto"/>
              <w:rPr>
                <w:szCs w:val="20"/>
              </w:rPr>
            </w:pPr>
            <w:r w:rsidRPr="00BE14DD">
              <w:rPr>
                <w:szCs w:val="20"/>
              </w:rPr>
              <w:t>Algae</w:t>
            </w:r>
          </w:p>
        </w:tc>
        <w:tc>
          <w:tcPr>
            <w:tcW w:w="2141" w:type="dxa"/>
          </w:tcPr>
          <w:p w:rsidR="001C55F3" w:rsidRPr="00BE14DD" w:rsidRDefault="001C55F3" w:rsidP="001C55F3">
            <w:pPr>
              <w:spacing w:line="240" w:lineRule="auto"/>
              <w:jc w:val="right"/>
              <w:rPr>
                <w:szCs w:val="20"/>
              </w:rPr>
            </w:pPr>
            <w:r w:rsidRPr="00BE14DD">
              <w:rPr>
                <w:szCs w:val="20"/>
              </w:rPr>
              <w:t>4.900</w:t>
            </w:r>
          </w:p>
        </w:tc>
        <w:tc>
          <w:tcPr>
            <w:tcW w:w="3402" w:type="dxa"/>
          </w:tcPr>
          <w:p w:rsidR="001C55F3" w:rsidRPr="00BE14DD" w:rsidRDefault="001C55F3" w:rsidP="001C55F3">
            <w:pPr>
              <w:spacing w:line="240" w:lineRule="auto"/>
              <w:rPr>
                <w:szCs w:val="20"/>
              </w:rPr>
            </w:pPr>
            <w:r w:rsidRPr="00BE14DD">
              <w:rPr>
                <w:szCs w:val="20"/>
              </w:rPr>
              <w:t>Grabherr 1994</w:t>
            </w:r>
          </w:p>
        </w:tc>
      </w:tr>
      <w:tr w:rsidR="001C55F3" w:rsidRPr="00BE14DD" w:rsidTr="001C55F3">
        <w:tc>
          <w:tcPr>
            <w:tcW w:w="2376" w:type="dxa"/>
          </w:tcPr>
          <w:p w:rsidR="001C55F3" w:rsidRPr="00BE14DD" w:rsidRDefault="001C55F3" w:rsidP="001C55F3">
            <w:pPr>
              <w:spacing w:line="240" w:lineRule="auto"/>
              <w:rPr>
                <w:szCs w:val="20"/>
              </w:rPr>
            </w:pPr>
            <w:r w:rsidRPr="00BE14DD">
              <w:rPr>
                <w:szCs w:val="20"/>
              </w:rPr>
              <w:t>Bryophytes</w:t>
            </w:r>
          </w:p>
        </w:tc>
        <w:tc>
          <w:tcPr>
            <w:tcW w:w="2141" w:type="dxa"/>
          </w:tcPr>
          <w:p w:rsidR="001C55F3" w:rsidRPr="00BE14DD" w:rsidRDefault="001C55F3" w:rsidP="001C55F3">
            <w:pPr>
              <w:spacing w:line="240" w:lineRule="auto"/>
              <w:jc w:val="right"/>
              <w:rPr>
                <w:szCs w:val="20"/>
              </w:rPr>
            </w:pPr>
            <w:r w:rsidRPr="00BE14DD">
              <w:rPr>
                <w:szCs w:val="20"/>
              </w:rPr>
              <w:t>1.018</w:t>
            </w:r>
          </w:p>
        </w:tc>
        <w:tc>
          <w:tcPr>
            <w:tcW w:w="3402" w:type="dxa"/>
          </w:tcPr>
          <w:p w:rsidR="001C55F3" w:rsidRPr="00BE14DD" w:rsidRDefault="001C55F3" w:rsidP="001C55F3">
            <w:pPr>
              <w:spacing w:line="240" w:lineRule="auto"/>
              <w:rPr>
                <w:szCs w:val="20"/>
                <w:lang w:val="de-DE"/>
              </w:rPr>
            </w:pPr>
            <w:r w:rsidRPr="00BE14DD">
              <w:rPr>
                <w:szCs w:val="20"/>
                <w:lang w:val="de-DE"/>
              </w:rPr>
              <w:t>Sauckel and Köckinger 1999, Grims et al. 1999</w:t>
            </w:r>
          </w:p>
        </w:tc>
      </w:tr>
      <w:tr w:rsidR="001C55F3" w:rsidRPr="00BE14DD" w:rsidTr="001C55F3">
        <w:tc>
          <w:tcPr>
            <w:tcW w:w="2376" w:type="dxa"/>
          </w:tcPr>
          <w:p w:rsidR="001C55F3" w:rsidRPr="00BE14DD" w:rsidRDefault="001C55F3" w:rsidP="001C55F3">
            <w:pPr>
              <w:spacing w:line="240" w:lineRule="auto"/>
              <w:rPr>
                <w:szCs w:val="20"/>
                <w:lang w:val="de-DE"/>
              </w:rPr>
            </w:pPr>
            <w:r w:rsidRPr="00BE14DD">
              <w:rPr>
                <w:szCs w:val="20"/>
                <w:lang w:val="de-DE"/>
              </w:rPr>
              <w:t>Vascular plants</w:t>
            </w:r>
          </w:p>
        </w:tc>
        <w:tc>
          <w:tcPr>
            <w:tcW w:w="2141" w:type="dxa"/>
          </w:tcPr>
          <w:p w:rsidR="001C55F3" w:rsidRPr="00BE14DD" w:rsidRDefault="001C55F3" w:rsidP="001C55F3">
            <w:pPr>
              <w:spacing w:line="240" w:lineRule="auto"/>
              <w:jc w:val="right"/>
              <w:rPr>
                <w:szCs w:val="20"/>
                <w:lang w:val="de-DE"/>
              </w:rPr>
            </w:pPr>
            <w:r w:rsidRPr="00BE14DD">
              <w:rPr>
                <w:szCs w:val="20"/>
                <w:lang w:val="de-DE"/>
              </w:rPr>
              <w:t>3.100</w:t>
            </w:r>
          </w:p>
        </w:tc>
        <w:tc>
          <w:tcPr>
            <w:tcW w:w="3402" w:type="dxa"/>
          </w:tcPr>
          <w:p w:rsidR="001C55F3" w:rsidRPr="00BE14DD" w:rsidRDefault="001C55F3" w:rsidP="001C55F3">
            <w:pPr>
              <w:spacing w:line="240" w:lineRule="auto"/>
              <w:rPr>
                <w:szCs w:val="20"/>
                <w:lang w:val="de-DE"/>
              </w:rPr>
            </w:pPr>
            <w:r w:rsidRPr="00BE14DD">
              <w:rPr>
                <w:szCs w:val="20"/>
                <w:lang w:val="de-DE"/>
              </w:rPr>
              <w:t>Niklfeld et al.</w:t>
            </w:r>
          </w:p>
        </w:tc>
      </w:tr>
      <w:tr w:rsidR="001C55F3" w:rsidRPr="00BE14DD" w:rsidTr="001C55F3">
        <w:tc>
          <w:tcPr>
            <w:tcW w:w="2376" w:type="dxa"/>
          </w:tcPr>
          <w:p w:rsidR="001C55F3" w:rsidRPr="00BE14DD" w:rsidRDefault="001C55F3" w:rsidP="001C55F3">
            <w:pPr>
              <w:spacing w:line="240" w:lineRule="auto"/>
              <w:rPr>
                <w:szCs w:val="20"/>
                <w:lang w:val="de-DE"/>
              </w:rPr>
            </w:pPr>
            <w:r w:rsidRPr="00BE14DD">
              <w:rPr>
                <w:szCs w:val="20"/>
                <w:lang w:val="de-DE"/>
              </w:rPr>
              <w:t>Lichens</w:t>
            </w:r>
          </w:p>
        </w:tc>
        <w:tc>
          <w:tcPr>
            <w:tcW w:w="2141" w:type="dxa"/>
          </w:tcPr>
          <w:p w:rsidR="001C55F3" w:rsidRPr="00BE14DD" w:rsidRDefault="001C55F3" w:rsidP="001C55F3">
            <w:pPr>
              <w:spacing w:line="240" w:lineRule="auto"/>
              <w:jc w:val="right"/>
              <w:rPr>
                <w:szCs w:val="20"/>
                <w:lang w:val="de-DE"/>
              </w:rPr>
            </w:pPr>
            <w:r w:rsidRPr="00BE14DD">
              <w:rPr>
                <w:szCs w:val="20"/>
                <w:lang w:val="de-DE"/>
              </w:rPr>
              <w:t>&gt; 2.100</w:t>
            </w:r>
          </w:p>
        </w:tc>
        <w:tc>
          <w:tcPr>
            <w:tcW w:w="3402" w:type="dxa"/>
          </w:tcPr>
          <w:p w:rsidR="001C55F3" w:rsidRPr="00BE14DD" w:rsidRDefault="001C55F3" w:rsidP="001C55F3">
            <w:pPr>
              <w:spacing w:line="240" w:lineRule="auto"/>
              <w:rPr>
                <w:szCs w:val="20"/>
                <w:lang w:val="de-DE"/>
              </w:rPr>
            </w:pPr>
            <w:r w:rsidRPr="00BE14DD">
              <w:rPr>
                <w:szCs w:val="20"/>
                <w:lang w:val="de-DE"/>
              </w:rPr>
              <w:t>Türk and Hafellner 1999</w:t>
            </w:r>
          </w:p>
        </w:tc>
      </w:tr>
      <w:tr w:rsidR="001C55F3" w:rsidRPr="00BE14DD" w:rsidTr="001C55F3">
        <w:tc>
          <w:tcPr>
            <w:tcW w:w="2376" w:type="dxa"/>
          </w:tcPr>
          <w:p w:rsidR="001C55F3" w:rsidRPr="00BE14DD" w:rsidRDefault="001C55F3" w:rsidP="001C55F3">
            <w:pPr>
              <w:spacing w:line="240" w:lineRule="auto"/>
              <w:rPr>
                <w:szCs w:val="20"/>
                <w:lang w:val="de-DE"/>
              </w:rPr>
            </w:pPr>
            <w:r w:rsidRPr="00BE14DD">
              <w:rPr>
                <w:szCs w:val="20"/>
                <w:lang w:val="de-DE"/>
              </w:rPr>
              <w:t>Mushroom</w:t>
            </w:r>
          </w:p>
        </w:tc>
        <w:tc>
          <w:tcPr>
            <w:tcW w:w="2141" w:type="dxa"/>
          </w:tcPr>
          <w:p w:rsidR="001C55F3" w:rsidRPr="00BE14DD" w:rsidRDefault="001C55F3" w:rsidP="001C55F3">
            <w:pPr>
              <w:spacing w:line="240" w:lineRule="auto"/>
              <w:jc w:val="right"/>
              <w:rPr>
                <w:szCs w:val="20"/>
                <w:lang w:val="en-US"/>
              </w:rPr>
            </w:pPr>
            <w:r w:rsidRPr="00BE14DD">
              <w:rPr>
                <w:szCs w:val="20"/>
                <w:lang w:val="en-US"/>
              </w:rPr>
              <w:t>app. 10.000</w:t>
            </w:r>
          </w:p>
        </w:tc>
        <w:tc>
          <w:tcPr>
            <w:tcW w:w="3402" w:type="dxa"/>
          </w:tcPr>
          <w:p w:rsidR="001C55F3" w:rsidRPr="00BE14DD" w:rsidRDefault="001C55F3" w:rsidP="001C55F3">
            <w:pPr>
              <w:spacing w:line="240" w:lineRule="auto"/>
              <w:rPr>
                <w:szCs w:val="20"/>
                <w:lang w:val="en-US"/>
              </w:rPr>
            </w:pPr>
            <w:r w:rsidRPr="00BE14DD">
              <w:rPr>
                <w:szCs w:val="20"/>
                <w:lang w:val="en-US"/>
              </w:rPr>
              <w:t>Grabherr 1994</w:t>
            </w:r>
          </w:p>
        </w:tc>
      </w:tr>
      <w:tr w:rsidR="001C55F3" w:rsidRPr="00BE14DD" w:rsidTr="001C55F3">
        <w:tc>
          <w:tcPr>
            <w:tcW w:w="2376" w:type="dxa"/>
          </w:tcPr>
          <w:p w:rsidR="001C55F3" w:rsidRPr="00BE14DD" w:rsidRDefault="001C55F3" w:rsidP="001C55F3">
            <w:pPr>
              <w:spacing w:line="240" w:lineRule="auto"/>
              <w:rPr>
                <w:szCs w:val="20"/>
                <w:lang w:val="en-US"/>
              </w:rPr>
            </w:pPr>
            <w:r w:rsidRPr="00BE14DD">
              <w:rPr>
                <w:szCs w:val="20"/>
                <w:lang w:val="en-US"/>
              </w:rPr>
              <w:t>Protozoa</w:t>
            </w:r>
          </w:p>
        </w:tc>
        <w:tc>
          <w:tcPr>
            <w:tcW w:w="2141" w:type="dxa"/>
          </w:tcPr>
          <w:p w:rsidR="001C55F3" w:rsidRPr="00BE14DD" w:rsidRDefault="001C55F3" w:rsidP="001C55F3">
            <w:pPr>
              <w:spacing w:line="240" w:lineRule="auto"/>
              <w:jc w:val="right"/>
              <w:rPr>
                <w:szCs w:val="20"/>
                <w:lang w:val="en-US"/>
              </w:rPr>
            </w:pPr>
            <w:r w:rsidRPr="00BE14DD">
              <w:rPr>
                <w:szCs w:val="20"/>
                <w:lang w:val="en-US"/>
              </w:rPr>
              <w:t>&gt; 1.200</w:t>
            </w:r>
          </w:p>
        </w:tc>
        <w:tc>
          <w:tcPr>
            <w:tcW w:w="3402" w:type="dxa"/>
          </w:tcPr>
          <w:p w:rsidR="001C55F3" w:rsidRPr="00BE14DD" w:rsidRDefault="001C55F3" w:rsidP="001C55F3">
            <w:pPr>
              <w:spacing w:line="240" w:lineRule="auto"/>
              <w:rPr>
                <w:szCs w:val="20"/>
                <w:lang w:val="en-US"/>
              </w:rPr>
            </w:pPr>
            <w:r w:rsidRPr="00BE14DD">
              <w:rPr>
                <w:szCs w:val="20"/>
                <w:lang w:val="en-US"/>
              </w:rPr>
              <w:t>Geiser 1998</w:t>
            </w:r>
          </w:p>
        </w:tc>
      </w:tr>
      <w:tr w:rsidR="001C55F3" w:rsidRPr="00BE14DD" w:rsidTr="001C55F3">
        <w:tc>
          <w:tcPr>
            <w:tcW w:w="2376" w:type="dxa"/>
          </w:tcPr>
          <w:p w:rsidR="001C55F3" w:rsidRPr="00BE14DD" w:rsidRDefault="001C55F3" w:rsidP="001C55F3">
            <w:pPr>
              <w:spacing w:line="240" w:lineRule="auto"/>
              <w:rPr>
                <w:szCs w:val="20"/>
                <w:lang w:val="en-US"/>
              </w:rPr>
            </w:pPr>
            <w:r w:rsidRPr="00BE14DD">
              <w:rPr>
                <w:szCs w:val="20"/>
                <w:lang w:val="en-US"/>
              </w:rPr>
              <w:t>Invertebrates (excl. insects)</w:t>
            </w:r>
          </w:p>
        </w:tc>
        <w:tc>
          <w:tcPr>
            <w:tcW w:w="2141" w:type="dxa"/>
          </w:tcPr>
          <w:p w:rsidR="001C55F3" w:rsidRPr="00BE14DD" w:rsidRDefault="001C55F3" w:rsidP="001C55F3">
            <w:pPr>
              <w:spacing w:line="240" w:lineRule="auto"/>
              <w:jc w:val="right"/>
              <w:rPr>
                <w:szCs w:val="20"/>
                <w:lang w:val="en-US"/>
              </w:rPr>
            </w:pPr>
            <w:r w:rsidRPr="00BE14DD">
              <w:rPr>
                <w:szCs w:val="20"/>
                <w:lang w:val="en-US"/>
              </w:rPr>
              <w:t>app. 6.900</w:t>
            </w:r>
          </w:p>
        </w:tc>
        <w:tc>
          <w:tcPr>
            <w:tcW w:w="3402" w:type="dxa"/>
          </w:tcPr>
          <w:p w:rsidR="001C55F3" w:rsidRPr="00BE14DD" w:rsidRDefault="001C55F3" w:rsidP="001C55F3">
            <w:pPr>
              <w:spacing w:line="240" w:lineRule="auto"/>
              <w:rPr>
                <w:szCs w:val="20"/>
                <w:lang w:val="en-US"/>
              </w:rPr>
            </w:pPr>
            <w:r w:rsidRPr="00BE14DD">
              <w:rPr>
                <w:szCs w:val="20"/>
                <w:lang w:val="en-US"/>
              </w:rPr>
              <w:t>Geiser 1998</w:t>
            </w:r>
          </w:p>
        </w:tc>
      </w:tr>
      <w:tr w:rsidR="001C55F3" w:rsidRPr="00BE14DD" w:rsidTr="001C55F3">
        <w:tc>
          <w:tcPr>
            <w:tcW w:w="2376" w:type="dxa"/>
          </w:tcPr>
          <w:p w:rsidR="001C55F3" w:rsidRPr="00BE14DD" w:rsidRDefault="001C55F3" w:rsidP="001C55F3">
            <w:pPr>
              <w:spacing w:line="240" w:lineRule="auto"/>
              <w:rPr>
                <w:szCs w:val="20"/>
                <w:lang w:val="en-US"/>
              </w:rPr>
            </w:pPr>
            <w:r w:rsidRPr="00BE14DD">
              <w:rPr>
                <w:szCs w:val="20"/>
                <w:lang w:val="en-US"/>
              </w:rPr>
              <w:t>Insects</w:t>
            </w:r>
          </w:p>
        </w:tc>
        <w:tc>
          <w:tcPr>
            <w:tcW w:w="2141" w:type="dxa"/>
          </w:tcPr>
          <w:p w:rsidR="001C55F3" w:rsidRPr="00BE14DD" w:rsidRDefault="001C55F3" w:rsidP="001C55F3">
            <w:pPr>
              <w:spacing w:line="240" w:lineRule="auto"/>
              <w:jc w:val="right"/>
              <w:rPr>
                <w:szCs w:val="20"/>
                <w:lang w:val="en-US"/>
              </w:rPr>
            </w:pPr>
            <w:r w:rsidRPr="00BE14DD">
              <w:rPr>
                <w:szCs w:val="20"/>
                <w:lang w:val="en-US"/>
              </w:rPr>
              <w:t>app. 37.000</w:t>
            </w:r>
          </w:p>
        </w:tc>
        <w:tc>
          <w:tcPr>
            <w:tcW w:w="3402" w:type="dxa"/>
          </w:tcPr>
          <w:p w:rsidR="001C55F3" w:rsidRPr="00BE14DD" w:rsidRDefault="001C55F3" w:rsidP="001C55F3">
            <w:pPr>
              <w:spacing w:line="240" w:lineRule="auto"/>
              <w:rPr>
                <w:szCs w:val="20"/>
                <w:lang w:val="en-US"/>
              </w:rPr>
            </w:pPr>
            <w:r w:rsidRPr="00BE14DD">
              <w:rPr>
                <w:szCs w:val="20"/>
                <w:lang w:val="en-US"/>
              </w:rPr>
              <w:t>Geiser 1998</w:t>
            </w:r>
          </w:p>
        </w:tc>
      </w:tr>
      <w:tr w:rsidR="001C55F3" w:rsidRPr="00BE14DD" w:rsidTr="001C55F3">
        <w:tc>
          <w:tcPr>
            <w:tcW w:w="2376" w:type="dxa"/>
          </w:tcPr>
          <w:p w:rsidR="001C55F3" w:rsidRPr="00BE14DD" w:rsidRDefault="001C55F3" w:rsidP="001C55F3">
            <w:pPr>
              <w:spacing w:line="240" w:lineRule="auto"/>
              <w:rPr>
                <w:szCs w:val="20"/>
                <w:lang w:val="en-US"/>
              </w:rPr>
            </w:pPr>
            <w:r w:rsidRPr="00BE14DD">
              <w:rPr>
                <w:szCs w:val="20"/>
                <w:lang w:val="en-US"/>
              </w:rPr>
              <w:t>Vertebrates</w:t>
            </w:r>
          </w:p>
        </w:tc>
        <w:tc>
          <w:tcPr>
            <w:tcW w:w="2141" w:type="dxa"/>
          </w:tcPr>
          <w:p w:rsidR="001C55F3" w:rsidRPr="00BE14DD" w:rsidRDefault="001C55F3" w:rsidP="001C55F3">
            <w:pPr>
              <w:spacing w:line="240" w:lineRule="auto"/>
              <w:jc w:val="right"/>
              <w:rPr>
                <w:szCs w:val="20"/>
                <w:lang w:val="en-US"/>
              </w:rPr>
            </w:pPr>
            <w:r w:rsidRPr="00BE14DD">
              <w:rPr>
                <w:szCs w:val="20"/>
                <w:lang w:val="en-US"/>
              </w:rPr>
              <w:t>486</w:t>
            </w:r>
          </w:p>
        </w:tc>
        <w:tc>
          <w:tcPr>
            <w:tcW w:w="3402" w:type="dxa"/>
          </w:tcPr>
          <w:p w:rsidR="001C55F3" w:rsidRPr="00BE14DD" w:rsidRDefault="001C55F3" w:rsidP="001C55F3">
            <w:pPr>
              <w:spacing w:line="240" w:lineRule="auto"/>
              <w:rPr>
                <w:szCs w:val="20"/>
                <w:lang w:val="en-US"/>
              </w:rPr>
            </w:pPr>
            <w:r w:rsidRPr="00BE14DD">
              <w:rPr>
                <w:szCs w:val="20"/>
                <w:lang w:val="en-US"/>
              </w:rPr>
              <w:t>Various authors</w:t>
            </w:r>
          </w:p>
        </w:tc>
      </w:tr>
      <w:tr w:rsidR="001C55F3" w:rsidRPr="00BE14DD" w:rsidTr="001C55F3">
        <w:tc>
          <w:tcPr>
            <w:tcW w:w="2376" w:type="dxa"/>
          </w:tcPr>
          <w:p w:rsidR="001C55F3" w:rsidRPr="00BE14DD" w:rsidRDefault="001C55F3" w:rsidP="001C55F3">
            <w:pPr>
              <w:spacing w:line="240" w:lineRule="auto"/>
              <w:jc w:val="right"/>
              <w:rPr>
                <w:szCs w:val="20"/>
                <w:lang w:val="en-US"/>
              </w:rPr>
            </w:pPr>
            <w:r w:rsidRPr="00BE14DD">
              <w:rPr>
                <w:szCs w:val="20"/>
                <w:lang w:val="en-US"/>
              </w:rPr>
              <w:t>Amphibian</w:t>
            </w:r>
          </w:p>
        </w:tc>
        <w:tc>
          <w:tcPr>
            <w:tcW w:w="2141" w:type="dxa"/>
          </w:tcPr>
          <w:p w:rsidR="001C55F3" w:rsidRPr="00BE14DD" w:rsidRDefault="001C55F3" w:rsidP="001C55F3">
            <w:pPr>
              <w:spacing w:line="240" w:lineRule="auto"/>
              <w:jc w:val="right"/>
              <w:rPr>
                <w:szCs w:val="20"/>
                <w:lang w:val="en-US"/>
              </w:rPr>
            </w:pPr>
            <w:r w:rsidRPr="00BE14DD">
              <w:rPr>
                <w:szCs w:val="20"/>
                <w:lang w:val="en-US"/>
              </w:rPr>
              <w:t>20</w:t>
            </w:r>
          </w:p>
        </w:tc>
        <w:tc>
          <w:tcPr>
            <w:tcW w:w="3402" w:type="dxa"/>
          </w:tcPr>
          <w:p w:rsidR="001C55F3" w:rsidRPr="00BE14DD" w:rsidRDefault="001C55F3" w:rsidP="001C55F3">
            <w:pPr>
              <w:spacing w:line="240" w:lineRule="auto"/>
              <w:rPr>
                <w:szCs w:val="20"/>
                <w:lang w:val="en-US"/>
              </w:rPr>
            </w:pPr>
            <w:r w:rsidRPr="00BE14DD">
              <w:rPr>
                <w:szCs w:val="20"/>
                <w:lang w:val="en-US"/>
              </w:rPr>
              <w:t>Cabela 2001</w:t>
            </w:r>
          </w:p>
        </w:tc>
      </w:tr>
      <w:tr w:rsidR="001C55F3" w:rsidRPr="00BE14DD" w:rsidTr="001C55F3">
        <w:tc>
          <w:tcPr>
            <w:tcW w:w="2376" w:type="dxa"/>
          </w:tcPr>
          <w:p w:rsidR="001C55F3" w:rsidRPr="00BE14DD" w:rsidRDefault="001C55F3" w:rsidP="001C55F3">
            <w:pPr>
              <w:spacing w:line="240" w:lineRule="auto"/>
              <w:jc w:val="right"/>
              <w:rPr>
                <w:szCs w:val="20"/>
                <w:lang w:val="en-US"/>
              </w:rPr>
            </w:pPr>
            <w:r w:rsidRPr="00BE14DD">
              <w:rPr>
                <w:szCs w:val="20"/>
                <w:lang w:val="en-US"/>
              </w:rPr>
              <w:t>Reptiles</w:t>
            </w:r>
          </w:p>
        </w:tc>
        <w:tc>
          <w:tcPr>
            <w:tcW w:w="2141" w:type="dxa"/>
          </w:tcPr>
          <w:p w:rsidR="001C55F3" w:rsidRPr="00BE14DD" w:rsidRDefault="001C55F3" w:rsidP="001C55F3">
            <w:pPr>
              <w:spacing w:line="240" w:lineRule="auto"/>
              <w:jc w:val="right"/>
              <w:rPr>
                <w:szCs w:val="20"/>
                <w:lang w:val="en-US"/>
              </w:rPr>
            </w:pPr>
            <w:r w:rsidRPr="00BE14DD">
              <w:rPr>
                <w:szCs w:val="20"/>
                <w:lang w:val="en-US"/>
              </w:rPr>
              <w:t>14</w:t>
            </w:r>
          </w:p>
        </w:tc>
        <w:tc>
          <w:tcPr>
            <w:tcW w:w="3402" w:type="dxa"/>
          </w:tcPr>
          <w:p w:rsidR="001C55F3" w:rsidRPr="00BE14DD" w:rsidRDefault="001C55F3" w:rsidP="001C55F3">
            <w:pPr>
              <w:spacing w:line="240" w:lineRule="auto"/>
              <w:rPr>
                <w:szCs w:val="20"/>
                <w:lang w:val="en-US"/>
              </w:rPr>
            </w:pPr>
            <w:r w:rsidRPr="00BE14DD">
              <w:rPr>
                <w:szCs w:val="20"/>
                <w:lang w:val="en-US"/>
              </w:rPr>
              <w:t>Cabela 2001</w:t>
            </w:r>
          </w:p>
        </w:tc>
      </w:tr>
      <w:tr w:rsidR="001C55F3" w:rsidRPr="00BE14DD" w:rsidTr="001C55F3">
        <w:tc>
          <w:tcPr>
            <w:tcW w:w="2376" w:type="dxa"/>
          </w:tcPr>
          <w:p w:rsidR="001C55F3" w:rsidRPr="00BE14DD" w:rsidRDefault="001C55F3" w:rsidP="001C55F3">
            <w:pPr>
              <w:spacing w:line="240" w:lineRule="auto"/>
              <w:jc w:val="right"/>
              <w:rPr>
                <w:szCs w:val="20"/>
                <w:lang w:val="en-US"/>
              </w:rPr>
            </w:pPr>
            <w:r w:rsidRPr="00BE14DD">
              <w:rPr>
                <w:szCs w:val="20"/>
                <w:lang w:val="en-US"/>
              </w:rPr>
              <w:t>Fish</w:t>
            </w:r>
          </w:p>
        </w:tc>
        <w:tc>
          <w:tcPr>
            <w:tcW w:w="2141" w:type="dxa"/>
          </w:tcPr>
          <w:p w:rsidR="001C55F3" w:rsidRPr="00BE14DD" w:rsidRDefault="001C55F3" w:rsidP="001C55F3">
            <w:pPr>
              <w:spacing w:line="240" w:lineRule="auto"/>
              <w:jc w:val="right"/>
              <w:rPr>
                <w:szCs w:val="20"/>
                <w:lang w:val="en-US"/>
              </w:rPr>
            </w:pPr>
            <w:r w:rsidRPr="00BE14DD">
              <w:rPr>
                <w:szCs w:val="20"/>
                <w:lang w:val="en-US"/>
              </w:rPr>
              <w:t>84</w:t>
            </w:r>
          </w:p>
        </w:tc>
        <w:tc>
          <w:tcPr>
            <w:tcW w:w="3402" w:type="dxa"/>
          </w:tcPr>
          <w:p w:rsidR="001C55F3" w:rsidRPr="00BE14DD" w:rsidRDefault="001C55F3" w:rsidP="001C55F3">
            <w:pPr>
              <w:spacing w:line="240" w:lineRule="auto"/>
              <w:rPr>
                <w:szCs w:val="20"/>
                <w:lang w:val="en-US"/>
              </w:rPr>
            </w:pPr>
            <w:r w:rsidRPr="00BE14DD">
              <w:rPr>
                <w:szCs w:val="20"/>
                <w:lang w:val="en-US"/>
              </w:rPr>
              <w:t>Wolfram and Mikschi 2007</w:t>
            </w:r>
          </w:p>
        </w:tc>
      </w:tr>
      <w:tr w:rsidR="001C55F3" w:rsidRPr="00BE14DD" w:rsidTr="001C55F3">
        <w:tc>
          <w:tcPr>
            <w:tcW w:w="2376" w:type="dxa"/>
          </w:tcPr>
          <w:p w:rsidR="001C55F3" w:rsidRPr="00BE14DD" w:rsidRDefault="001C55F3" w:rsidP="001C55F3">
            <w:pPr>
              <w:spacing w:line="240" w:lineRule="auto"/>
              <w:jc w:val="right"/>
              <w:rPr>
                <w:szCs w:val="20"/>
                <w:lang w:val="en-US"/>
              </w:rPr>
            </w:pPr>
            <w:r w:rsidRPr="00BE14DD">
              <w:rPr>
                <w:szCs w:val="20"/>
                <w:lang w:val="en-US"/>
              </w:rPr>
              <w:t>Birds</w:t>
            </w:r>
          </w:p>
        </w:tc>
        <w:tc>
          <w:tcPr>
            <w:tcW w:w="2141" w:type="dxa"/>
          </w:tcPr>
          <w:p w:rsidR="001C55F3" w:rsidRPr="00BE14DD" w:rsidRDefault="001C55F3" w:rsidP="001C55F3">
            <w:pPr>
              <w:spacing w:line="240" w:lineRule="auto"/>
              <w:jc w:val="right"/>
              <w:rPr>
                <w:szCs w:val="20"/>
                <w:lang w:val="en-US"/>
              </w:rPr>
            </w:pPr>
            <w:r w:rsidRPr="00BE14DD">
              <w:rPr>
                <w:szCs w:val="20"/>
                <w:lang w:val="en-US"/>
              </w:rPr>
              <w:t>242</w:t>
            </w:r>
          </w:p>
        </w:tc>
        <w:tc>
          <w:tcPr>
            <w:tcW w:w="3402" w:type="dxa"/>
          </w:tcPr>
          <w:p w:rsidR="001C55F3" w:rsidRPr="00BE14DD" w:rsidRDefault="001C55F3" w:rsidP="001C55F3">
            <w:pPr>
              <w:spacing w:line="240" w:lineRule="auto"/>
              <w:rPr>
                <w:szCs w:val="20"/>
                <w:lang w:val="en-US"/>
              </w:rPr>
            </w:pPr>
            <w:r w:rsidRPr="00BE14DD">
              <w:rPr>
                <w:szCs w:val="20"/>
                <w:lang w:val="en-US"/>
              </w:rPr>
              <w:t>Frühauf 2005</w:t>
            </w:r>
          </w:p>
        </w:tc>
      </w:tr>
      <w:tr w:rsidR="001C55F3" w:rsidRPr="00BE14DD" w:rsidTr="001C55F3">
        <w:tc>
          <w:tcPr>
            <w:tcW w:w="2376" w:type="dxa"/>
          </w:tcPr>
          <w:p w:rsidR="001C55F3" w:rsidRPr="00BE14DD" w:rsidRDefault="001C55F3" w:rsidP="001C55F3">
            <w:pPr>
              <w:spacing w:line="240" w:lineRule="auto"/>
              <w:jc w:val="right"/>
              <w:rPr>
                <w:szCs w:val="20"/>
                <w:lang w:val="en-US"/>
              </w:rPr>
            </w:pPr>
            <w:r w:rsidRPr="00BE14DD">
              <w:rPr>
                <w:szCs w:val="20"/>
                <w:lang w:val="en-US"/>
              </w:rPr>
              <w:t>Mammals</w:t>
            </w:r>
          </w:p>
        </w:tc>
        <w:tc>
          <w:tcPr>
            <w:tcW w:w="2141" w:type="dxa"/>
          </w:tcPr>
          <w:p w:rsidR="001C55F3" w:rsidRPr="00BE14DD" w:rsidRDefault="001C55F3" w:rsidP="001C55F3">
            <w:pPr>
              <w:spacing w:line="240" w:lineRule="auto"/>
              <w:jc w:val="right"/>
              <w:rPr>
                <w:szCs w:val="20"/>
                <w:lang w:val="en-US"/>
              </w:rPr>
            </w:pPr>
            <w:r w:rsidRPr="00BE14DD">
              <w:rPr>
                <w:szCs w:val="20"/>
                <w:lang w:val="en-US"/>
              </w:rPr>
              <w:t>101</w:t>
            </w:r>
          </w:p>
        </w:tc>
        <w:tc>
          <w:tcPr>
            <w:tcW w:w="3402" w:type="dxa"/>
          </w:tcPr>
          <w:p w:rsidR="001C55F3" w:rsidRPr="00BE14DD" w:rsidRDefault="001C55F3" w:rsidP="001C55F3">
            <w:pPr>
              <w:spacing w:line="240" w:lineRule="auto"/>
              <w:rPr>
                <w:szCs w:val="20"/>
                <w:lang w:val="en-US"/>
              </w:rPr>
            </w:pPr>
            <w:r w:rsidRPr="00BE14DD">
              <w:rPr>
                <w:szCs w:val="20"/>
                <w:lang w:val="en-US"/>
              </w:rPr>
              <w:t>Spitzenberger 2001</w:t>
            </w:r>
          </w:p>
        </w:tc>
      </w:tr>
      <w:tr w:rsidR="001C55F3" w:rsidRPr="00BE14DD" w:rsidTr="001C55F3">
        <w:tc>
          <w:tcPr>
            <w:tcW w:w="2376" w:type="dxa"/>
          </w:tcPr>
          <w:p w:rsidR="001C55F3" w:rsidRPr="00BE14DD" w:rsidRDefault="001C55F3" w:rsidP="001C55F3">
            <w:pPr>
              <w:spacing w:line="240" w:lineRule="auto"/>
              <w:rPr>
                <w:szCs w:val="20"/>
                <w:lang w:val="en-US"/>
              </w:rPr>
            </w:pPr>
            <w:r w:rsidRPr="00BE14DD">
              <w:rPr>
                <w:szCs w:val="20"/>
                <w:lang w:val="en-US"/>
              </w:rPr>
              <w:t>Total</w:t>
            </w:r>
          </w:p>
        </w:tc>
        <w:tc>
          <w:tcPr>
            <w:tcW w:w="2141" w:type="dxa"/>
          </w:tcPr>
          <w:p w:rsidR="001C55F3" w:rsidRPr="00BE14DD" w:rsidRDefault="001C55F3" w:rsidP="001C55F3">
            <w:pPr>
              <w:spacing w:line="240" w:lineRule="auto"/>
              <w:jc w:val="right"/>
              <w:rPr>
                <w:szCs w:val="20"/>
                <w:lang w:val="en-US"/>
              </w:rPr>
            </w:pPr>
            <w:r w:rsidRPr="00BE14DD">
              <w:rPr>
                <w:szCs w:val="20"/>
                <w:lang w:val="en-US"/>
              </w:rPr>
              <w:t>67.000</w:t>
            </w:r>
          </w:p>
        </w:tc>
        <w:tc>
          <w:tcPr>
            <w:tcW w:w="3402" w:type="dxa"/>
          </w:tcPr>
          <w:p w:rsidR="001C55F3" w:rsidRPr="00BE14DD" w:rsidRDefault="001C55F3" w:rsidP="001C55F3">
            <w:pPr>
              <w:spacing w:line="240" w:lineRule="auto"/>
              <w:rPr>
                <w:szCs w:val="20"/>
                <w:lang w:val="en-US"/>
              </w:rPr>
            </w:pPr>
            <w:r w:rsidRPr="00BE14DD">
              <w:rPr>
                <w:szCs w:val="20"/>
                <w:lang w:val="en-US"/>
              </w:rPr>
              <w:t>Sauberer et al. 2008</w:t>
            </w:r>
          </w:p>
        </w:tc>
      </w:tr>
    </w:tbl>
    <w:p w:rsidR="001C55F3" w:rsidRPr="00BE14DD" w:rsidRDefault="001C55F3" w:rsidP="001C55F3">
      <w:pPr>
        <w:rPr>
          <w:szCs w:val="20"/>
          <w:lang w:val="en-US"/>
        </w:rPr>
      </w:pPr>
    </w:p>
    <w:p w:rsidR="001C55F3" w:rsidRPr="00574694" w:rsidRDefault="001C55F3" w:rsidP="001C55F3">
      <w:pPr>
        <w:pStyle w:val="Titre3"/>
        <w:rPr>
          <w:rFonts w:asciiTheme="minorHAnsi" w:hAnsiTheme="minorHAnsi"/>
          <w:sz w:val="22"/>
        </w:rPr>
      </w:pPr>
      <w:r w:rsidRPr="00574694">
        <w:rPr>
          <w:rFonts w:asciiTheme="minorHAnsi" w:hAnsiTheme="minorHAnsi"/>
          <w:sz w:val="22"/>
        </w:rPr>
        <w:t>4.4.2 Components of biodiversity monitored or surveyed</w:t>
      </w:r>
    </w:p>
    <w:p w:rsidR="001C55F3" w:rsidRPr="00574694" w:rsidRDefault="001C55F3" w:rsidP="001C55F3">
      <w:pPr>
        <w:autoSpaceDE w:val="0"/>
        <w:autoSpaceDN w:val="0"/>
        <w:adjustRightInd w:val="0"/>
        <w:spacing w:after="0" w:line="240" w:lineRule="auto"/>
        <w:rPr>
          <w:b/>
        </w:rPr>
      </w:pPr>
    </w:p>
    <w:p w:rsidR="001C55F3" w:rsidRPr="00574694" w:rsidRDefault="001C55F3" w:rsidP="00622218">
      <w:pPr>
        <w:pStyle w:val="Paragraphedeliste"/>
        <w:numPr>
          <w:ilvl w:val="0"/>
          <w:numId w:val="108"/>
        </w:numPr>
        <w:autoSpaceDE w:val="0"/>
        <w:autoSpaceDN w:val="0"/>
        <w:adjustRightInd w:val="0"/>
        <w:spacing w:after="0" w:line="240" w:lineRule="auto"/>
        <w:rPr>
          <w:b/>
          <w:u w:val="single"/>
        </w:rPr>
      </w:pPr>
      <w:r w:rsidRPr="00574694">
        <w:rPr>
          <w:b/>
          <w:u w:val="single"/>
        </w:rPr>
        <w:t>SPECIES</w:t>
      </w:r>
    </w:p>
    <w:p w:rsidR="001C55F3" w:rsidRPr="00574694" w:rsidRDefault="001C55F3" w:rsidP="001C55F3">
      <w:pPr>
        <w:autoSpaceDE w:val="0"/>
        <w:autoSpaceDN w:val="0"/>
        <w:adjustRightInd w:val="0"/>
        <w:spacing w:after="0" w:line="240" w:lineRule="auto"/>
      </w:pPr>
    </w:p>
    <w:p w:rsidR="001C55F3" w:rsidRPr="00574694" w:rsidRDefault="001C55F3" w:rsidP="001C55F3">
      <w:pPr>
        <w:autoSpaceDE w:val="0"/>
        <w:autoSpaceDN w:val="0"/>
        <w:adjustRightInd w:val="0"/>
        <w:spacing w:after="0" w:line="240" w:lineRule="auto"/>
      </w:pPr>
      <w:r w:rsidRPr="00574694">
        <w:t>Reporting on species-diversity in Austria relies mostly on red list assessments. Red lists are among the most important and popular instruments of environmental control and nature conservation.</w:t>
      </w:r>
    </w:p>
    <w:p w:rsidR="001C55F3" w:rsidRPr="00574694" w:rsidRDefault="001C55F3" w:rsidP="001C55F3">
      <w:pPr>
        <w:autoSpaceDE w:val="0"/>
        <w:autoSpaceDN w:val="0"/>
        <w:adjustRightInd w:val="0"/>
        <w:spacing w:after="0" w:line="240" w:lineRule="auto"/>
      </w:pPr>
    </w:p>
    <w:p w:rsidR="001C55F3" w:rsidRPr="00574694" w:rsidRDefault="001C55F3" w:rsidP="001C55F3">
      <w:pPr>
        <w:autoSpaceDE w:val="0"/>
        <w:autoSpaceDN w:val="0"/>
        <w:adjustRightInd w:val="0"/>
        <w:spacing w:after="0" w:line="240" w:lineRule="auto"/>
      </w:pPr>
      <w:r w:rsidRPr="00574694">
        <w:t xml:space="preserve">Red lists are not yet established for all groups of organisms, but only for selected ones  and exclude large parts of insect groups. </w:t>
      </w:r>
    </w:p>
    <w:p w:rsidR="001C55F3" w:rsidRPr="00574694" w:rsidRDefault="001C55F3" w:rsidP="001C55F3">
      <w:pPr>
        <w:autoSpaceDE w:val="0"/>
        <w:autoSpaceDN w:val="0"/>
        <w:adjustRightInd w:val="0"/>
        <w:spacing w:after="0" w:line="240" w:lineRule="auto"/>
      </w:pPr>
    </w:p>
    <w:p w:rsidR="001C55F3" w:rsidRPr="00574694" w:rsidRDefault="001C55F3" w:rsidP="001C55F3">
      <w:pPr>
        <w:autoSpaceDE w:val="0"/>
        <w:autoSpaceDN w:val="0"/>
        <w:adjustRightInd w:val="0"/>
        <w:spacing w:after="0" w:line="240" w:lineRule="auto"/>
      </w:pPr>
      <w:r w:rsidRPr="00574694">
        <w:t>For forest ecosystems the forest inventory is conducted approximately every 6 years, estimating more than 150 parameters of ecosystem state using a sample plot system with almost 22.000 points. Beside the regular forest inventories an assessment of the hemerobiotic state of forests has been assessed only once for Austria.</w:t>
      </w:r>
    </w:p>
    <w:p w:rsidR="001C55F3" w:rsidRPr="00574694" w:rsidRDefault="001C55F3" w:rsidP="001C55F3">
      <w:pPr>
        <w:autoSpaceDE w:val="0"/>
        <w:autoSpaceDN w:val="0"/>
        <w:adjustRightInd w:val="0"/>
        <w:spacing w:after="0" w:line="240" w:lineRule="auto"/>
      </w:pPr>
      <w:r w:rsidRPr="00574694">
        <w:t>For the categorization of red list status a system has been proposed (Zulka et al. 2001) that should improve comparability between red lists and intelligibility of the risk assessment procedure. Conceptually, the draft aims at considering and incorporating recent implications from population viability analysis and metapopulation biology. While retaining full compatibility to the IUCN approach, the assessment methodology separates threat descriptors (such as abundance data, abundance trends, habitat availability and range development, which are regarded as independent variables), from the dependent variable “extinction threat” (which is defined in terms of extinction probability per time unit in the sense of IUCN-criterion E).</w:t>
      </w:r>
    </w:p>
    <w:p w:rsidR="001C55F3" w:rsidRPr="00574694" w:rsidRDefault="001C55F3" w:rsidP="001C55F3">
      <w:pPr>
        <w:spacing w:line="240" w:lineRule="auto"/>
      </w:pPr>
      <w:r w:rsidRPr="00574694">
        <w:t>For some species groups regular monitoring schemas have been implemented – rather due to scientific reasons and motivation and less for policy oriented purposes (e.g. mapping of floristic diversity based on 5°*3° grid cells [Niklfeld et al.]).</w:t>
      </w:r>
    </w:p>
    <w:p w:rsidR="001C55F3" w:rsidRPr="00574694" w:rsidRDefault="001C55F3" w:rsidP="001C55F3">
      <w:pPr>
        <w:spacing w:line="240" w:lineRule="auto"/>
      </w:pPr>
      <w:r w:rsidRPr="00574694">
        <w:t>National Red Lists have been published in the last 7 years for selected species groups (see table 4.10). A range of further organism groups are currently in preparation for being published. A regular update of the red list status is currently not feasible due to lack of finances, however an update cycle of 10-15 years would be advisable.</w:t>
      </w:r>
    </w:p>
    <w:p w:rsidR="001C55F3" w:rsidRPr="00BE14DD" w:rsidRDefault="001C55F3" w:rsidP="001C55F3">
      <w:pPr>
        <w:rPr>
          <w:i/>
          <w:szCs w:val="20"/>
        </w:rPr>
      </w:pPr>
      <w:r w:rsidRPr="00BE14DD">
        <w:rPr>
          <w:i/>
          <w:szCs w:val="20"/>
        </w:rPr>
        <w:t>Table 4.10: year of publication of national red list assessment</w:t>
      </w:r>
    </w:p>
    <w:tbl>
      <w:tblPr>
        <w:tblW w:w="0" w:type="auto"/>
        <w:tblInd w:w="40" w:type="dxa"/>
        <w:tblLayout w:type="fixed"/>
        <w:tblCellMar>
          <w:left w:w="40" w:type="dxa"/>
          <w:right w:w="40" w:type="dxa"/>
        </w:tblCellMar>
        <w:tblLook w:val="0000"/>
      </w:tblPr>
      <w:tblGrid>
        <w:gridCol w:w="3050"/>
        <w:gridCol w:w="3046"/>
      </w:tblGrid>
      <w:tr w:rsidR="001C55F3" w:rsidRPr="00574694" w:rsidTr="001C55F3">
        <w:trPr>
          <w:trHeight w:val="300"/>
        </w:trPr>
        <w:tc>
          <w:tcPr>
            <w:tcW w:w="3050" w:type="dxa"/>
            <w:tcBorders>
              <w:top w:val="single" w:sz="6" w:space="0" w:color="000000"/>
              <w:left w:val="single" w:sz="6" w:space="0" w:color="000000"/>
              <w:bottom w:val="single" w:sz="6" w:space="0" w:color="000000"/>
              <w:right w:val="single" w:sz="6" w:space="0" w:color="000000"/>
            </w:tcBorders>
            <w:shd w:val="solid" w:color="C0C0C0" w:fill="auto"/>
          </w:tcPr>
          <w:p w:rsidR="001C55F3" w:rsidRPr="00574694" w:rsidRDefault="001C55F3" w:rsidP="001C55F3">
            <w:pPr>
              <w:autoSpaceDE w:val="0"/>
              <w:autoSpaceDN w:val="0"/>
              <w:adjustRightInd w:val="0"/>
              <w:spacing w:after="0" w:line="240" w:lineRule="auto"/>
              <w:jc w:val="center"/>
              <w:rPr>
                <w:rFonts w:cs="Calibri"/>
                <w:b/>
                <w:bCs/>
                <w:color w:val="000000"/>
                <w:szCs w:val="20"/>
                <w:lang w:val="de-DE"/>
              </w:rPr>
            </w:pPr>
            <w:r w:rsidRPr="00574694">
              <w:rPr>
                <w:rFonts w:cs="Calibri"/>
                <w:b/>
                <w:bCs/>
                <w:color w:val="000000"/>
                <w:szCs w:val="20"/>
                <w:lang w:val="de-DE"/>
              </w:rPr>
              <w:t>Group</w:t>
            </w:r>
          </w:p>
        </w:tc>
        <w:tc>
          <w:tcPr>
            <w:tcW w:w="3046" w:type="dxa"/>
            <w:tcBorders>
              <w:top w:val="single" w:sz="6" w:space="0" w:color="000000"/>
              <w:left w:val="single" w:sz="6" w:space="0" w:color="000000"/>
              <w:bottom w:val="single" w:sz="6" w:space="0" w:color="000000"/>
              <w:right w:val="single" w:sz="6" w:space="0" w:color="000000"/>
            </w:tcBorders>
            <w:shd w:val="solid" w:color="C0C0C0" w:fill="auto"/>
          </w:tcPr>
          <w:p w:rsidR="001C55F3" w:rsidRPr="00574694" w:rsidRDefault="001C55F3" w:rsidP="001C55F3">
            <w:pPr>
              <w:autoSpaceDE w:val="0"/>
              <w:autoSpaceDN w:val="0"/>
              <w:adjustRightInd w:val="0"/>
              <w:spacing w:after="0" w:line="240" w:lineRule="auto"/>
              <w:jc w:val="center"/>
              <w:rPr>
                <w:rFonts w:cs="Calibri"/>
                <w:b/>
                <w:bCs/>
                <w:color w:val="000000"/>
                <w:szCs w:val="20"/>
                <w:lang w:val="en-US"/>
              </w:rPr>
            </w:pPr>
            <w:r w:rsidRPr="00574694">
              <w:rPr>
                <w:rFonts w:cs="Calibri"/>
                <w:b/>
                <w:bCs/>
                <w:color w:val="000000"/>
                <w:szCs w:val="20"/>
                <w:lang w:val="en-US"/>
              </w:rPr>
              <w:t>Year of red list assessment</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orthopterans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2005</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lacewings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2005</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mammals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2005</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scorpionflies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2005</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butterflies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2005</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birds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2005</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water beetles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2005</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dragonflies and damselflies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2006</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amphibians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2007</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fish</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2007</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moths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2007</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reptiles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2007</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mollusks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2007</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decapods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2009</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caddisflies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2009</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scorpions</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2009</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harvestmen</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2009</w:t>
            </w:r>
          </w:p>
        </w:tc>
      </w:tr>
      <w:tr w:rsidR="001C55F3" w:rsidRPr="00574694" w:rsidTr="001C55F3">
        <w:trPr>
          <w:trHeight w:val="300"/>
        </w:trPr>
        <w:tc>
          <w:tcPr>
            <w:tcW w:w="3050"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rPr>
                <w:rFonts w:cs="Calibri"/>
                <w:color w:val="000000"/>
                <w:szCs w:val="20"/>
                <w:lang w:val="de-DE"/>
              </w:rPr>
            </w:pPr>
            <w:r w:rsidRPr="00574694">
              <w:rPr>
                <w:rFonts w:cs="Calibri"/>
                <w:color w:val="000000"/>
                <w:szCs w:val="20"/>
                <w:lang w:val="de-DE"/>
              </w:rPr>
              <w:t xml:space="preserve">leafhoppers and planthoppers </w:t>
            </w:r>
          </w:p>
        </w:tc>
        <w:tc>
          <w:tcPr>
            <w:tcW w:w="3046" w:type="dxa"/>
            <w:tcBorders>
              <w:top w:val="single" w:sz="6" w:space="0" w:color="D0D7E5"/>
              <w:left w:val="single" w:sz="6" w:space="0" w:color="D0D7E5"/>
              <w:bottom w:val="single" w:sz="6" w:space="0" w:color="D0D7E5"/>
              <w:right w:val="single" w:sz="6" w:space="0" w:color="D0D7E5"/>
            </w:tcBorders>
            <w:shd w:val="solid" w:color="FFFFFF" w:fill="auto"/>
          </w:tcPr>
          <w:p w:rsidR="001C55F3" w:rsidRPr="00574694" w:rsidRDefault="001C55F3" w:rsidP="001C55F3">
            <w:pPr>
              <w:autoSpaceDE w:val="0"/>
              <w:autoSpaceDN w:val="0"/>
              <w:adjustRightInd w:val="0"/>
              <w:spacing w:after="0" w:line="240" w:lineRule="auto"/>
              <w:jc w:val="right"/>
              <w:rPr>
                <w:rFonts w:cs="Calibri"/>
                <w:color w:val="000000"/>
                <w:szCs w:val="20"/>
                <w:lang w:val="de-DE"/>
              </w:rPr>
            </w:pPr>
            <w:r w:rsidRPr="00574694">
              <w:rPr>
                <w:rFonts w:cs="Calibri"/>
                <w:color w:val="000000"/>
                <w:szCs w:val="20"/>
                <w:lang w:val="de-DE"/>
              </w:rPr>
              <w:t>2009</w:t>
            </w:r>
          </w:p>
        </w:tc>
      </w:tr>
    </w:tbl>
    <w:p w:rsidR="001C55F3" w:rsidRPr="00574694" w:rsidRDefault="001C55F3" w:rsidP="00622218">
      <w:pPr>
        <w:pStyle w:val="Paragraphedeliste"/>
        <w:numPr>
          <w:ilvl w:val="0"/>
          <w:numId w:val="108"/>
        </w:numPr>
        <w:spacing w:line="240" w:lineRule="auto"/>
        <w:rPr>
          <w:u w:val="single"/>
        </w:rPr>
      </w:pPr>
      <w:r w:rsidRPr="00574694">
        <w:rPr>
          <w:u w:val="single"/>
        </w:rPr>
        <w:lastRenderedPageBreak/>
        <w:t>HABITATTYPES</w:t>
      </w:r>
    </w:p>
    <w:p w:rsidR="001C55F3" w:rsidRPr="00574694" w:rsidRDefault="001C55F3" w:rsidP="001C55F3">
      <w:pPr>
        <w:spacing w:line="240" w:lineRule="auto"/>
      </w:pPr>
      <w:r w:rsidRPr="00574694">
        <w:t>For habitat diversity a complete national list of biotope types has recently been developed that comprises 488 biotope types which are assigned to 11 main groups. This list includes 383 biotope types of high nature conservation value and 105 biotope types that are of no conservation value.  The threat status according to red list criteria has been assessed for the biotope types with high nature conservation value. For the most important biotope types the distribution is known according to the 3°*5° raster cells of the floristic mapping grid.</w:t>
      </w:r>
    </w:p>
    <w:p w:rsidR="001C55F3" w:rsidRPr="00574694" w:rsidRDefault="001C55F3" w:rsidP="001C55F3">
      <w:pPr>
        <w:spacing w:line="240" w:lineRule="auto"/>
      </w:pPr>
      <w:r w:rsidRPr="00574694">
        <w:t>The largest number of biotope types is found in forests (93 biotope types), followed by water (92 biotope types) and grassland habitats (61 biotope types). The threat status of the biotope types gives cause for concern. Around three quarters of the evaluated biotope types have been assigned to a threat category. Five types have been completely destroyed, while 33 biotope types are threatened by complete destruction and 123 biotope types are vulnerable and another 123 endangered. Only 93 biotope types of high conservation value are not endangered (Essl and Egger, 2010).</w:t>
      </w:r>
    </w:p>
    <w:p w:rsidR="001C55F3" w:rsidRPr="00574694" w:rsidRDefault="001C55F3" w:rsidP="001C55F3">
      <w:pPr>
        <w:spacing w:line="240" w:lineRule="auto"/>
      </w:pPr>
      <w:r w:rsidRPr="00574694">
        <w:t xml:space="preserve">Most biotope types are threatened by eutrophication, followed by abandonment of extensive, traditional forms of land use, land development as well as interventions in wetlands such as river regulation, drainage and energy use. The largest number of threatened biotope types are found at the submontane altitudinal belt. </w:t>
      </w:r>
    </w:p>
    <w:p w:rsidR="001C55F3" w:rsidRPr="00574694" w:rsidRDefault="001C55F3" w:rsidP="001C55F3">
      <w:pPr>
        <w:spacing w:line="240" w:lineRule="auto"/>
      </w:pPr>
    </w:p>
    <w:p w:rsidR="001C55F3" w:rsidRPr="00574694" w:rsidRDefault="001C55F3" w:rsidP="001C55F3">
      <w:pPr>
        <w:pStyle w:val="Titre3"/>
        <w:rPr>
          <w:rFonts w:asciiTheme="minorHAnsi" w:hAnsiTheme="minorHAnsi"/>
          <w:sz w:val="22"/>
        </w:rPr>
      </w:pPr>
      <w:r w:rsidRPr="00574694">
        <w:rPr>
          <w:rFonts w:asciiTheme="minorHAnsi" w:hAnsiTheme="minorHAnsi"/>
          <w:sz w:val="22"/>
        </w:rPr>
        <w:t>4.4.3 Comparison of the national assessments with EU reporting obligations</w:t>
      </w:r>
    </w:p>
    <w:p w:rsidR="001C55F3" w:rsidRPr="00574694" w:rsidRDefault="001C55F3" w:rsidP="001C55F3">
      <w:pPr>
        <w:spacing w:line="240" w:lineRule="auto"/>
      </w:pPr>
    </w:p>
    <w:p w:rsidR="001C55F3" w:rsidRPr="00574694" w:rsidRDefault="001C55F3" w:rsidP="001C55F3">
      <w:pPr>
        <w:spacing w:line="240" w:lineRule="auto"/>
      </w:pPr>
      <w:r w:rsidRPr="00574694">
        <w:t>As indicated in the previous paragraph the reporting on species and habitattypes is based on the regular updating of national red list. Therefore a comparison between the national assessment and the EU reporting obligations consist of a comparison of the species and habitat types or biotopes listed on the Austrian red lists (see references below) and the Habitats Directive.</w:t>
      </w:r>
    </w:p>
    <w:p w:rsidR="001C55F3" w:rsidRPr="00574694" w:rsidRDefault="001C55F3" w:rsidP="001C55F3">
      <w:pPr>
        <w:spacing w:line="240" w:lineRule="auto"/>
      </w:pPr>
      <w:r w:rsidRPr="00574694">
        <w:t>The comparison between the red list threat status and the habitat directive protection status shown in table 4.11, reveals the “concentration” of the habitat directive on specific organism groups: mainly mammals, amphibians, reptiles and specific insect groups (e.g decapods). For these groups a minimum of 50% and mostly at least 75% of the nationally endangered species are protected by the habitat directive. For the less common groups the protection percentage drops dramatically, so that overall only 7% of endangered species are protected by the habitat directive.</w:t>
      </w:r>
    </w:p>
    <w:p w:rsidR="001C55F3" w:rsidRPr="00BE14DD" w:rsidRDefault="001C55F3" w:rsidP="001C55F3">
      <w:pPr>
        <w:keepNext/>
        <w:rPr>
          <w:i/>
          <w:szCs w:val="20"/>
        </w:rPr>
      </w:pPr>
      <w:r w:rsidRPr="00BE14DD">
        <w:rPr>
          <w:i/>
          <w:szCs w:val="20"/>
        </w:rPr>
        <w:lastRenderedPageBreak/>
        <w:t>Table 4.11: Relation between threat status of red list and protection status according to habitat directive of selected species groups (1. Number/2. Number; 1. Number…count of habitats according to national red list; 2. Number …count of protected habitats according to habitat directive)</w:t>
      </w:r>
    </w:p>
    <w:bookmarkStart w:id="39" w:name="_MON_1427633656"/>
    <w:bookmarkEnd w:id="39"/>
    <w:p w:rsidR="001C55F3" w:rsidRPr="00BE14DD" w:rsidRDefault="001C55F3" w:rsidP="001C55F3">
      <w:r w:rsidRPr="00BE14DD">
        <w:object w:dxaOrig="8464" w:dyaOrig="9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2.55pt;height:467.65pt" o:ole="">
            <v:imagedata r:id="rId135" o:title=""/>
          </v:shape>
          <o:OLEObject Type="Embed" ProgID="Excel.Sheet.12" ShapeID="_x0000_i1025" DrawAspect="Content" ObjectID="_1444748972" r:id="rId136"/>
        </w:object>
      </w:r>
    </w:p>
    <w:p w:rsidR="001C55F3" w:rsidRPr="00574694" w:rsidRDefault="001C55F3" w:rsidP="001C55F3">
      <w:pPr>
        <w:spacing w:line="240" w:lineRule="auto"/>
      </w:pPr>
      <w:r w:rsidRPr="00574694">
        <w:t>Using red list approaches one has to be aware of the risk of the so called “extinction debt”. Population declines of plants and animals very often lag behind contemporary environmental degradation (Dullinger et al. 2013)</w:t>
      </w:r>
    </w:p>
    <w:p w:rsidR="001C55F3" w:rsidRPr="00574694" w:rsidRDefault="001C55F3" w:rsidP="001C55F3">
      <w:r w:rsidRPr="00574694">
        <w:t xml:space="preserve">The comparison between the red list threat status of biotopes and the habitat directive protection status shown in table 4.12, shows that the overlap between the red list habitats and the Habitats Directive habitats vary from 100% for dwarf- shrub habitats to 0 % for water habitats.  </w:t>
      </w:r>
    </w:p>
    <w:p w:rsidR="001C55F3" w:rsidRDefault="001C55F3">
      <w:pPr>
        <w:rPr>
          <w:i/>
        </w:rPr>
      </w:pPr>
      <w:r>
        <w:rPr>
          <w:i/>
        </w:rPr>
        <w:br w:type="page"/>
      </w:r>
    </w:p>
    <w:p w:rsidR="001C55F3" w:rsidRPr="00574694" w:rsidRDefault="001C55F3" w:rsidP="001C55F3">
      <w:pPr>
        <w:keepNext/>
        <w:spacing w:line="240" w:lineRule="auto"/>
        <w:rPr>
          <w:b/>
          <w:i/>
          <w:color w:val="FF0000"/>
        </w:rPr>
      </w:pPr>
      <w:r w:rsidRPr="00574694">
        <w:rPr>
          <w:i/>
        </w:rPr>
        <w:lastRenderedPageBreak/>
        <w:t xml:space="preserve">Table 4.12: relation between threat status of red list and protection status according to habitat directive of habitats (1. Number/2. Number; 1. Number…count of species according to national red list of habitats; 2. Number …count of protected species according to habitat directive). </w:t>
      </w:r>
      <w:r w:rsidRPr="00574694">
        <w:rPr>
          <w:b/>
          <w:i/>
          <w:color w:val="FF0000"/>
        </w:rPr>
        <w:t xml:space="preserve">REMARK: DRAFT Table – EU enlargement of habitat types not yet co-registered </w:t>
      </w:r>
    </w:p>
    <w:p w:rsidR="001C55F3" w:rsidRPr="00BE14DD" w:rsidRDefault="001C55F3" w:rsidP="001C55F3"/>
    <w:tbl>
      <w:tblPr>
        <w:tblW w:w="9038" w:type="dxa"/>
        <w:tblInd w:w="55" w:type="dxa"/>
        <w:tblCellMar>
          <w:left w:w="70" w:type="dxa"/>
          <w:right w:w="70" w:type="dxa"/>
        </w:tblCellMar>
        <w:tblLook w:val="04A0"/>
      </w:tblPr>
      <w:tblGrid>
        <w:gridCol w:w="3134"/>
        <w:gridCol w:w="448"/>
        <w:gridCol w:w="671"/>
        <w:gridCol w:w="894"/>
        <w:gridCol w:w="660"/>
        <w:gridCol w:w="894"/>
        <w:gridCol w:w="783"/>
        <w:gridCol w:w="894"/>
        <w:gridCol w:w="660"/>
      </w:tblGrid>
      <w:tr w:rsidR="001C55F3" w:rsidRPr="00BE14DD" w:rsidTr="001C55F3">
        <w:trPr>
          <w:trHeight w:val="2820"/>
        </w:trPr>
        <w:tc>
          <w:tcPr>
            <w:tcW w:w="3134" w:type="dxa"/>
            <w:tcBorders>
              <w:top w:val="single" w:sz="4" w:space="0" w:color="auto"/>
              <w:left w:val="single" w:sz="4" w:space="0" w:color="auto"/>
              <w:bottom w:val="nil"/>
              <w:right w:val="nil"/>
            </w:tcBorders>
            <w:shd w:val="clear" w:color="auto" w:fill="auto"/>
            <w:textDirection w:val="btLr"/>
            <w:vAlign w:val="bottom"/>
            <w:hideMark/>
          </w:tcPr>
          <w:p w:rsidR="001C55F3" w:rsidRPr="00BE14DD" w:rsidRDefault="001C55F3" w:rsidP="001C55F3">
            <w:pPr>
              <w:spacing w:after="0" w:line="240" w:lineRule="auto"/>
              <w:rPr>
                <w:rFonts w:eastAsia="Times New Roman" w:cs="Calibri"/>
                <w:color w:val="000000"/>
                <w:lang w:val="en-US" w:eastAsia="de-DE"/>
              </w:rPr>
            </w:pPr>
            <w:r w:rsidRPr="00BE14DD">
              <w:rPr>
                <w:rFonts w:eastAsia="Times New Roman" w:cs="Calibri"/>
                <w:color w:val="000000"/>
                <w:lang w:val="en-US" w:eastAsia="de-DE"/>
              </w:rPr>
              <w:t> </w:t>
            </w:r>
          </w:p>
        </w:tc>
        <w:tc>
          <w:tcPr>
            <w:tcW w:w="448" w:type="dxa"/>
            <w:tcBorders>
              <w:top w:val="single" w:sz="8" w:space="0" w:color="auto"/>
              <w:left w:val="single" w:sz="8" w:space="0" w:color="auto"/>
              <w:bottom w:val="nil"/>
              <w:right w:val="single" w:sz="4" w:space="0" w:color="auto"/>
            </w:tcBorders>
            <w:shd w:val="clear" w:color="000000" w:fill="FFC000"/>
            <w:textDirection w:val="btLr"/>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1 - extinct (RE)</w:t>
            </w:r>
          </w:p>
        </w:tc>
        <w:tc>
          <w:tcPr>
            <w:tcW w:w="671" w:type="dxa"/>
            <w:tcBorders>
              <w:top w:val="single" w:sz="8" w:space="0" w:color="auto"/>
              <w:left w:val="nil"/>
              <w:bottom w:val="nil"/>
              <w:right w:val="single" w:sz="4" w:space="0" w:color="auto"/>
            </w:tcBorders>
            <w:shd w:val="clear" w:color="000000" w:fill="FFC000"/>
            <w:textDirection w:val="btLr"/>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2 - critically endangered (CR)</w:t>
            </w:r>
          </w:p>
        </w:tc>
        <w:tc>
          <w:tcPr>
            <w:tcW w:w="894" w:type="dxa"/>
            <w:tcBorders>
              <w:top w:val="single" w:sz="8" w:space="0" w:color="auto"/>
              <w:left w:val="nil"/>
              <w:bottom w:val="nil"/>
              <w:right w:val="single" w:sz="4" w:space="0" w:color="auto"/>
            </w:tcBorders>
            <w:shd w:val="clear" w:color="000000" w:fill="FFC000"/>
            <w:textDirection w:val="btLr"/>
            <w:vAlign w:val="bottom"/>
            <w:hideMark/>
          </w:tcPr>
          <w:p w:rsidR="001C55F3" w:rsidRPr="001C55F3" w:rsidRDefault="001C55F3" w:rsidP="001C55F3">
            <w:pPr>
              <w:spacing w:after="0" w:line="240" w:lineRule="auto"/>
              <w:jc w:val="center"/>
              <w:rPr>
                <w:rFonts w:eastAsia="Times New Roman" w:cs="Calibri"/>
                <w:color w:val="000000"/>
                <w:lang w:val="fr-BE" w:eastAsia="de-DE"/>
              </w:rPr>
            </w:pPr>
            <w:r w:rsidRPr="001C55F3">
              <w:rPr>
                <w:rFonts w:eastAsia="Times New Roman" w:cs="Calibri"/>
                <w:color w:val="000000"/>
                <w:lang w:val="fr-BE" w:eastAsia="de-DE"/>
              </w:rPr>
              <w:t>3 - endangered or vulnerable (EN, VU)</w:t>
            </w:r>
          </w:p>
        </w:tc>
        <w:tc>
          <w:tcPr>
            <w:tcW w:w="660" w:type="dxa"/>
            <w:tcBorders>
              <w:top w:val="single" w:sz="8" w:space="0" w:color="auto"/>
              <w:left w:val="nil"/>
              <w:bottom w:val="nil"/>
              <w:right w:val="single" w:sz="8" w:space="0" w:color="auto"/>
            </w:tcBorders>
            <w:shd w:val="clear" w:color="000000" w:fill="FFC000"/>
            <w:textDirection w:val="btLr"/>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4 - near threatened (NT)</w:t>
            </w:r>
          </w:p>
        </w:tc>
        <w:tc>
          <w:tcPr>
            <w:tcW w:w="894" w:type="dxa"/>
            <w:tcBorders>
              <w:top w:val="single" w:sz="8" w:space="0" w:color="auto"/>
              <w:left w:val="nil"/>
              <w:bottom w:val="nil"/>
              <w:right w:val="single" w:sz="4" w:space="0" w:color="auto"/>
            </w:tcBorders>
            <w:shd w:val="clear" w:color="000000" w:fill="FF0000"/>
            <w:textDirection w:val="btLr"/>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1-4: total endangered</w:t>
            </w:r>
          </w:p>
        </w:tc>
        <w:tc>
          <w:tcPr>
            <w:tcW w:w="783" w:type="dxa"/>
            <w:tcBorders>
              <w:top w:val="single" w:sz="8" w:space="0" w:color="auto"/>
              <w:left w:val="nil"/>
              <w:bottom w:val="nil"/>
              <w:right w:val="single" w:sz="8" w:space="0" w:color="auto"/>
            </w:tcBorders>
            <w:shd w:val="clear" w:color="000000" w:fill="D9D9D9"/>
            <w:textDirection w:val="btLr"/>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5 - other</w:t>
            </w:r>
          </w:p>
        </w:tc>
        <w:tc>
          <w:tcPr>
            <w:tcW w:w="894" w:type="dxa"/>
            <w:tcBorders>
              <w:top w:val="single" w:sz="8" w:space="0" w:color="auto"/>
              <w:left w:val="nil"/>
              <w:bottom w:val="nil"/>
              <w:right w:val="nil"/>
            </w:tcBorders>
            <w:shd w:val="clear" w:color="auto" w:fill="auto"/>
            <w:textDirection w:val="btLr"/>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total</w:t>
            </w:r>
          </w:p>
        </w:tc>
        <w:tc>
          <w:tcPr>
            <w:tcW w:w="660" w:type="dxa"/>
            <w:tcBorders>
              <w:top w:val="single" w:sz="8" w:space="0" w:color="auto"/>
              <w:left w:val="single" w:sz="8" w:space="0" w:color="auto"/>
              <w:bottom w:val="nil"/>
              <w:right w:val="single" w:sz="8" w:space="0" w:color="auto"/>
            </w:tcBorders>
            <w:shd w:val="clear" w:color="000000" w:fill="FF0000"/>
            <w:textDirection w:val="btLr"/>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 protected of endangered</w:t>
            </w:r>
          </w:p>
        </w:tc>
      </w:tr>
      <w:tr w:rsidR="001C55F3" w:rsidRPr="00BE14DD" w:rsidTr="001C55F3">
        <w:trPr>
          <w:trHeight w:val="300"/>
        </w:trPr>
        <w:tc>
          <w:tcPr>
            <w:tcW w:w="3134" w:type="dxa"/>
            <w:tcBorders>
              <w:top w:val="single" w:sz="8" w:space="0" w:color="auto"/>
              <w:left w:val="single" w:sz="8" w:space="0" w:color="auto"/>
              <w:bottom w:val="single" w:sz="4"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1-water</w:t>
            </w:r>
          </w:p>
        </w:tc>
        <w:tc>
          <w:tcPr>
            <w:tcW w:w="448" w:type="dxa"/>
            <w:tcBorders>
              <w:top w:val="single" w:sz="8" w:space="0" w:color="auto"/>
              <w:left w:val="single" w:sz="8" w:space="0" w:color="auto"/>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3/</w:t>
            </w:r>
          </w:p>
        </w:tc>
        <w:tc>
          <w:tcPr>
            <w:tcW w:w="671" w:type="dxa"/>
            <w:tcBorders>
              <w:top w:val="single" w:sz="8" w:space="0" w:color="auto"/>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15/</w:t>
            </w:r>
          </w:p>
        </w:tc>
        <w:tc>
          <w:tcPr>
            <w:tcW w:w="894" w:type="dxa"/>
            <w:tcBorders>
              <w:top w:val="single" w:sz="8" w:space="0" w:color="auto"/>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52/</w:t>
            </w:r>
          </w:p>
        </w:tc>
        <w:tc>
          <w:tcPr>
            <w:tcW w:w="660" w:type="dxa"/>
            <w:tcBorders>
              <w:top w:val="single" w:sz="8" w:space="0" w:color="auto"/>
              <w:left w:val="nil"/>
              <w:bottom w:val="single" w:sz="4"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single" w:sz="8" w:space="0" w:color="auto"/>
              <w:left w:val="nil"/>
              <w:bottom w:val="single" w:sz="4"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70/0</w:t>
            </w:r>
          </w:p>
        </w:tc>
        <w:tc>
          <w:tcPr>
            <w:tcW w:w="783" w:type="dxa"/>
            <w:tcBorders>
              <w:top w:val="single" w:sz="8" w:space="0" w:color="auto"/>
              <w:left w:val="nil"/>
              <w:bottom w:val="single" w:sz="4"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22/</w:t>
            </w:r>
          </w:p>
        </w:tc>
        <w:tc>
          <w:tcPr>
            <w:tcW w:w="894" w:type="dxa"/>
            <w:tcBorders>
              <w:top w:val="single" w:sz="8" w:space="0" w:color="auto"/>
              <w:left w:val="nil"/>
              <w:bottom w:val="single" w:sz="4"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92/0</w:t>
            </w:r>
          </w:p>
        </w:tc>
        <w:tc>
          <w:tcPr>
            <w:tcW w:w="660" w:type="dxa"/>
            <w:tcBorders>
              <w:top w:val="single" w:sz="8" w:space="0" w:color="auto"/>
              <w:left w:val="single" w:sz="8" w:space="0" w:color="auto"/>
              <w:bottom w:val="single" w:sz="4"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0%</w:t>
            </w:r>
          </w:p>
        </w:tc>
      </w:tr>
      <w:tr w:rsidR="001C55F3" w:rsidRPr="00BE14DD" w:rsidTr="001C55F3">
        <w:trPr>
          <w:trHeight w:val="600"/>
        </w:trPr>
        <w:tc>
          <w:tcPr>
            <w:tcW w:w="3134" w:type="dxa"/>
            <w:tcBorders>
              <w:top w:val="nil"/>
              <w:left w:val="single" w:sz="8" w:space="0" w:color="auto"/>
              <w:bottom w:val="single" w:sz="4"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2-mires, marshes and vegetations springs</w:t>
            </w:r>
          </w:p>
        </w:tc>
        <w:tc>
          <w:tcPr>
            <w:tcW w:w="448" w:type="dxa"/>
            <w:tcBorders>
              <w:top w:val="nil"/>
              <w:left w:val="single" w:sz="8" w:space="0" w:color="auto"/>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671"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3/2</w:t>
            </w:r>
          </w:p>
        </w:tc>
        <w:tc>
          <w:tcPr>
            <w:tcW w:w="894"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17/7</w:t>
            </w:r>
          </w:p>
        </w:tc>
        <w:tc>
          <w:tcPr>
            <w:tcW w:w="660" w:type="dxa"/>
            <w:tcBorders>
              <w:top w:val="nil"/>
              <w:left w:val="nil"/>
              <w:bottom w:val="single" w:sz="4"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20/9</w:t>
            </w:r>
          </w:p>
        </w:tc>
        <w:tc>
          <w:tcPr>
            <w:tcW w:w="783" w:type="dxa"/>
            <w:tcBorders>
              <w:top w:val="nil"/>
              <w:left w:val="nil"/>
              <w:bottom w:val="single" w:sz="4"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w:t>
            </w:r>
          </w:p>
        </w:tc>
        <w:tc>
          <w:tcPr>
            <w:tcW w:w="894" w:type="dxa"/>
            <w:tcBorders>
              <w:top w:val="nil"/>
              <w:left w:val="nil"/>
              <w:bottom w:val="single" w:sz="4"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24/9</w:t>
            </w:r>
          </w:p>
        </w:tc>
        <w:tc>
          <w:tcPr>
            <w:tcW w:w="660" w:type="dxa"/>
            <w:tcBorders>
              <w:top w:val="nil"/>
              <w:left w:val="single" w:sz="8" w:space="0" w:color="auto"/>
              <w:bottom w:val="single" w:sz="4"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45%</w:t>
            </w:r>
          </w:p>
        </w:tc>
      </w:tr>
      <w:tr w:rsidR="001C55F3" w:rsidRPr="00BE14DD" w:rsidTr="001C55F3">
        <w:trPr>
          <w:trHeight w:val="300"/>
        </w:trPr>
        <w:tc>
          <w:tcPr>
            <w:tcW w:w="3134" w:type="dxa"/>
            <w:tcBorders>
              <w:top w:val="nil"/>
              <w:left w:val="single" w:sz="8" w:space="0" w:color="auto"/>
              <w:bottom w:val="single" w:sz="4"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3-grassland</w:t>
            </w:r>
          </w:p>
        </w:tc>
        <w:tc>
          <w:tcPr>
            <w:tcW w:w="448" w:type="dxa"/>
            <w:tcBorders>
              <w:top w:val="nil"/>
              <w:left w:val="single" w:sz="8" w:space="0" w:color="auto"/>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671"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4/4</w:t>
            </w:r>
          </w:p>
        </w:tc>
        <w:tc>
          <w:tcPr>
            <w:tcW w:w="894"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51/43</w:t>
            </w:r>
          </w:p>
        </w:tc>
        <w:tc>
          <w:tcPr>
            <w:tcW w:w="660" w:type="dxa"/>
            <w:tcBorders>
              <w:top w:val="nil"/>
              <w:left w:val="nil"/>
              <w:bottom w:val="single" w:sz="4"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55/47</w:t>
            </w:r>
          </w:p>
        </w:tc>
        <w:tc>
          <w:tcPr>
            <w:tcW w:w="783" w:type="dxa"/>
            <w:tcBorders>
              <w:top w:val="nil"/>
              <w:left w:val="nil"/>
              <w:bottom w:val="single" w:sz="4"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6/1</w:t>
            </w:r>
          </w:p>
        </w:tc>
        <w:tc>
          <w:tcPr>
            <w:tcW w:w="894" w:type="dxa"/>
            <w:tcBorders>
              <w:top w:val="nil"/>
              <w:left w:val="nil"/>
              <w:bottom w:val="single" w:sz="4"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61/48</w:t>
            </w:r>
          </w:p>
        </w:tc>
        <w:tc>
          <w:tcPr>
            <w:tcW w:w="660" w:type="dxa"/>
            <w:tcBorders>
              <w:top w:val="nil"/>
              <w:left w:val="single" w:sz="8" w:space="0" w:color="auto"/>
              <w:bottom w:val="single" w:sz="4"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85%</w:t>
            </w:r>
          </w:p>
        </w:tc>
      </w:tr>
      <w:tr w:rsidR="001C55F3" w:rsidRPr="00BE14DD" w:rsidTr="001C55F3">
        <w:trPr>
          <w:trHeight w:val="791"/>
        </w:trPr>
        <w:tc>
          <w:tcPr>
            <w:tcW w:w="3134" w:type="dxa"/>
            <w:tcBorders>
              <w:top w:val="nil"/>
              <w:left w:val="single" w:sz="8" w:space="0" w:color="auto"/>
              <w:bottom w:val="single" w:sz="4" w:space="0" w:color="auto"/>
              <w:right w:val="nil"/>
            </w:tcBorders>
            <w:shd w:val="clear" w:color="auto" w:fill="auto"/>
            <w:hideMark/>
          </w:tcPr>
          <w:p w:rsidR="001C55F3" w:rsidRPr="00BE14DD" w:rsidRDefault="001C55F3" w:rsidP="001C55F3">
            <w:pPr>
              <w:spacing w:after="0" w:line="240" w:lineRule="auto"/>
              <w:rPr>
                <w:rFonts w:eastAsia="Times New Roman" w:cs="Calibri"/>
                <w:color w:val="000000"/>
                <w:lang w:val="en-US" w:eastAsia="de-DE"/>
              </w:rPr>
            </w:pPr>
            <w:r w:rsidRPr="00BE14DD">
              <w:rPr>
                <w:rFonts w:eastAsia="Times New Roman" w:cs="Calibri"/>
                <w:color w:val="000000"/>
                <w:lang w:val="en-US" w:eastAsia="de-DE"/>
              </w:rPr>
              <w:t>4-high mountain grassland,cushioon vegetation and grassland fragments</w:t>
            </w:r>
          </w:p>
        </w:tc>
        <w:tc>
          <w:tcPr>
            <w:tcW w:w="448" w:type="dxa"/>
            <w:tcBorders>
              <w:top w:val="nil"/>
              <w:left w:val="single" w:sz="8" w:space="0" w:color="auto"/>
              <w:bottom w:val="single" w:sz="4" w:space="0" w:color="auto"/>
              <w:right w:val="single" w:sz="4" w:space="0" w:color="auto"/>
            </w:tcBorders>
            <w:shd w:val="clear" w:color="000000" w:fill="FFC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w:t>
            </w:r>
          </w:p>
        </w:tc>
        <w:tc>
          <w:tcPr>
            <w:tcW w:w="671" w:type="dxa"/>
            <w:tcBorders>
              <w:top w:val="nil"/>
              <w:left w:val="nil"/>
              <w:bottom w:val="single" w:sz="4" w:space="0" w:color="auto"/>
              <w:right w:val="single" w:sz="4" w:space="0" w:color="auto"/>
            </w:tcBorders>
            <w:shd w:val="clear" w:color="000000" w:fill="FFC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C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1/</w:t>
            </w:r>
          </w:p>
        </w:tc>
        <w:tc>
          <w:tcPr>
            <w:tcW w:w="660" w:type="dxa"/>
            <w:tcBorders>
              <w:top w:val="nil"/>
              <w:left w:val="nil"/>
              <w:bottom w:val="single" w:sz="4" w:space="0" w:color="auto"/>
              <w:right w:val="single" w:sz="8" w:space="0" w:color="auto"/>
            </w:tcBorders>
            <w:shd w:val="clear" w:color="000000" w:fill="FFC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3/1</w:t>
            </w:r>
          </w:p>
        </w:tc>
        <w:tc>
          <w:tcPr>
            <w:tcW w:w="894" w:type="dxa"/>
            <w:tcBorders>
              <w:top w:val="nil"/>
              <w:left w:val="nil"/>
              <w:bottom w:val="single" w:sz="4" w:space="0" w:color="auto"/>
              <w:right w:val="single" w:sz="4" w:space="0" w:color="auto"/>
            </w:tcBorders>
            <w:shd w:val="clear" w:color="000000" w:fill="FF0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4/1</w:t>
            </w:r>
          </w:p>
        </w:tc>
        <w:tc>
          <w:tcPr>
            <w:tcW w:w="783" w:type="dxa"/>
            <w:tcBorders>
              <w:top w:val="nil"/>
              <w:left w:val="nil"/>
              <w:bottom w:val="single" w:sz="4" w:space="0" w:color="auto"/>
              <w:right w:val="single" w:sz="8" w:space="0" w:color="auto"/>
            </w:tcBorders>
            <w:shd w:val="clear" w:color="000000" w:fill="D9D9D9"/>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15/8</w:t>
            </w:r>
          </w:p>
        </w:tc>
        <w:tc>
          <w:tcPr>
            <w:tcW w:w="894" w:type="dxa"/>
            <w:tcBorders>
              <w:top w:val="nil"/>
              <w:left w:val="nil"/>
              <w:bottom w:val="single" w:sz="4" w:space="0" w:color="auto"/>
              <w:right w:val="nil"/>
            </w:tcBorders>
            <w:shd w:val="clear" w:color="auto" w:fill="auto"/>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19/9</w:t>
            </w:r>
          </w:p>
        </w:tc>
        <w:tc>
          <w:tcPr>
            <w:tcW w:w="660" w:type="dxa"/>
            <w:tcBorders>
              <w:top w:val="nil"/>
              <w:left w:val="single" w:sz="8" w:space="0" w:color="auto"/>
              <w:bottom w:val="single" w:sz="4" w:space="0" w:color="auto"/>
              <w:right w:val="single" w:sz="8" w:space="0" w:color="auto"/>
            </w:tcBorders>
            <w:shd w:val="clear" w:color="000000" w:fill="FF0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25%</w:t>
            </w:r>
          </w:p>
        </w:tc>
      </w:tr>
      <w:tr w:rsidR="001C55F3" w:rsidRPr="00BE14DD" w:rsidTr="001C55F3">
        <w:trPr>
          <w:trHeight w:val="548"/>
        </w:trPr>
        <w:tc>
          <w:tcPr>
            <w:tcW w:w="3134" w:type="dxa"/>
            <w:tcBorders>
              <w:top w:val="nil"/>
              <w:left w:val="single" w:sz="8" w:space="0" w:color="auto"/>
              <w:bottom w:val="single" w:sz="4" w:space="0" w:color="auto"/>
              <w:right w:val="nil"/>
            </w:tcBorders>
            <w:shd w:val="clear" w:color="auto" w:fill="auto"/>
            <w:hideMark/>
          </w:tcPr>
          <w:p w:rsidR="001C55F3" w:rsidRPr="00BE14DD" w:rsidRDefault="001C55F3" w:rsidP="001C55F3">
            <w:pPr>
              <w:spacing w:after="0" w:line="240" w:lineRule="auto"/>
              <w:rPr>
                <w:rFonts w:eastAsia="Times New Roman" w:cs="Calibri"/>
                <w:color w:val="000000"/>
                <w:lang w:val="en-US" w:eastAsia="de-DE"/>
              </w:rPr>
            </w:pPr>
            <w:r w:rsidRPr="00BE14DD">
              <w:rPr>
                <w:rFonts w:eastAsia="Times New Roman" w:cs="Calibri"/>
                <w:color w:val="000000"/>
                <w:lang w:val="en-US" w:eastAsia="de-DE"/>
              </w:rPr>
              <w:t>5-fields, field balks, vineyards and ruderal vegetation</w:t>
            </w:r>
          </w:p>
        </w:tc>
        <w:tc>
          <w:tcPr>
            <w:tcW w:w="448" w:type="dxa"/>
            <w:tcBorders>
              <w:top w:val="nil"/>
              <w:left w:val="single" w:sz="8" w:space="0" w:color="auto"/>
              <w:bottom w:val="single" w:sz="4" w:space="0" w:color="auto"/>
              <w:right w:val="single" w:sz="4" w:space="0" w:color="auto"/>
            </w:tcBorders>
            <w:shd w:val="clear" w:color="000000" w:fill="FFC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w:t>
            </w:r>
          </w:p>
        </w:tc>
        <w:tc>
          <w:tcPr>
            <w:tcW w:w="671" w:type="dxa"/>
            <w:tcBorders>
              <w:top w:val="nil"/>
              <w:left w:val="nil"/>
              <w:bottom w:val="single" w:sz="4" w:space="0" w:color="auto"/>
              <w:right w:val="single" w:sz="4" w:space="0" w:color="auto"/>
            </w:tcBorders>
            <w:shd w:val="clear" w:color="000000" w:fill="FFC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2/</w:t>
            </w:r>
          </w:p>
        </w:tc>
        <w:tc>
          <w:tcPr>
            <w:tcW w:w="894" w:type="dxa"/>
            <w:tcBorders>
              <w:top w:val="nil"/>
              <w:left w:val="nil"/>
              <w:bottom w:val="single" w:sz="4" w:space="0" w:color="auto"/>
              <w:right w:val="single" w:sz="4" w:space="0" w:color="auto"/>
            </w:tcBorders>
            <w:shd w:val="clear" w:color="000000" w:fill="FFC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17/2</w:t>
            </w:r>
          </w:p>
        </w:tc>
        <w:tc>
          <w:tcPr>
            <w:tcW w:w="660" w:type="dxa"/>
            <w:tcBorders>
              <w:top w:val="nil"/>
              <w:left w:val="nil"/>
              <w:bottom w:val="single" w:sz="4" w:space="0" w:color="auto"/>
              <w:right w:val="single" w:sz="8" w:space="0" w:color="auto"/>
            </w:tcBorders>
            <w:shd w:val="clear" w:color="000000" w:fill="FFC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0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19/2</w:t>
            </w:r>
          </w:p>
        </w:tc>
        <w:tc>
          <w:tcPr>
            <w:tcW w:w="783" w:type="dxa"/>
            <w:tcBorders>
              <w:top w:val="nil"/>
              <w:left w:val="nil"/>
              <w:bottom w:val="single" w:sz="4" w:space="0" w:color="auto"/>
              <w:right w:val="single" w:sz="8" w:space="0" w:color="auto"/>
            </w:tcBorders>
            <w:shd w:val="clear" w:color="000000" w:fill="D9D9D9"/>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7/</w:t>
            </w:r>
          </w:p>
        </w:tc>
        <w:tc>
          <w:tcPr>
            <w:tcW w:w="894" w:type="dxa"/>
            <w:tcBorders>
              <w:top w:val="nil"/>
              <w:left w:val="nil"/>
              <w:bottom w:val="single" w:sz="4" w:space="0" w:color="auto"/>
              <w:right w:val="nil"/>
            </w:tcBorders>
            <w:shd w:val="clear" w:color="auto" w:fill="auto"/>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26/2</w:t>
            </w:r>
          </w:p>
        </w:tc>
        <w:tc>
          <w:tcPr>
            <w:tcW w:w="660" w:type="dxa"/>
            <w:tcBorders>
              <w:top w:val="nil"/>
              <w:left w:val="single" w:sz="8" w:space="0" w:color="auto"/>
              <w:bottom w:val="single" w:sz="4" w:space="0" w:color="auto"/>
              <w:right w:val="single" w:sz="8" w:space="0" w:color="auto"/>
            </w:tcBorders>
            <w:shd w:val="clear" w:color="000000" w:fill="FF0000"/>
            <w:noWrap/>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11%</w:t>
            </w:r>
          </w:p>
        </w:tc>
      </w:tr>
      <w:tr w:rsidR="001C55F3" w:rsidRPr="00BE14DD" w:rsidTr="001C55F3">
        <w:trPr>
          <w:trHeight w:val="300"/>
        </w:trPr>
        <w:tc>
          <w:tcPr>
            <w:tcW w:w="3134" w:type="dxa"/>
            <w:tcBorders>
              <w:top w:val="nil"/>
              <w:left w:val="single" w:sz="8" w:space="0" w:color="auto"/>
              <w:bottom w:val="single" w:sz="4"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6-tall perennial herb</w:t>
            </w:r>
          </w:p>
        </w:tc>
        <w:tc>
          <w:tcPr>
            <w:tcW w:w="448" w:type="dxa"/>
            <w:tcBorders>
              <w:top w:val="nil"/>
              <w:left w:val="single" w:sz="8" w:space="0" w:color="auto"/>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671"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6/2</w:t>
            </w:r>
          </w:p>
        </w:tc>
        <w:tc>
          <w:tcPr>
            <w:tcW w:w="660" w:type="dxa"/>
            <w:tcBorders>
              <w:top w:val="nil"/>
              <w:left w:val="nil"/>
              <w:bottom w:val="single" w:sz="4"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6/2</w:t>
            </w:r>
          </w:p>
        </w:tc>
        <w:tc>
          <w:tcPr>
            <w:tcW w:w="783" w:type="dxa"/>
            <w:tcBorders>
              <w:top w:val="nil"/>
              <w:left w:val="nil"/>
              <w:bottom w:val="single" w:sz="4"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12/3</w:t>
            </w:r>
          </w:p>
        </w:tc>
        <w:tc>
          <w:tcPr>
            <w:tcW w:w="894" w:type="dxa"/>
            <w:tcBorders>
              <w:top w:val="nil"/>
              <w:left w:val="nil"/>
              <w:bottom w:val="single" w:sz="4"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18/5</w:t>
            </w:r>
          </w:p>
        </w:tc>
        <w:tc>
          <w:tcPr>
            <w:tcW w:w="660" w:type="dxa"/>
            <w:tcBorders>
              <w:top w:val="nil"/>
              <w:left w:val="single" w:sz="8" w:space="0" w:color="auto"/>
              <w:bottom w:val="single" w:sz="4"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33%</w:t>
            </w:r>
          </w:p>
        </w:tc>
      </w:tr>
      <w:tr w:rsidR="001C55F3" w:rsidRPr="00BE14DD" w:rsidTr="001C55F3">
        <w:trPr>
          <w:trHeight w:val="300"/>
        </w:trPr>
        <w:tc>
          <w:tcPr>
            <w:tcW w:w="3134" w:type="dxa"/>
            <w:tcBorders>
              <w:top w:val="nil"/>
              <w:left w:val="single" w:sz="8" w:space="0" w:color="auto"/>
              <w:bottom w:val="single" w:sz="4"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7-dwarf-shrub heaths</w:t>
            </w:r>
          </w:p>
        </w:tc>
        <w:tc>
          <w:tcPr>
            <w:tcW w:w="448" w:type="dxa"/>
            <w:tcBorders>
              <w:top w:val="nil"/>
              <w:left w:val="single" w:sz="8" w:space="0" w:color="auto"/>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671"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3/3</w:t>
            </w:r>
          </w:p>
        </w:tc>
        <w:tc>
          <w:tcPr>
            <w:tcW w:w="660" w:type="dxa"/>
            <w:tcBorders>
              <w:top w:val="nil"/>
              <w:left w:val="nil"/>
              <w:bottom w:val="single" w:sz="4"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3/3</w:t>
            </w:r>
          </w:p>
        </w:tc>
        <w:tc>
          <w:tcPr>
            <w:tcW w:w="783" w:type="dxa"/>
            <w:tcBorders>
              <w:top w:val="nil"/>
              <w:left w:val="nil"/>
              <w:bottom w:val="single" w:sz="4"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9/9</w:t>
            </w:r>
          </w:p>
        </w:tc>
        <w:tc>
          <w:tcPr>
            <w:tcW w:w="894" w:type="dxa"/>
            <w:tcBorders>
              <w:top w:val="nil"/>
              <w:left w:val="nil"/>
              <w:bottom w:val="single" w:sz="4"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12/12</w:t>
            </w:r>
          </w:p>
        </w:tc>
        <w:tc>
          <w:tcPr>
            <w:tcW w:w="660" w:type="dxa"/>
            <w:tcBorders>
              <w:top w:val="nil"/>
              <w:left w:val="single" w:sz="8" w:space="0" w:color="auto"/>
              <w:bottom w:val="single" w:sz="4"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100%</w:t>
            </w:r>
          </w:p>
        </w:tc>
      </w:tr>
      <w:tr w:rsidR="001C55F3" w:rsidRPr="00BE14DD" w:rsidTr="001C55F3">
        <w:trPr>
          <w:trHeight w:val="300"/>
        </w:trPr>
        <w:tc>
          <w:tcPr>
            <w:tcW w:w="3134" w:type="dxa"/>
            <w:tcBorders>
              <w:top w:val="nil"/>
              <w:left w:val="single" w:sz="8" w:space="0" w:color="auto"/>
              <w:bottom w:val="single" w:sz="4"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8-scrubland</w:t>
            </w:r>
          </w:p>
        </w:tc>
        <w:tc>
          <w:tcPr>
            <w:tcW w:w="448" w:type="dxa"/>
            <w:tcBorders>
              <w:top w:val="nil"/>
              <w:left w:val="single" w:sz="8" w:space="0" w:color="auto"/>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671"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3/</w:t>
            </w:r>
          </w:p>
        </w:tc>
        <w:tc>
          <w:tcPr>
            <w:tcW w:w="894"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24/2</w:t>
            </w:r>
          </w:p>
        </w:tc>
        <w:tc>
          <w:tcPr>
            <w:tcW w:w="660" w:type="dxa"/>
            <w:tcBorders>
              <w:top w:val="nil"/>
              <w:left w:val="nil"/>
              <w:bottom w:val="single" w:sz="4"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27/2</w:t>
            </w:r>
          </w:p>
        </w:tc>
        <w:tc>
          <w:tcPr>
            <w:tcW w:w="783" w:type="dxa"/>
            <w:tcBorders>
              <w:top w:val="nil"/>
              <w:left w:val="nil"/>
              <w:bottom w:val="single" w:sz="4"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21/</w:t>
            </w:r>
          </w:p>
        </w:tc>
        <w:tc>
          <w:tcPr>
            <w:tcW w:w="894" w:type="dxa"/>
            <w:tcBorders>
              <w:top w:val="nil"/>
              <w:left w:val="nil"/>
              <w:bottom w:val="single" w:sz="4"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48/2</w:t>
            </w:r>
          </w:p>
        </w:tc>
        <w:tc>
          <w:tcPr>
            <w:tcW w:w="660" w:type="dxa"/>
            <w:tcBorders>
              <w:top w:val="nil"/>
              <w:left w:val="single" w:sz="8" w:space="0" w:color="auto"/>
              <w:bottom w:val="single" w:sz="4"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7%</w:t>
            </w:r>
          </w:p>
        </w:tc>
      </w:tr>
      <w:tr w:rsidR="001C55F3" w:rsidRPr="00BE14DD" w:rsidTr="001C55F3">
        <w:trPr>
          <w:trHeight w:val="300"/>
        </w:trPr>
        <w:tc>
          <w:tcPr>
            <w:tcW w:w="3134" w:type="dxa"/>
            <w:tcBorders>
              <w:top w:val="nil"/>
              <w:left w:val="single" w:sz="8" w:space="0" w:color="auto"/>
              <w:bottom w:val="single" w:sz="4"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9-forest</w:t>
            </w:r>
          </w:p>
        </w:tc>
        <w:tc>
          <w:tcPr>
            <w:tcW w:w="448" w:type="dxa"/>
            <w:tcBorders>
              <w:top w:val="nil"/>
              <w:left w:val="single" w:sz="8" w:space="0" w:color="auto"/>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671"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5/5</w:t>
            </w:r>
          </w:p>
        </w:tc>
        <w:tc>
          <w:tcPr>
            <w:tcW w:w="894"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48/32</w:t>
            </w:r>
          </w:p>
        </w:tc>
        <w:tc>
          <w:tcPr>
            <w:tcW w:w="660" w:type="dxa"/>
            <w:tcBorders>
              <w:top w:val="nil"/>
              <w:left w:val="nil"/>
              <w:bottom w:val="single" w:sz="4"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4"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53/37</w:t>
            </w:r>
          </w:p>
        </w:tc>
        <w:tc>
          <w:tcPr>
            <w:tcW w:w="783" w:type="dxa"/>
            <w:tcBorders>
              <w:top w:val="nil"/>
              <w:left w:val="nil"/>
              <w:bottom w:val="single" w:sz="4"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40/13</w:t>
            </w:r>
          </w:p>
        </w:tc>
        <w:tc>
          <w:tcPr>
            <w:tcW w:w="894" w:type="dxa"/>
            <w:tcBorders>
              <w:top w:val="nil"/>
              <w:left w:val="nil"/>
              <w:bottom w:val="single" w:sz="4"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93/50</w:t>
            </w:r>
          </w:p>
        </w:tc>
        <w:tc>
          <w:tcPr>
            <w:tcW w:w="660" w:type="dxa"/>
            <w:tcBorders>
              <w:top w:val="nil"/>
              <w:left w:val="single" w:sz="8" w:space="0" w:color="auto"/>
              <w:bottom w:val="single" w:sz="4"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70%</w:t>
            </w:r>
          </w:p>
        </w:tc>
      </w:tr>
      <w:tr w:rsidR="001C55F3" w:rsidRPr="00BE14DD" w:rsidTr="001C55F3">
        <w:trPr>
          <w:trHeight w:val="600"/>
        </w:trPr>
        <w:tc>
          <w:tcPr>
            <w:tcW w:w="3134" w:type="dxa"/>
            <w:tcBorders>
              <w:top w:val="nil"/>
              <w:left w:val="single" w:sz="8" w:space="0" w:color="auto"/>
              <w:bottom w:val="single" w:sz="4"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en-US" w:eastAsia="de-DE"/>
              </w:rPr>
            </w:pPr>
            <w:r w:rsidRPr="00BE14DD">
              <w:rPr>
                <w:rFonts w:eastAsia="Times New Roman" w:cs="Calibri"/>
                <w:color w:val="000000"/>
                <w:lang w:val="en-US" w:eastAsia="de-DE"/>
              </w:rPr>
              <w:t>10-biotopes shaped by geomorphological features</w:t>
            </w:r>
          </w:p>
        </w:tc>
        <w:tc>
          <w:tcPr>
            <w:tcW w:w="448" w:type="dxa"/>
            <w:tcBorders>
              <w:top w:val="nil"/>
              <w:left w:val="single" w:sz="8" w:space="0" w:color="auto"/>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2/2</w:t>
            </w:r>
          </w:p>
        </w:tc>
        <w:tc>
          <w:tcPr>
            <w:tcW w:w="671"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w:t>
            </w:r>
          </w:p>
        </w:tc>
        <w:tc>
          <w:tcPr>
            <w:tcW w:w="894" w:type="dxa"/>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21/9</w:t>
            </w:r>
          </w:p>
        </w:tc>
        <w:tc>
          <w:tcPr>
            <w:tcW w:w="660" w:type="dxa"/>
            <w:tcBorders>
              <w:top w:val="nil"/>
              <w:left w:val="nil"/>
              <w:bottom w:val="single" w:sz="4"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3/3</w:t>
            </w:r>
          </w:p>
        </w:tc>
        <w:tc>
          <w:tcPr>
            <w:tcW w:w="894" w:type="dxa"/>
            <w:tcBorders>
              <w:top w:val="nil"/>
              <w:left w:val="nil"/>
              <w:bottom w:val="single" w:sz="4"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27/14</w:t>
            </w:r>
          </w:p>
        </w:tc>
        <w:tc>
          <w:tcPr>
            <w:tcW w:w="783" w:type="dxa"/>
            <w:tcBorders>
              <w:top w:val="nil"/>
              <w:left w:val="nil"/>
              <w:bottom w:val="single" w:sz="4"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19/14</w:t>
            </w:r>
          </w:p>
        </w:tc>
        <w:tc>
          <w:tcPr>
            <w:tcW w:w="894" w:type="dxa"/>
            <w:tcBorders>
              <w:top w:val="nil"/>
              <w:left w:val="nil"/>
              <w:bottom w:val="single" w:sz="4"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46/28</w:t>
            </w:r>
          </w:p>
        </w:tc>
        <w:tc>
          <w:tcPr>
            <w:tcW w:w="660" w:type="dxa"/>
            <w:tcBorders>
              <w:top w:val="nil"/>
              <w:left w:val="single" w:sz="8" w:space="0" w:color="auto"/>
              <w:bottom w:val="single" w:sz="4"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52%</w:t>
            </w:r>
          </w:p>
        </w:tc>
      </w:tr>
      <w:tr w:rsidR="001C55F3" w:rsidRPr="00BE14DD" w:rsidTr="001C55F3">
        <w:trPr>
          <w:trHeight w:val="315"/>
        </w:trPr>
        <w:tc>
          <w:tcPr>
            <w:tcW w:w="3134" w:type="dxa"/>
            <w:tcBorders>
              <w:top w:val="nil"/>
              <w:left w:val="single" w:sz="8" w:space="0" w:color="auto"/>
              <w:bottom w:val="single" w:sz="8"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11-settlement</w:t>
            </w:r>
          </w:p>
        </w:tc>
        <w:tc>
          <w:tcPr>
            <w:tcW w:w="448" w:type="dxa"/>
            <w:tcBorders>
              <w:top w:val="nil"/>
              <w:left w:val="single" w:sz="8" w:space="0" w:color="auto"/>
              <w:bottom w:val="single" w:sz="8"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671" w:type="dxa"/>
            <w:tcBorders>
              <w:top w:val="nil"/>
              <w:left w:val="nil"/>
              <w:bottom w:val="single" w:sz="8"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8"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8/</w:t>
            </w:r>
          </w:p>
        </w:tc>
        <w:tc>
          <w:tcPr>
            <w:tcW w:w="660" w:type="dxa"/>
            <w:tcBorders>
              <w:top w:val="nil"/>
              <w:left w:val="nil"/>
              <w:bottom w:val="single" w:sz="8"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w:t>
            </w:r>
          </w:p>
        </w:tc>
        <w:tc>
          <w:tcPr>
            <w:tcW w:w="894" w:type="dxa"/>
            <w:tcBorders>
              <w:top w:val="nil"/>
              <w:left w:val="nil"/>
              <w:bottom w:val="single" w:sz="8"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8/0</w:t>
            </w:r>
          </w:p>
        </w:tc>
        <w:tc>
          <w:tcPr>
            <w:tcW w:w="783" w:type="dxa"/>
            <w:tcBorders>
              <w:top w:val="nil"/>
              <w:left w:val="nil"/>
              <w:bottom w:val="single" w:sz="8"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46/</w:t>
            </w:r>
          </w:p>
        </w:tc>
        <w:tc>
          <w:tcPr>
            <w:tcW w:w="894" w:type="dxa"/>
            <w:tcBorders>
              <w:top w:val="nil"/>
              <w:left w:val="nil"/>
              <w:bottom w:val="single" w:sz="8"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54/0</w:t>
            </w:r>
          </w:p>
        </w:tc>
        <w:tc>
          <w:tcPr>
            <w:tcW w:w="660" w:type="dxa"/>
            <w:tcBorders>
              <w:top w:val="nil"/>
              <w:left w:val="single" w:sz="8" w:space="0" w:color="auto"/>
              <w:bottom w:val="single" w:sz="8"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0%</w:t>
            </w:r>
          </w:p>
        </w:tc>
      </w:tr>
      <w:tr w:rsidR="001C55F3" w:rsidRPr="00BE14DD" w:rsidTr="001C55F3">
        <w:trPr>
          <w:trHeight w:val="315"/>
        </w:trPr>
        <w:tc>
          <w:tcPr>
            <w:tcW w:w="3134" w:type="dxa"/>
            <w:tcBorders>
              <w:top w:val="nil"/>
              <w:left w:val="single" w:sz="8" w:space="0" w:color="auto"/>
              <w:bottom w:val="single" w:sz="8" w:space="0" w:color="auto"/>
              <w:right w:val="nil"/>
            </w:tcBorders>
            <w:shd w:val="clear" w:color="auto" w:fill="auto"/>
            <w:vAlign w:val="bottom"/>
            <w:hideMark/>
          </w:tcPr>
          <w:p w:rsidR="001C55F3" w:rsidRPr="00BE14DD" w:rsidRDefault="001C55F3" w:rsidP="001C55F3">
            <w:pPr>
              <w:spacing w:after="0" w:line="240" w:lineRule="auto"/>
              <w:rPr>
                <w:rFonts w:eastAsia="Times New Roman" w:cs="Calibri"/>
                <w:color w:val="000000"/>
                <w:lang w:val="de-DE" w:eastAsia="de-DE"/>
              </w:rPr>
            </w:pPr>
            <w:r w:rsidRPr="00BE14DD">
              <w:rPr>
                <w:rFonts w:eastAsia="Times New Roman" w:cs="Calibri"/>
                <w:color w:val="000000"/>
                <w:lang w:val="de-DE" w:eastAsia="de-DE"/>
              </w:rPr>
              <w:t>Total</w:t>
            </w:r>
          </w:p>
        </w:tc>
        <w:tc>
          <w:tcPr>
            <w:tcW w:w="448" w:type="dxa"/>
            <w:tcBorders>
              <w:top w:val="nil"/>
              <w:left w:val="single" w:sz="8" w:space="0" w:color="auto"/>
              <w:bottom w:val="single" w:sz="8"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5/2</w:t>
            </w:r>
          </w:p>
        </w:tc>
        <w:tc>
          <w:tcPr>
            <w:tcW w:w="671" w:type="dxa"/>
            <w:tcBorders>
              <w:top w:val="nil"/>
              <w:left w:val="nil"/>
              <w:bottom w:val="single" w:sz="8"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33/11</w:t>
            </w:r>
          </w:p>
        </w:tc>
        <w:tc>
          <w:tcPr>
            <w:tcW w:w="894" w:type="dxa"/>
            <w:tcBorders>
              <w:top w:val="nil"/>
              <w:left w:val="nil"/>
              <w:bottom w:val="single" w:sz="8" w:space="0" w:color="auto"/>
              <w:right w:val="single" w:sz="4"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248/100</w:t>
            </w:r>
          </w:p>
        </w:tc>
        <w:tc>
          <w:tcPr>
            <w:tcW w:w="660" w:type="dxa"/>
            <w:tcBorders>
              <w:top w:val="nil"/>
              <w:left w:val="nil"/>
              <w:bottom w:val="single" w:sz="8" w:space="0" w:color="auto"/>
              <w:right w:val="single" w:sz="8" w:space="0" w:color="auto"/>
            </w:tcBorders>
            <w:shd w:val="clear" w:color="000000" w:fill="FFC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6/4</w:t>
            </w:r>
          </w:p>
        </w:tc>
        <w:tc>
          <w:tcPr>
            <w:tcW w:w="894" w:type="dxa"/>
            <w:tcBorders>
              <w:top w:val="nil"/>
              <w:left w:val="nil"/>
              <w:bottom w:val="single" w:sz="8" w:space="0" w:color="auto"/>
              <w:right w:val="single" w:sz="4"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292/117</w:t>
            </w:r>
          </w:p>
        </w:tc>
        <w:tc>
          <w:tcPr>
            <w:tcW w:w="783" w:type="dxa"/>
            <w:tcBorders>
              <w:top w:val="nil"/>
              <w:left w:val="nil"/>
              <w:bottom w:val="single" w:sz="8" w:space="0" w:color="auto"/>
              <w:right w:val="single" w:sz="8" w:space="0" w:color="auto"/>
            </w:tcBorders>
            <w:shd w:val="clear" w:color="000000" w:fill="D9D9D9"/>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201/48</w:t>
            </w:r>
          </w:p>
        </w:tc>
        <w:tc>
          <w:tcPr>
            <w:tcW w:w="894" w:type="dxa"/>
            <w:tcBorders>
              <w:top w:val="nil"/>
              <w:left w:val="nil"/>
              <w:bottom w:val="single" w:sz="8" w:space="0" w:color="auto"/>
              <w:right w:val="nil"/>
            </w:tcBorders>
            <w:shd w:val="clear" w:color="auto" w:fill="auto"/>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493/165</w:t>
            </w:r>
          </w:p>
        </w:tc>
        <w:tc>
          <w:tcPr>
            <w:tcW w:w="660" w:type="dxa"/>
            <w:tcBorders>
              <w:top w:val="nil"/>
              <w:left w:val="single" w:sz="8" w:space="0" w:color="auto"/>
              <w:bottom w:val="single" w:sz="8" w:space="0" w:color="auto"/>
              <w:right w:val="single" w:sz="8" w:space="0" w:color="auto"/>
            </w:tcBorders>
            <w:shd w:val="clear" w:color="000000" w:fill="FF0000"/>
            <w:noWrap/>
            <w:vAlign w:val="bottom"/>
            <w:hideMark/>
          </w:tcPr>
          <w:p w:rsidR="001C55F3" w:rsidRPr="00BE14DD" w:rsidRDefault="001C55F3" w:rsidP="001C55F3">
            <w:pPr>
              <w:spacing w:after="0" w:line="240" w:lineRule="auto"/>
              <w:jc w:val="center"/>
              <w:rPr>
                <w:rFonts w:eastAsia="Times New Roman" w:cs="Calibri"/>
                <w:color w:val="000000"/>
                <w:lang w:val="de-DE" w:eastAsia="de-DE"/>
              </w:rPr>
            </w:pPr>
            <w:r w:rsidRPr="00BE14DD">
              <w:rPr>
                <w:rFonts w:eastAsia="Times New Roman" w:cs="Calibri"/>
                <w:color w:val="000000"/>
                <w:lang w:val="de-DE" w:eastAsia="de-DE"/>
              </w:rPr>
              <w:t>40%</w:t>
            </w:r>
          </w:p>
        </w:tc>
      </w:tr>
    </w:tbl>
    <w:p w:rsidR="001C55F3" w:rsidRPr="00BE14DD" w:rsidRDefault="001C55F3" w:rsidP="001C55F3"/>
    <w:p w:rsidR="001C55F3" w:rsidRPr="009276AD" w:rsidRDefault="001C55F3" w:rsidP="001C55F3">
      <w:pPr>
        <w:pStyle w:val="Titre3"/>
        <w:rPr>
          <w:rFonts w:asciiTheme="minorHAnsi" w:hAnsiTheme="minorHAnsi"/>
          <w:sz w:val="22"/>
        </w:rPr>
      </w:pPr>
      <w:r w:rsidRPr="009276AD">
        <w:rPr>
          <w:rFonts w:asciiTheme="minorHAnsi" w:hAnsiTheme="minorHAnsi"/>
          <w:sz w:val="22"/>
        </w:rPr>
        <w:t>4.4.4  Remarks and conclusions</w:t>
      </w:r>
    </w:p>
    <w:p w:rsidR="001C55F3" w:rsidRPr="009276AD" w:rsidRDefault="001C55F3" w:rsidP="001C55F3">
      <w:pPr>
        <w:spacing w:line="240" w:lineRule="auto"/>
      </w:pPr>
      <w:r w:rsidRPr="009276AD">
        <w:t xml:space="preserve">As no regular national assessments or monitoring schemes besides the required EU reporting obligations are  operational, limited additional information can be expected from Austria. The review of the red list does provide some additional insights but they are only infrequently updated. The main bottlenecks for developing an elaborate system of national assessments in Austria are partly financial and partly organisational. Due to the federal structure of Austria the responsibility for nature conservation and policy is allocated at the federal level. </w:t>
      </w:r>
    </w:p>
    <w:p w:rsidR="001C55F3" w:rsidRDefault="001C55F3" w:rsidP="001C55F3">
      <w:pPr>
        <w:pStyle w:val="Titre2"/>
        <w:rPr>
          <w:rFonts w:asciiTheme="minorHAnsi" w:hAnsiTheme="minorHAnsi"/>
          <w:lang w:val="de-DE"/>
        </w:rPr>
      </w:pPr>
    </w:p>
    <w:p w:rsidR="001C55F3" w:rsidRDefault="001C55F3">
      <w:pPr>
        <w:rPr>
          <w:rFonts w:eastAsiaTheme="majorEastAsia" w:cstheme="majorBidi"/>
          <w:b/>
          <w:bCs/>
          <w:color w:val="4F81BD" w:themeColor="accent1"/>
          <w:sz w:val="26"/>
          <w:szCs w:val="26"/>
          <w:lang w:val="de-DE"/>
        </w:rPr>
      </w:pPr>
      <w:r>
        <w:rPr>
          <w:lang w:val="de-DE"/>
        </w:rPr>
        <w:br w:type="page"/>
      </w:r>
    </w:p>
    <w:p w:rsidR="001C55F3" w:rsidRPr="00BE14DD" w:rsidRDefault="001C55F3" w:rsidP="001C55F3">
      <w:pPr>
        <w:pStyle w:val="Titre2"/>
        <w:rPr>
          <w:rFonts w:asciiTheme="minorHAnsi" w:hAnsiTheme="minorHAnsi"/>
          <w:lang w:val="de-DE"/>
        </w:rPr>
      </w:pPr>
      <w:r w:rsidRPr="00BE14DD">
        <w:rPr>
          <w:rFonts w:asciiTheme="minorHAnsi" w:hAnsiTheme="minorHAnsi"/>
          <w:lang w:val="de-DE"/>
        </w:rPr>
        <w:lastRenderedPageBreak/>
        <w:t xml:space="preserve">References </w:t>
      </w:r>
    </w:p>
    <w:p w:rsidR="001C55F3" w:rsidRPr="009276AD" w:rsidRDefault="001C55F3" w:rsidP="001C55F3">
      <w:pPr>
        <w:spacing w:line="240" w:lineRule="auto"/>
        <w:rPr>
          <w:lang w:val="de-DE"/>
        </w:rPr>
      </w:pPr>
    </w:p>
    <w:p w:rsidR="001C55F3" w:rsidRPr="009276AD" w:rsidRDefault="001C55F3" w:rsidP="001C55F3">
      <w:pPr>
        <w:spacing w:line="240" w:lineRule="auto"/>
        <w:ind w:left="720" w:hanging="720"/>
        <w:rPr>
          <w:rFonts w:cs="Arial"/>
          <w:color w:val="222222"/>
        </w:rPr>
      </w:pPr>
      <w:r w:rsidRPr="009276AD">
        <w:rPr>
          <w:rFonts w:cs="Arial"/>
          <w:color w:val="222222"/>
          <w:lang w:val="de-DE"/>
        </w:rPr>
        <w:t xml:space="preserve">Dullinger, S.,  Essl F. ,  Rabitsch W., Erb K., Gingrich S., Haberl H., Hülber K.. </w:t>
      </w:r>
      <w:r w:rsidRPr="009276AD">
        <w:rPr>
          <w:rFonts w:cs="Arial"/>
          <w:color w:val="222222"/>
        </w:rPr>
        <w:t xml:space="preserve">"Europe’s other debt crisis caused by the long legacy of future extinctions." </w:t>
      </w:r>
      <w:r w:rsidRPr="009276AD">
        <w:rPr>
          <w:rFonts w:cs="Arial"/>
          <w:i/>
          <w:iCs/>
          <w:color w:val="222222"/>
        </w:rPr>
        <w:t>Proceedings of the National Academy of Sciences</w:t>
      </w:r>
      <w:r w:rsidRPr="009276AD">
        <w:rPr>
          <w:rFonts w:cs="Arial"/>
          <w:color w:val="222222"/>
        </w:rPr>
        <w:t xml:space="preserve"> 110, no. 18 (2013): 7342-7347.</w:t>
      </w:r>
    </w:p>
    <w:p w:rsidR="001C55F3" w:rsidRPr="009276AD" w:rsidRDefault="001C55F3" w:rsidP="001C55F3">
      <w:pPr>
        <w:spacing w:line="240" w:lineRule="auto"/>
        <w:ind w:left="720" w:hanging="720"/>
        <w:rPr>
          <w:lang w:val="de-DE"/>
        </w:rPr>
      </w:pPr>
      <w:r w:rsidRPr="009276AD">
        <w:t xml:space="preserve"> Essl F., Egger G., Ellmauer T., S.Aigner, 2002. </w:t>
      </w:r>
      <w:r w:rsidRPr="009276AD">
        <w:rPr>
          <w:lang w:val="de-DE"/>
        </w:rPr>
        <w:t>Rote Liste gefährdeter Biotoptypen Österreichs. Wälder, Forste, Vorwälder. Umweltbundesamt Wien. Monographien, Band 156.</w:t>
      </w:r>
    </w:p>
    <w:p w:rsidR="001C55F3" w:rsidRPr="009276AD" w:rsidRDefault="001C55F3" w:rsidP="001C55F3">
      <w:pPr>
        <w:spacing w:line="240" w:lineRule="auto"/>
        <w:ind w:left="720" w:hanging="720"/>
        <w:rPr>
          <w:lang w:val="de-DE"/>
        </w:rPr>
      </w:pPr>
      <w:r w:rsidRPr="009276AD">
        <w:rPr>
          <w:lang w:val="de-DE"/>
        </w:rPr>
        <w:t>Essl F., Egger G., Poppe M., Rippel-Katzmaier I., Staudinger M. , Muhar S., Unterlercher M., Michor K. Rote Liste der gefährdeten Biotoptypen Österreichs. Binnengewässer, Gewässer- und Ufervegetation. Technische Biotoptypen und Siedlungsbiotoptypen. Umweltbundesamt Wien, 2008 Band 0134.</w:t>
      </w:r>
    </w:p>
    <w:p w:rsidR="001C55F3" w:rsidRPr="009276AD" w:rsidRDefault="001C55F3" w:rsidP="001C55F3">
      <w:pPr>
        <w:spacing w:line="240" w:lineRule="auto"/>
        <w:ind w:left="720" w:hanging="720"/>
        <w:rPr>
          <w:lang w:val="de-DE"/>
        </w:rPr>
      </w:pPr>
      <w:r w:rsidRPr="009276AD">
        <w:rPr>
          <w:rFonts w:cs="Arial"/>
          <w:color w:val="000000"/>
          <w:lang w:val="de-DE"/>
        </w:rPr>
        <w:t>Essl, F., et al, S. (2004): Rote Liste der gefährdeten Biotoptypen Österreichs: Grünland, Grünlandbrachen und Trockenrasen; Hochstauden- und Hochgrasfluren, Schlagfluren und Waldsäume; Gehölze des Offenlandes und Gebüsche. Umweltbundesamt, Monografie, Bd.-M 167. 272 Seiten</w:t>
      </w:r>
    </w:p>
    <w:p w:rsidR="001C55F3" w:rsidRPr="009276AD" w:rsidRDefault="001C55F3" w:rsidP="001C55F3">
      <w:pPr>
        <w:spacing w:line="240" w:lineRule="auto"/>
        <w:ind w:left="720" w:hanging="720"/>
        <w:rPr>
          <w:lang w:val="de-DE"/>
        </w:rPr>
      </w:pPr>
      <w:r w:rsidRPr="009276AD">
        <w:rPr>
          <w:lang w:val="de-DE"/>
        </w:rPr>
        <w:t xml:space="preserve">Essl, F., &amp; Egger G., 2010. Lebensraumvielfalt in Österreich–Gefährdung und Handlungsbedarf-Zusammenschau der Roten Listen gefährdeter Biotoptypen Österreichs. Naturwissenschaftlicher Verein für Kärnten &amp; Umweltbundesamt GmbH. </w:t>
      </w:r>
    </w:p>
    <w:p w:rsidR="001C55F3" w:rsidRPr="009276AD" w:rsidRDefault="001C55F3" w:rsidP="001C55F3">
      <w:pPr>
        <w:spacing w:line="240" w:lineRule="auto"/>
        <w:ind w:left="720" w:hanging="720"/>
        <w:rPr>
          <w:lang w:val="de-DE"/>
        </w:rPr>
      </w:pPr>
      <w:r w:rsidRPr="009276AD">
        <w:rPr>
          <w:lang w:val="de-DE"/>
        </w:rPr>
        <w:t xml:space="preserve">Traxler A., Minarz E., Englisch T., Fink B., Zechmeister H., Essl F. 2005. Rote Liste der gefährdeten Biotoptypen Österreichs. Moore, Sümpfe und Quellfluren, Hochgebirgsrasen, Polsterfluren, Rasenfragmente und Schneeböden. Umweltbundesamt Wien, 2005. Monographien, Band 174 </w:t>
      </w:r>
    </w:p>
    <w:p w:rsidR="001C55F3" w:rsidRPr="009276AD" w:rsidRDefault="001C55F3" w:rsidP="001C55F3">
      <w:pPr>
        <w:spacing w:line="240" w:lineRule="auto"/>
        <w:ind w:left="720" w:hanging="720"/>
        <w:rPr>
          <w:lang w:val="de-DE"/>
        </w:rPr>
      </w:pPr>
      <w:r w:rsidRPr="009276AD">
        <w:rPr>
          <w:lang w:val="de-DE"/>
        </w:rPr>
        <w:t>Wien, 2005. Essl F., Egger G., Karrer G., Theiss M., Aigner S, 2004. Rote Liste der gefährdeten Biotoptypen Österreichs. Grünland, Grünlandbrachen und Trockenrasen Hochstauden- und Hochgrasfluren, Schlagfluren und Waldsäume Gehölze des Offenlandes und Gebüsche. Umweltbundesamt Wien. Monographien, Band 167.</w:t>
      </w:r>
    </w:p>
    <w:p w:rsidR="001C55F3" w:rsidRPr="009276AD" w:rsidRDefault="001C55F3" w:rsidP="001C55F3">
      <w:pPr>
        <w:spacing w:after="240" w:line="240" w:lineRule="auto"/>
        <w:rPr>
          <w:rFonts w:cs="Arial"/>
          <w:color w:val="000000"/>
          <w:lang w:val="de-DE"/>
        </w:rPr>
      </w:pPr>
      <w:r w:rsidRPr="009276AD">
        <w:rPr>
          <w:rFonts w:cs="Arial"/>
          <w:color w:val="000000"/>
          <w:lang w:val="de-DE"/>
        </w:rPr>
        <w:t>Zulka K., , Eder E., Höttinger H., Weigand , 2001. Grundlagen zur Fortschreibung der Roten Listen gefährdeter Tiere Österreichs. Umweltbundesamt , Wien. Band 135</w:t>
      </w:r>
    </w:p>
    <w:p w:rsidR="001C55F3" w:rsidRPr="009276AD" w:rsidRDefault="001C55F3" w:rsidP="001C55F3">
      <w:pPr>
        <w:spacing w:after="0" w:line="240" w:lineRule="auto"/>
        <w:ind w:left="720" w:hanging="720"/>
        <w:rPr>
          <w:rFonts w:cs="Arial"/>
          <w:color w:val="000000"/>
          <w:lang w:val="de-DE"/>
        </w:rPr>
      </w:pPr>
      <w:r w:rsidRPr="009276AD">
        <w:rPr>
          <w:rFonts w:cs="Arial"/>
          <w:color w:val="000000"/>
          <w:lang w:val="de-DE"/>
        </w:rPr>
        <w:t xml:space="preserve">Sauberer N., Moses D, Grabher G (red), 2008. Biodiversität in Österrecih. Räumliche Muster und Indikatoren der Arten und Lebensraumvielfalt. Zurich, Bristol stiftung, Bern, Stuttgart, Wien. </w:t>
      </w:r>
    </w:p>
    <w:p w:rsidR="001C55F3" w:rsidRPr="009276AD" w:rsidRDefault="001C55F3" w:rsidP="001C55F3">
      <w:pPr>
        <w:spacing w:after="0" w:line="240" w:lineRule="auto"/>
        <w:ind w:left="720" w:hanging="720"/>
        <w:rPr>
          <w:rFonts w:cs="Arial"/>
          <w:color w:val="000000"/>
          <w:lang w:val="de-DE"/>
        </w:rPr>
      </w:pPr>
    </w:p>
    <w:p w:rsidR="001C55F3" w:rsidRPr="00BE14DD" w:rsidRDefault="001C55F3" w:rsidP="001C55F3">
      <w:pPr>
        <w:spacing w:after="240" w:line="240" w:lineRule="auto"/>
        <w:rPr>
          <w:szCs w:val="20"/>
          <w:highlight w:val="cyan"/>
        </w:rPr>
      </w:pPr>
      <w:r w:rsidRPr="009276AD">
        <w:rPr>
          <w:u w:val="single"/>
        </w:rPr>
        <w:t>Red list biotopes of downloadable at:</w:t>
      </w:r>
      <w:r w:rsidRPr="009276AD">
        <w:t>http://www.umweltbundesamt.at/umweltsituation/naturschutz/lr_schutz/rl_biotoptypen/</w:t>
      </w:r>
      <w:r w:rsidRPr="00BE14DD">
        <w:rPr>
          <w:szCs w:val="20"/>
          <w:highlight w:val="cyan"/>
        </w:rPr>
        <w:br w:type="page"/>
      </w:r>
    </w:p>
    <w:p w:rsidR="001C55F3" w:rsidRPr="00791F2D" w:rsidRDefault="001C55F3" w:rsidP="00622218">
      <w:pPr>
        <w:pStyle w:val="Titre1"/>
        <w:numPr>
          <w:ilvl w:val="0"/>
          <w:numId w:val="110"/>
        </w:numPr>
        <w:rPr>
          <w:rFonts w:asciiTheme="minorHAnsi" w:hAnsiTheme="minorHAnsi"/>
          <w:sz w:val="36"/>
          <w:szCs w:val="36"/>
          <w:lang w:val="de-DE"/>
        </w:rPr>
      </w:pPr>
      <w:bookmarkStart w:id="40" w:name="_Toc356484303"/>
      <w:r w:rsidRPr="00791F2D">
        <w:rPr>
          <w:rFonts w:asciiTheme="minorHAnsi" w:hAnsiTheme="minorHAnsi"/>
          <w:sz w:val="36"/>
          <w:szCs w:val="36"/>
          <w:lang w:val="de-DE"/>
        </w:rPr>
        <w:lastRenderedPageBreak/>
        <w:t>Conclusions</w:t>
      </w:r>
      <w:bookmarkEnd w:id="40"/>
    </w:p>
    <w:p w:rsidR="001C55F3" w:rsidRPr="00791F2D" w:rsidRDefault="001C55F3" w:rsidP="001C55F3">
      <w:pPr>
        <w:spacing w:line="240" w:lineRule="auto"/>
        <w:rPr>
          <w:lang w:val="de-DE"/>
        </w:rPr>
      </w:pPr>
    </w:p>
    <w:p w:rsidR="001C55F3" w:rsidRPr="00791F2D" w:rsidRDefault="001C55F3" w:rsidP="001C55F3">
      <w:pPr>
        <w:spacing w:line="240" w:lineRule="auto"/>
      </w:pPr>
      <w:r w:rsidRPr="00791F2D">
        <w:t xml:space="preserve">In the context of the MAES-process, one of the questions raised was how the information currently gathered on the state of biodiversity in Europe could assist in the process of mapping ecosystem services. As a first step this report reviewed: which information on biodiversity is collected as part of the reporting under four Directives; as well as the information collected in four Member States in the framework of national or regional assessments and monitoring programs. The review paid specific attention to indicator species and habitats used in national assessment and not covered by the Nature Directives and the representativeness of indicator species and habitats for each ecosystem group derived from reporting under EU Directives compared to alternatives used in national assessments. In this chapter the conclusions and lessons learned are summarised. Recommendations for options to maximise the use of national and EU reporting for the MAES process are also formulated.  </w:t>
      </w:r>
    </w:p>
    <w:p w:rsidR="001C55F3" w:rsidRPr="00791F2D" w:rsidRDefault="001C55F3" w:rsidP="001C55F3">
      <w:pPr>
        <w:spacing w:after="0" w:line="240" w:lineRule="auto"/>
        <w:rPr>
          <w:b/>
        </w:rPr>
      </w:pPr>
      <w:r w:rsidRPr="00791F2D">
        <w:rPr>
          <w:b/>
        </w:rPr>
        <w:t xml:space="preserve">Additional information on the state of biodiversity </w:t>
      </w:r>
    </w:p>
    <w:p w:rsidR="001C55F3" w:rsidRPr="00791F2D" w:rsidRDefault="001C55F3" w:rsidP="001C55F3">
      <w:pPr>
        <w:spacing w:line="240" w:lineRule="auto"/>
      </w:pPr>
      <w:r w:rsidRPr="00791F2D">
        <w:t>In the four cases reviewed most indicators used to assess the state of biodiversity in national assessments and the underlying existing monitoring programs are based on species information. Besides the information gathered in the framework of the obligatory monitoring of habitats under the Habitats Directive only Flanders has a running program which provides information on the occurrence of habitats in the entire region. However in the future this program will focus on specific areas. In Austria information is available for the most important biotopes. In Spain and the Netherlands the system is currently under development. An exemption are the forest  habitats for which separate programs already exist (in Austria, Spain and Flanders).</w:t>
      </w:r>
    </w:p>
    <w:p w:rsidR="001C55F3" w:rsidRPr="00791F2D" w:rsidRDefault="001C55F3" w:rsidP="001C55F3">
      <w:pPr>
        <w:spacing w:line="240" w:lineRule="auto"/>
      </w:pPr>
      <w:r w:rsidRPr="00791F2D">
        <w:t>The state of ecosystems at the national level is either not determined in the framework of national assessments (Austria and Flanders) or is based on the abundance or presence of indicator species (Netherlands). A similar approach is followed under the reporting of the WFD, MSFD and in several of the SEBI2010 indicators.</w:t>
      </w:r>
    </w:p>
    <w:p w:rsidR="001C55F3" w:rsidRPr="00791F2D" w:rsidRDefault="001C55F3" w:rsidP="001C55F3">
      <w:pPr>
        <w:spacing w:line="240" w:lineRule="auto"/>
      </w:pPr>
      <w:r w:rsidRPr="00791F2D">
        <w:t xml:space="preserve">A review of which species (groups) information in the national/regional assessments complements the information gathered in the framework of EU reporting provides a rather variable picture. In all 4 cases information on national red list species is gathered. In Spain extra information on all vertebrates is gathered, in the Netherlands and Flanders additional information is also gathered for invertebrates. </w:t>
      </w:r>
    </w:p>
    <w:p w:rsidR="001C55F3" w:rsidRPr="00791F2D" w:rsidRDefault="001C55F3" w:rsidP="001C55F3">
      <w:pPr>
        <w:spacing w:line="240" w:lineRule="auto"/>
      </w:pPr>
      <w:r w:rsidRPr="00791F2D">
        <w:t xml:space="preserve">Both in national and EU assessment, the majority of the indicator species used are vertebrates; some invertebrates and plants are also used. In general the coverage is relatively good for vertebrates and poor to negligible for invertebrates, plants and other species groups. </w:t>
      </w:r>
    </w:p>
    <w:p w:rsidR="001C55F3" w:rsidRPr="00791F2D" w:rsidRDefault="001C55F3" w:rsidP="001C55F3">
      <w:pPr>
        <w:spacing w:line="240" w:lineRule="auto"/>
      </w:pPr>
      <w:r w:rsidRPr="00791F2D">
        <w:t xml:space="preserve">As the aims of assessment are different, the methodology and parameters developed for indicator species vary considerably. The four country case studies primarily use parameters reflecting trends in abundance of specific groups (Austria, Flanders, Netherlands)  or red list species (Austria, Flanders, Netherlands) or species richness of specific groups / red listed species (Spain). In the EU reporting a much broader range of parameters is used that also </w:t>
      </w:r>
      <w:r w:rsidRPr="00791F2D">
        <w:rPr>
          <w:shd w:val="clear" w:color="auto" w:fill="FFFFFF" w:themeFill="background1"/>
        </w:rPr>
        <w:t xml:space="preserve">consider range, habitat for the species, population and future prospects,  composition, abundance, presence and even species characteristics. This difference in methodological approach might find its origin in the stage of development of the national monitoring system. For countries with an elaborate monitoring system and a short reporting cycle, trends in abundance of species are a better source of information for national assessments. </w:t>
      </w:r>
      <w:r w:rsidRPr="00791F2D">
        <w:t xml:space="preserve">Information on range and presence is less used.  For countries where data availability is limited species richness and  number of red list species are often important sources of information; trends in abundance can often not be assessed due to lack of data. </w:t>
      </w:r>
    </w:p>
    <w:p w:rsidR="001C55F3" w:rsidRPr="00791F2D" w:rsidRDefault="001C55F3" w:rsidP="001C55F3">
      <w:pPr>
        <w:spacing w:line="240" w:lineRule="auto"/>
      </w:pPr>
      <w:r w:rsidRPr="00791F2D">
        <w:lastRenderedPageBreak/>
        <w:t xml:space="preserve">The  MAES working group developed a conceptual framework. If we look at the three dimensions indicated in the framework (‘ wings of the butterfly’) we can conclude that some national assessments use species richness in their assessments of the state but others uses trends in abundance of specific groups or information on number of threatened species. The monitoring for the WFD also uses indicators based on functional traits.  </w:t>
      </w:r>
    </w:p>
    <w:p w:rsidR="001C55F3" w:rsidRPr="00791F2D" w:rsidRDefault="001C55F3" w:rsidP="001C55F3">
      <w:pPr>
        <w:spacing w:line="240" w:lineRule="auto"/>
      </w:pPr>
      <w:r w:rsidRPr="00791F2D">
        <w:t xml:space="preserve">Although it is not the focus of this report, it is worth recording here that the spatial detail of the data on biodiversity shows much variation. </w:t>
      </w:r>
    </w:p>
    <w:p w:rsidR="001C55F3" w:rsidRPr="00791F2D" w:rsidRDefault="001C55F3" w:rsidP="001C55F3">
      <w:pPr>
        <w:spacing w:line="240" w:lineRule="auto"/>
      </w:pPr>
      <w:r w:rsidRPr="00791F2D">
        <w:t>The overlap between indicator species used for national assessments and EU reporting shows a high variation depending on the species groups. For amphibians and reptiles the overlap is generally high (between 100-80 %), medium for birds and mammals and low for invertebrates and plants. Reasons for this lack of overlap are threefold:</w:t>
      </w:r>
    </w:p>
    <w:p w:rsidR="001C55F3" w:rsidRPr="00791F2D" w:rsidRDefault="001C55F3" w:rsidP="001C55F3">
      <w:pPr>
        <w:spacing w:after="0" w:line="240" w:lineRule="auto"/>
      </w:pPr>
      <w:r w:rsidRPr="00791F2D">
        <w:t xml:space="preserve">1) The </w:t>
      </w:r>
      <w:r w:rsidRPr="00791F2D">
        <w:rPr>
          <w:i/>
        </w:rPr>
        <w:t>rareness</w:t>
      </w:r>
      <w:r w:rsidRPr="00791F2D">
        <w:t xml:space="preserve"> of some of the Directive species makes them poor indicators for monitoring overall change (e.g. three of the Dutch butterfly species in the Netherlands only occur in three restricted areas and there are many endemic plant species listed on the Directive).  </w:t>
      </w:r>
    </w:p>
    <w:p w:rsidR="001C55F3" w:rsidRDefault="001C55F3" w:rsidP="001C55F3">
      <w:pPr>
        <w:spacing w:after="0" w:line="240" w:lineRule="auto"/>
      </w:pPr>
      <w:r w:rsidRPr="00791F2D">
        <w:t xml:space="preserve">2) Their limited </w:t>
      </w:r>
      <w:r w:rsidRPr="00791F2D">
        <w:rPr>
          <w:i/>
        </w:rPr>
        <w:t>sensitivity</w:t>
      </w:r>
      <w:r w:rsidRPr="00791F2D">
        <w:t xml:space="preserve"> to </w:t>
      </w:r>
      <w:r w:rsidRPr="00791F2D">
        <w:rPr>
          <w:i/>
        </w:rPr>
        <w:t>pressures</w:t>
      </w:r>
      <w:r w:rsidRPr="00791F2D">
        <w:t xml:space="preserve"> which are important in national poli</w:t>
      </w:r>
      <w:r>
        <w:t>cies or</w:t>
      </w:r>
    </w:p>
    <w:p w:rsidR="001C55F3" w:rsidRPr="00791F2D" w:rsidRDefault="001C55F3" w:rsidP="001C55F3">
      <w:pPr>
        <w:spacing w:after="0" w:line="240" w:lineRule="auto"/>
      </w:pPr>
      <w:r w:rsidRPr="00791F2D">
        <w:t xml:space="preserve">3) the existence of additional </w:t>
      </w:r>
      <w:r w:rsidRPr="00791F2D">
        <w:rPr>
          <w:i/>
        </w:rPr>
        <w:t>policy goals</w:t>
      </w:r>
      <w:r w:rsidRPr="00791F2D">
        <w:t xml:space="preserve"> for species of national interest ( e.g Red list species). </w:t>
      </w:r>
    </w:p>
    <w:p w:rsidR="001C55F3" w:rsidRPr="00791F2D" w:rsidRDefault="001C55F3" w:rsidP="001C55F3">
      <w:pPr>
        <w:spacing w:line="240" w:lineRule="auto"/>
      </w:pPr>
      <w:r w:rsidRPr="00791F2D">
        <w:t xml:space="preserve">Based on the four reviewed cases we expect that only limited information on habitats will be available at the national level to complement the information gathered in the framework of EU reporting. </w:t>
      </w:r>
    </w:p>
    <w:p w:rsidR="001C55F3" w:rsidRPr="00791F2D" w:rsidRDefault="001C55F3" w:rsidP="001C55F3">
      <w:pPr>
        <w:spacing w:line="240" w:lineRule="auto"/>
      </w:pPr>
      <w:r w:rsidRPr="00791F2D">
        <w:rPr>
          <w:u w:val="single"/>
        </w:rPr>
        <w:t>We therefore conclude that</w:t>
      </w:r>
      <w:r w:rsidRPr="00791F2D">
        <w:t xml:space="preserve"> given the current level of information both at the level of the EU as well as in the country case studies the use of indicator species in order to assess the state of terrestrial ecosystems belonging to the following species groups could be feasible: birds, butterflies, mammals, reptiles and amphibians. For the first three groups national assessments can complement the list of species reported on under the EU directives. The existing bias of the Habitats Directive which focusses primarily on the protection of vertebrates (see table 2.1) is also present in national policies, therefore the information from national assessments will not assist in correcting this </w:t>
      </w:r>
      <w:r w:rsidRPr="00791F2D">
        <w:rPr>
          <w:b/>
          <w:i/>
        </w:rPr>
        <w:t>bias in species groups</w:t>
      </w:r>
      <w:r w:rsidRPr="00791F2D">
        <w:t xml:space="preserve"> used to asses ecosystem state.</w:t>
      </w:r>
    </w:p>
    <w:p w:rsidR="001C55F3" w:rsidRPr="00791F2D" w:rsidRDefault="001C55F3" w:rsidP="001C55F3">
      <w:pPr>
        <w:spacing w:line="240" w:lineRule="auto"/>
      </w:pPr>
      <w:r w:rsidRPr="00791F2D">
        <w:t>In this report no analysis was undertaken in respect to the physical and chemical condition as determined in the national assessment and the usefulness of this information for the MAES process. Although for some ecosystem services these assessments might provide additional information ( f.i water quality) similar differences in methodology and coverage can be expected also in this field.</w:t>
      </w:r>
    </w:p>
    <w:p w:rsidR="001C55F3" w:rsidRPr="00791F2D" w:rsidRDefault="001C55F3" w:rsidP="001C55F3">
      <w:pPr>
        <w:spacing w:after="0" w:line="240" w:lineRule="auto"/>
        <w:rPr>
          <w:b/>
        </w:rPr>
      </w:pPr>
      <w:r w:rsidRPr="00791F2D">
        <w:rPr>
          <w:b/>
        </w:rPr>
        <w:t>Representativeness of indicator species for ecosystems</w:t>
      </w:r>
    </w:p>
    <w:p w:rsidR="001C55F3" w:rsidRPr="00791F2D" w:rsidRDefault="001C55F3" w:rsidP="001C55F3">
      <w:pPr>
        <w:spacing w:line="240" w:lineRule="auto"/>
      </w:pPr>
      <w:r w:rsidRPr="00791F2D">
        <w:t xml:space="preserve">If we review for which ecosystems these species might function as indicator species to determine the state of the ecosystem, no information could be found in the framework of this review about the relationship between the species on the red lists of Spain, Austria and Flanders and the allocation to various ecosystems. If and how well these species groups represent the various ecosystems is therefore not yet known. In the Netherlands an elaborate system of indicator species has been developed in order to assess the state of various ecosystems. </w:t>
      </w:r>
    </w:p>
    <w:p w:rsidR="001C55F3" w:rsidRPr="00791F2D" w:rsidRDefault="001C55F3" w:rsidP="001C55F3">
      <w:pPr>
        <w:spacing w:line="240" w:lineRule="auto"/>
      </w:pPr>
      <w:r w:rsidRPr="00791F2D">
        <w:t xml:space="preserve">Of the species listed in Annex II and IV of the Habitats Directive the majority are linked to wetland and grassland ecosystems. Marine ecosystems and agro-ecosystems are less well covered. A broad range of indicator species has been identified under the WFD and MSFD reporting  providing information on the state of the marine and aquatic environments - however no EU overview of indicator species used is presently available. The table below presents a first overview of the MAES ecosystem types distinguished, the availability of indicator species from EU reporting and the Netherlands. The colour coding does require careful interpretation. We do not know how many indicator species are required in order to assess the ecosystem state. Also the available overviews for </w:t>
      </w:r>
      <w:r w:rsidRPr="00791F2D">
        <w:lastRenderedPageBreak/>
        <w:t>the Bird and Habitat Directive presented in chapter 3 show the preference of species for specific ecosystems but no detailed assessment has been made of their indicator value for these ecosystems.</w:t>
      </w:r>
    </w:p>
    <w:p w:rsidR="001C55F3" w:rsidRPr="00791F2D" w:rsidRDefault="001C55F3" w:rsidP="001C55F3">
      <w:pPr>
        <w:spacing w:line="240" w:lineRule="auto"/>
      </w:pPr>
      <w:r w:rsidRPr="00791F2D">
        <w:t>The relationship between the indicator species, indicator habitats and the state of ecosystems clearly has the potential for further elaboration. The approach developed might give an insight into how far indicators of the ecosystem state might be able to explain the delivery of ecosystem services. The question is whether specific species and habitats indicators are also good indicators for specific processes or specific ecosystems services.</w:t>
      </w:r>
    </w:p>
    <w:p w:rsidR="001C55F3" w:rsidRPr="00BE14DD" w:rsidRDefault="001C55F3" w:rsidP="001C55F3">
      <w:pPr>
        <w:rPr>
          <w:szCs w:val="20"/>
        </w:rPr>
      </w:pPr>
      <w:r w:rsidRPr="00BE14DD">
        <w:rPr>
          <w:szCs w:val="20"/>
        </w:rPr>
        <w:t>Table 5.1. Assessment of availability of indicator species to assess the state of specific ecosystems. Grey= no indicator species available, orange= some indicator species identified, green = large number of species identified.</w:t>
      </w:r>
    </w:p>
    <w:tbl>
      <w:tblPr>
        <w:tblW w:w="5000" w:type="pct"/>
        <w:tblLook w:val="04A0"/>
      </w:tblPr>
      <w:tblGrid>
        <w:gridCol w:w="3512"/>
        <w:gridCol w:w="3024"/>
        <w:gridCol w:w="656"/>
        <w:gridCol w:w="752"/>
        <w:gridCol w:w="1342"/>
      </w:tblGrid>
      <w:tr w:rsidR="001C55F3" w:rsidRPr="00BE14DD" w:rsidTr="001C55F3">
        <w:trPr>
          <w:trHeight w:val="300"/>
        </w:trPr>
        <w:tc>
          <w:tcPr>
            <w:tcW w:w="143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lang w:eastAsia="en-GB"/>
              </w:rPr>
            </w:pPr>
            <w:r w:rsidRPr="00BE14DD">
              <w:rPr>
                <w:rFonts w:eastAsia="Times New Roman" w:cs="Times New Roman"/>
                <w:b/>
                <w:bCs/>
                <w:color w:val="000000"/>
                <w:lang w:eastAsia="en-GB"/>
              </w:rPr>
              <w:t>MAES classification (level 2)</w:t>
            </w:r>
          </w:p>
        </w:tc>
        <w:tc>
          <w:tcPr>
            <w:tcW w:w="1992" w:type="pct"/>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lang w:eastAsia="en-GB"/>
              </w:rPr>
            </w:pPr>
            <w:r w:rsidRPr="00BE14DD">
              <w:rPr>
                <w:rFonts w:eastAsia="Times New Roman" w:cs="Times New Roman"/>
                <w:b/>
                <w:bCs/>
                <w:color w:val="000000"/>
                <w:lang w:eastAsia="en-GB"/>
              </w:rPr>
              <w:t>BD/HD</w:t>
            </w:r>
          </w:p>
        </w:tc>
        <w:tc>
          <w:tcPr>
            <w:tcW w:w="459" w:type="pct"/>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lang w:eastAsia="en-GB"/>
              </w:rPr>
            </w:pPr>
            <w:r w:rsidRPr="00BE14DD">
              <w:rPr>
                <w:rFonts w:eastAsia="Times New Roman" w:cs="Times New Roman"/>
                <w:b/>
                <w:bCs/>
                <w:color w:val="000000"/>
                <w:lang w:eastAsia="en-GB"/>
              </w:rPr>
              <w:t>WFD</w:t>
            </w:r>
          </w:p>
        </w:tc>
        <w:tc>
          <w:tcPr>
            <w:tcW w:w="459" w:type="pct"/>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lang w:eastAsia="en-GB"/>
              </w:rPr>
            </w:pPr>
            <w:r w:rsidRPr="00BE14DD">
              <w:rPr>
                <w:rFonts w:eastAsia="Times New Roman" w:cs="Times New Roman"/>
                <w:b/>
                <w:bCs/>
                <w:color w:val="000000"/>
                <w:lang w:eastAsia="en-GB"/>
              </w:rPr>
              <w:t>MSFD</w:t>
            </w:r>
          </w:p>
        </w:tc>
        <w:tc>
          <w:tcPr>
            <w:tcW w:w="660" w:type="pct"/>
            <w:tcBorders>
              <w:top w:val="single" w:sz="4" w:space="0" w:color="auto"/>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b/>
                <w:bCs/>
                <w:color w:val="000000"/>
                <w:lang w:eastAsia="en-GB"/>
              </w:rPr>
            </w:pPr>
            <w:r w:rsidRPr="00BE14DD">
              <w:rPr>
                <w:rFonts w:eastAsia="Times New Roman" w:cs="Times New Roman"/>
                <w:b/>
                <w:bCs/>
                <w:color w:val="000000"/>
                <w:lang w:eastAsia="en-GB"/>
              </w:rPr>
              <w:t>Netherlands</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Urban</w:t>
            </w:r>
          </w:p>
        </w:tc>
        <w:tc>
          <w:tcPr>
            <w:tcW w:w="1992"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Cropland</w:t>
            </w:r>
          </w:p>
        </w:tc>
        <w:tc>
          <w:tcPr>
            <w:tcW w:w="1992"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agro-ecosystems</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Grassland</w:t>
            </w:r>
          </w:p>
        </w:tc>
        <w:tc>
          <w:tcPr>
            <w:tcW w:w="1992"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grasslands (intensively used)</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1992"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grasslands (extensively used)</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Woodland &amp; forest</w:t>
            </w:r>
          </w:p>
        </w:tc>
        <w:tc>
          <w:tcPr>
            <w:tcW w:w="1992"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Sparsely vegetated land</w:t>
            </w:r>
          </w:p>
        </w:tc>
        <w:tc>
          <w:tcPr>
            <w:tcW w:w="1992"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Heathland &amp; shrubs</w:t>
            </w:r>
          </w:p>
        </w:tc>
        <w:tc>
          <w:tcPr>
            <w:tcW w:w="1992"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Wetlands (mires, bogs, fens)</w:t>
            </w:r>
          </w:p>
        </w:tc>
        <w:tc>
          <w:tcPr>
            <w:tcW w:w="1992"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Rivers &amp; lakes</w:t>
            </w:r>
          </w:p>
        </w:tc>
        <w:tc>
          <w:tcPr>
            <w:tcW w:w="1992"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Marine inlets and transitional waters</w:t>
            </w:r>
          </w:p>
        </w:tc>
        <w:tc>
          <w:tcPr>
            <w:tcW w:w="1992"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FFC000"/>
                <w:lang w:eastAsia="en-GB"/>
              </w:rPr>
            </w:pPr>
            <w:r w:rsidRPr="00BE14DD">
              <w:rPr>
                <w:rFonts w:eastAsia="Times New Roman" w:cs="Times New Roman"/>
                <w:color w:val="FFC000"/>
                <w:lang w:eastAsia="en-GB"/>
              </w:rPr>
              <w:t> </w:t>
            </w:r>
          </w:p>
        </w:tc>
        <w:tc>
          <w:tcPr>
            <w:tcW w:w="459"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Coastal</w:t>
            </w:r>
          </w:p>
        </w:tc>
        <w:tc>
          <w:tcPr>
            <w:tcW w:w="1992"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FFC000"/>
                <w:lang w:eastAsia="en-GB"/>
              </w:rPr>
            </w:pPr>
            <w:r w:rsidRPr="00BE14DD">
              <w:rPr>
                <w:rFonts w:eastAsia="Times New Roman" w:cs="Times New Roman"/>
                <w:color w:val="FFC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Shelf</w:t>
            </w:r>
          </w:p>
        </w:tc>
        <w:tc>
          <w:tcPr>
            <w:tcW w:w="1992" w:type="pct"/>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rPr>
                <w:rFonts w:eastAsia="Times New Roman" w:cs="Times New Roman"/>
                <w:color w:val="FFC000"/>
                <w:lang w:eastAsia="en-GB"/>
              </w:rPr>
            </w:pPr>
            <w:r w:rsidRPr="00BE14DD">
              <w:rPr>
                <w:rFonts w:eastAsia="Times New Roman" w:cs="Times New Roman"/>
                <w:color w:val="FFC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r w:rsidR="001C55F3" w:rsidRPr="00BE14DD" w:rsidTr="001C55F3">
        <w:trPr>
          <w:trHeight w:val="300"/>
        </w:trPr>
        <w:tc>
          <w:tcPr>
            <w:tcW w:w="1430" w:type="pct"/>
            <w:tcBorders>
              <w:top w:val="nil"/>
              <w:left w:val="single" w:sz="4" w:space="0" w:color="auto"/>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Open ocean</w:t>
            </w:r>
          </w:p>
        </w:tc>
        <w:tc>
          <w:tcPr>
            <w:tcW w:w="1992" w:type="pct"/>
            <w:tcBorders>
              <w:top w:val="nil"/>
              <w:left w:val="nil"/>
              <w:bottom w:val="single" w:sz="4" w:space="0" w:color="auto"/>
              <w:right w:val="single" w:sz="4" w:space="0" w:color="auto"/>
            </w:tcBorders>
            <w:shd w:val="clear" w:color="000000" w:fill="FFC000"/>
            <w:noWrap/>
            <w:vAlign w:val="bottom"/>
            <w:hideMark/>
          </w:tcPr>
          <w:p w:rsidR="001C55F3" w:rsidRPr="00BE14DD" w:rsidRDefault="001C55F3" w:rsidP="001C55F3">
            <w:pPr>
              <w:spacing w:after="0" w:line="240" w:lineRule="auto"/>
              <w:rPr>
                <w:rFonts w:eastAsia="Times New Roman" w:cs="Times New Roman"/>
                <w:color w:val="FFC000"/>
                <w:lang w:eastAsia="en-GB"/>
              </w:rPr>
            </w:pPr>
            <w:r w:rsidRPr="00BE14DD">
              <w:rPr>
                <w:rFonts w:eastAsia="Times New Roman" w:cs="Times New Roman"/>
                <w:color w:val="FFC000"/>
                <w:lang w:eastAsia="en-GB"/>
              </w:rPr>
              <w:t> </w:t>
            </w:r>
          </w:p>
        </w:tc>
        <w:tc>
          <w:tcPr>
            <w:tcW w:w="459" w:type="pct"/>
            <w:tcBorders>
              <w:top w:val="nil"/>
              <w:left w:val="nil"/>
              <w:bottom w:val="single" w:sz="4" w:space="0" w:color="auto"/>
              <w:right w:val="single" w:sz="4" w:space="0" w:color="auto"/>
            </w:tcBorders>
            <w:shd w:val="clear" w:color="000000" w:fill="D9D9D9"/>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459" w:type="pct"/>
            <w:tcBorders>
              <w:top w:val="nil"/>
              <w:left w:val="nil"/>
              <w:bottom w:val="single" w:sz="4" w:space="0" w:color="auto"/>
              <w:right w:val="single" w:sz="4" w:space="0" w:color="auto"/>
            </w:tcBorders>
            <w:shd w:val="clear" w:color="000000" w:fill="C4D79B"/>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c>
          <w:tcPr>
            <w:tcW w:w="660" w:type="pct"/>
            <w:tcBorders>
              <w:top w:val="nil"/>
              <w:left w:val="nil"/>
              <w:bottom w:val="single" w:sz="4" w:space="0" w:color="auto"/>
              <w:right w:val="single" w:sz="4" w:space="0" w:color="auto"/>
            </w:tcBorders>
            <w:shd w:val="clear" w:color="auto" w:fill="auto"/>
            <w:noWrap/>
            <w:vAlign w:val="bottom"/>
            <w:hideMark/>
          </w:tcPr>
          <w:p w:rsidR="001C55F3" w:rsidRPr="00BE14DD" w:rsidRDefault="001C55F3" w:rsidP="001C55F3">
            <w:pPr>
              <w:spacing w:after="0" w:line="240" w:lineRule="auto"/>
              <w:rPr>
                <w:rFonts w:eastAsia="Times New Roman" w:cs="Times New Roman"/>
                <w:color w:val="000000"/>
                <w:lang w:eastAsia="en-GB"/>
              </w:rPr>
            </w:pPr>
            <w:r w:rsidRPr="00BE14DD">
              <w:rPr>
                <w:rFonts w:eastAsia="Times New Roman" w:cs="Times New Roman"/>
                <w:color w:val="000000"/>
                <w:lang w:eastAsia="en-GB"/>
              </w:rPr>
              <w:t> </w:t>
            </w:r>
          </w:p>
        </w:tc>
      </w:tr>
    </w:tbl>
    <w:p w:rsidR="001C55F3" w:rsidRPr="00791F2D" w:rsidRDefault="001C55F3" w:rsidP="001C55F3">
      <w:pPr>
        <w:spacing w:line="240" w:lineRule="auto"/>
      </w:pPr>
    </w:p>
    <w:p w:rsidR="001C55F3" w:rsidRPr="00791F2D" w:rsidRDefault="001C55F3" w:rsidP="001C55F3">
      <w:pPr>
        <w:spacing w:after="0" w:line="240" w:lineRule="auto"/>
        <w:rPr>
          <w:b/>
        </w:rPr>
      </w:pPr>
      <w:r w:rsidRPr="00791F2D">
        <w:rPr>
          <w:b/>
        </w:rPr>
        <w:t xml:space="preserve">Bottlenecks experienced &amp; opportunities to improve use of data </w:t>
      </w:r>
    </w:p>
    <w:p w:rsidR="001C55F3" w:rsidRPr="00791F2D" w:rsidRDefault="001C55F3" w:rsidP="001C55F3">
      <w:pPr>
        <w:spacing w:line="240" w:lineRule="auto"/>
      </w:pPr>
      <w:r w:rsidRPr="00791F2D">
        <w:t xml:space="preserve">The four cases show that there are various bottlenecks in the use of data and indicators gathered for national assessments for EU reporting and </w:t>
      </w:r>
      <w:r w:rsidRPr="00791F2D">
        <w:rPr>
          <w:i/>
        </w:rPr>
        <w:t>vice versa</w:t>
      </w:r>
      <w:r w:rsidRPr="00791F2D">
        <w:t xml:space="preserve">. The first of these relates to </w:t>
      </w:r>
      <w:r w:rsidRPr="00791F2D">
        <w:rPr>
          <w:b/>
        </w:rPr>
        <w:t>data quality/requirements</w:t>
      </w:r>
      <w:r w:rsidRPr="00791F2D">
        <w:t>. In one of the reviewed countries (eg the Netherlands) the data availability is much better than required for the EU reporting (timespan, number of species covered, spatial detail). As a result the national assessments are relying on these better data for their assessments. In the three other countries the data available for national assessments is less elaborate, and is not providing the detail required by the EU reporting (often only presence, time span too long) and additional systems are needed.  Often in these countries the resources are lacking to develop more elaborate monitoring and reporting systems.</w:t>
      </w:r>
    </w:p>
    <w:p w:rsidR="001C55F3" w:rsidRPr="00791F2D" w:rsidRDefault="001C55F3" w:rsidP="001C55F3">
      <w:pPr>
        <w:spacing w:line="240" w:lineRule="auto"/>
      </w:pPr>
      <w:r w:rsidRPr="00791F2D">
        <w:t xml:space="preserve">In addition national policies also focus on </w:t>
      </w:r>
      <w:r w:rsidRPr="00791F2D">
        <w:rPr>
          <w:b/>
        </w:rPr>
        <w:t>other species or habitats than those of European importance</w:t>
      </w:r>
      <w:r w:rsidRPr="00791F2D">
        <w:t xml:space="preserve">. In all four countries red lists exist that feature species that are the target of national policies. As this report shows, the overlap for several of the species groups on the red lists is rather low. Additionally in the reporting for the WFD and MSFD species groups are used (e.g. benthic invertebrates and phytoplankton) that are not target species for national policies. The same situation occurs in Austria and in Flanders where at the national level additional habitat types are distinguished. </w:t>
      </w:r>
    </w:p>
    <w:p w:rsidR="001C55F3" w:rsidRPr="00791F2D" w:rsidRDefault="001C55F3" w:rsidP="001C55F3">
      <w:pPr>
        <w:spacing w:line="240" w:lineRule="auto"/>
      </w:pPr>
      <w:r w:rsidRPr="00791F2D">
        <w:t xml:space="preserve">A last issue noticed is that often the </w:t>
      </w:r>
      <w:r w:rsidRPr="00791F2D">
        <w:rPr>
          <w:b/>
        </w:rPr>
        <w:t>methods used in the terrestrial and aquatic environment are very different as well as the organisations involved in the research</w:t>
      </w:r>
      <w:r w:rsidRPr="00791F2D">
        <w:t xml:space="preserve">. This might be the result of  </w:t>
      </w:r>
      <w:r w:rsidRPr="00791F2D">
        <w:lastRenderedPageBreak/>
        <w:t xml:space="preserve">historical reasons as the research fields have evolved differently over time but also pragmatic as some of the methods applied are not feasible both in the aquatic as well as the marine. </w:t>
      </w:r>
    </w:p>
    <w:p w:rsidR="001C55F3" w:rsidRPr="00791F2D" w:rsidRDefault="001C55F3" w:rsidP="001C55F3">
      <w:pPr>
        <w:spacing w:after="0" w:line="240" w:lineRule="auto"/>
      </w:pPr>
      <w:r w:rsidRPr="00791F2D">
        <w:t>The three issues above suggest a number of potential actions.</w:t>
      </w:r>
    </w:p>
    <w:p w:rsidR="001C55F3" w:rsidRPr="00791F2D" w:rsidRDefault="001C55F3" w:rsidP="00622218">
      <w:pPr>
        <w:pStyle w:val="Paragraphedeliste"/>
        <w:numPr>
          <w:ilvl w:val="0"/>
          <w:numId w:val="91"/>
        </w:numPr>
        <w:spacing w:line="240" w:lineRule="auto"/>
      </w:pPr>
      <w:r w:rsidRPr="00791F2D">
        <w:t>The mismatch or lack of overlap (in both directions) of species used at national and European levels suggests the need, in discussion with ETC-BD and the EEA, to further review the representativeness of species listed on the Habitats Directive; for example, in Tucker &amp; Evans (1997) a specific approach was developed for the Birds directive – this might also be applied to the Habitats Directive species and might need to be extended for EU27.</w:t>
      </w:r>
    </w:p>
    <w:p w:rsidR="001C55F3" w:rsidRPr="00791F2D" w:rsidRDefault="001C55F3" w:rsidP="00622218">
      <w:pPr>
        <w:pStyle w:val="Paragraphedeliste"/>
        <w:numPr>
          <w:ilvl w:val="0"/>
          <w:numId w:val="91"/>
        </w:numPr>
        <w:spacing w:line="240" w:lineRule="auto"/>
      </w:pPr>
      <w:r w:rsidRPr="00791F2D">
        <w:t>The variability, country by country, of data availability suggests that minimum standards for data collection could be proposed at European level based on a feasibility assessment (of what is realistic but which will still meet the required standard). The standard could be challenging to ensure that countries recognise the need for improvement where their current efforts are below what is necessary to report effectively.</w:t>
      </w:r>
    </w:p>
    <w:p w:rsidR="001C55F3" w:rsidRPr="00791F2D" w:rsidRDefault="001C55F3" w:rsidP="001C55F3">
      <w:pPr>
        <w:spacing w:line="240" w:lineRule="auto"/>
      </w:pPr>
      <w:r w:rsidRPr="00791F2D">
        <w:t>In addition, in three of the countries considered, the level for reporting has been delegated to below-national (e.g. provincial/regional) level. This has consequences for the standardisation of approaches and the requirement to apply a level of pragmatism in requiring a defined approach at national level – and links to the issue of methodology mentioned in the third point above. Thus:</w:t>
      </w:r>
    </w:p>
    <w:p w:rsidR="001C55F3" w:rsidRPr="0033792C" w:rsidRDefault="001C55F3" w:rsidP="00622218">
      <w:pPr>
        <w:pStyle w:val="Paragraphedeliste"/>
        <w:numPr>
          <w:ilvl w:val="0"/>
          <w:numId w:val="91"/>
        </w:numPr>
        <w:spacing w:line="240" w:lineRule="auto"/>
      </w:pPr>
      <w:r w:rsidRPr="00791F2D">
        <w:t>Ensure that flexibility of approach is acknowledged in the provision of advice, guidance and/or regulation delivered to the Member States.</w:t>
      </w:r>
    </w:p>
    <w:p w:rsidR="001C55F3" w:rsidRPr="00791F2D" w:rsidRDefault="001C55F3" w:rsidP="001C55F3">
      <w:pPr>
        <w:spacing w:line="240" w:lineRule="auto"/>
      </w:pPr>
      <w:r w:rsidRPr="00791F2D">
        <w:t>The underlying report does not review how the reporting under the CBD links to the reporting under the four Directives as well as national reporting schemes. Therefore it is unclear whether this process might provide additional information or not</w:t>
      </w:r>
    </w:p>
    <w:p w:rsidR="001C55F3" w:rsidRPr="00791F2D" w:rsidRDefault="001C55F3" w:rsidP="001C55F3">
      <w:pPr>
        <w:spacing w:after="0" w:line="240" w:lineRule="auto"/>
        <w:rPr>
          <w:b/>
        </w:rPr>
      </w:pPr>
      <w:r w:rsidRPr="00791F2D">
        <w:rPr>
          <w:b/>
        </w:rPr>
        <w:t>Steps forward</w:t>
      </w:r>
    </w:p>
    <w:p w:rsidR="001C55F3" w:rsidRPr="00791F2D" w:rsidRDefault="001C55F3" w:rsidP="00622218">
      <w:pPr>
        <w:pStyle w:val="Paragraphedeliste"/>
        <w:numPr>
          <w:ilvl w:val="0"/>
          <w:numId w:val="91"/>
        </w:numPr>
        <w:spacing w:line="240" w:lineRule="auto"/>
      </w:pPr>
      <w:r w:rsidRPr="00791F2D">
        <w:t>The current review only presents the situation in 4 Member states – a quick European-wide scan might provide an overview of the situation in the remaining 23 Member States. This overview could focus on the assessment and monitoring of red list species and of the species groups identified as likely groups for which information might be present.</w:t>
      </w:r>
    </w:p>
    <w:p w:rsidR="001C55F3" w:rsidRPr="00791F2D" w:rsidRDefault="001C55F3" w:rsidP="00622218">
      <w:pPr>
        <w:pStyle w:val="Paragraphedeliste"/>
        <w:numPr>
          <w:ilvl w:val="0"/>
          <w:numId w:val="91"/>
        </w:numPr>
        <w:spacing w:line="240" w:lineRule="auto"/>
      </w:pPr>
      <w:r w:rsidRPr="00791F2D">
        <w:t xml:space="preserve">In order to increase the usefulness of this research the relationship between the indicator species, indicator habitats and the state of ecosystems needs to be further elaborated. The approach developed has the potential to provide an insight into how far indicators on ecosystem state might be able to explain the delivery of ecosystem services – the question is whether specific species and habitats indicators are also good indicators for specific processes or specific ecosystems services. </w:t>
      </w:r>
    </w:p>
    <w:p w:rsidR="001C55F3" w:rsidRPr="00791F2D" w:rsidRDefault="001C55F3" w:rsidP="00622218">
      <w:pPr>
        <w:pStyle w:val="Paragraphedeliste"/>
        <w:numPr>
          <w:ilvl w:val="0"/>
          <w:numId w:val="91"/>
        </w:numPr>
        <w:spacing w:line="240" w:lineRule="auto"/>
      </w:pPr>
      <w:r w:rsidRPr="00791F2D">
        <w:t>Further review in discussions with ETC-BD and the EEA the representativeness of species listed on the Habitats Directive.  In Tucker &amp; Evans (1997) a specific approach was developed for the Birds directive – this might also be applied to the Habitats species and might need to be extended for EU27.</w:t>
      </w:r>
    </w:p>
    <w:p w:rsidR="001C55F3" w:rsidRPr="00791F2D" w:rsidRDefault="001C55F3" w:rsidP="00622218">
      <w:pPr>
        <w:pStyle w:val="Paragraphedeliste"/>
        <w:numPr>
          <w:ilvl w:val="0"/>
          <w:numId w:val="91"/>
        </w:numPr>
        <w:spacing w:line="240" w:lineRule="auto"/>
      </w:pPr>
      <w:r w:rsidRPr="00791F2D">
        <w:t>Minimum standards for data collection could be proposed at European level based on a feasibility assessment (of what is realistic but which will still meet the required standard).</w:t>
      </w:r>
    </w:p>
    <w:p w:rsidR="001C55F3" w:rsidRPr="00791F2D" w:rsidRDefault="001C55F3" w:rsidP="00622218">
      <w:pPr>
        <w:pStyle w:val="Paragraphedeliste"/>
        <w:numPr>
          <w:ilvl w:val="0"/>
          <w:numId w:val="91"/>
        </w:numPr>
        <w:spacing w:line="240" w:lineRule="auto"/>
      </w:pPr>
      <w:r w:rsidRPr="00791F2D">
        <w:t>In considering future policy, ensure that flexibility of approach is acknowledged in the provision of advice, guidance and/or regulation delivered to the Member States</w:t>
      </w:r>
    </w:p>
    <w:p w:rsidR="001C55F3" w:rsidRPr="00791F2D" w:rsidRDefault="001C55F3" w:rsidP="00622218">
      <w:pPr>
        <w:pStyle w:val="Paragraphedeliste"/>
        <w:numPr>
          <w:ilvl w:val="0"/>
          <w:numId w:val="91"/>
        </w:numPr>
        <w:spacing w:line="240" w:lineRule="auto"/>
      </w:pPr>
      <w:r w:rsidRPr="00791F2D">
        <w:t>Investigate the potential use of indicator species belonging to the following species groups could be feasible: birds, butterflies, mammals, reptiles and amphibians in order to assess the state of terrestrial ecosystems.</w:t>
      </w:r>
    </w:p>
    <w:p w:rsidR="001C55F3" w:rsidRPr="00791F2D" w:rsidRDefault="001C55F3" w:rsidP="001C55F3">
      <w:pPr>
        <w:spacing w:after="0" w:line="240" w:lineRule="auto"/>
        <w:rPr>
          <w:b/>
        </w:rPr>
      </w:pPr>
    </w:p>
    <w:p w:rsidR="001C55F3" w:rsidRDefault="001C55F3" w:rsidP="000E7623">
      <w:pPr>
        <w:autoSpaceDE w:val="0"/>
        <w:autoSpaceDN w:val="0"/>
        <w:adjustRightInd w:val="0"/>
        <w:spacing w:after="0" w:line="240" w:lineRule="auto"/>
      </w:pPr>
      <w:r w:rsidRPr="008A53DA">
        <w:rPr>
          <w:b/>
          <w:noProof/>
          <w:lang w:val="fr-BE" w:eastAsia="fr-BE"/>
        </w:rPr>
        <w:lastRenderedPageBreak/>
        <w:drawing>
          <wp:inline distT="0" distB="0" distL="0" distR="0">
            <wp:extent cx="4043519" cy="716280"/>
            <wp:effectExtent l="0" t="0" r="0" b="7620"/>
            <wp:docPr id="122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4066715" cy="720389"/>
                    </a:xfrm>
                    <a:prstGeom prst="rect">
                      <a:avLst/>
                    </a:prstGeom>
                    <a:noFill/>
                    <a:ln w="9525">
                      <a:noFill/>
                      <a:miter lim="800000"/>
                      <a:headEnd/>
                      <a:tailEnd/>
                    </a:ln>
                  </pic:spPr>
                </pic:pic>
              </a:graphicData>
            </a:graphic>
          </wp:inline>
        </w:drawing>
      </w:r>
    </w:p>
    <w:p w:rsidR="001C55F3" w:rsidRDefault="001C55F3" w:rsidP="00C874F5">
      <w:pPr>
        <w:autoSpaceDE w:val="0"/>
        <w:autoSpaceDN w:val="0"/>
        <w:adjustRightInd w:val="0"/>
        <w:spacing w:after="0" w:line="240" w:lineRule="auto"/>
        <w:rPr>
          <w:rFonts w:ascii="Times New Roman" w:hAnsi="Times New Roman" w:cs="Times New Roman"/>
          <w:b/>
          <w:bCs/>
          <w:sz w:val="28"/>
          <w:szCs w:val="28"/>
        </w:rPr>
      </w:pPr>
    </w:p>
    <w:p w:rsidR="001C55F3" w:rsidRDefault="001C55F3" w:rsidP="00C874F5">
      <w:pPr>
        <w:autoSpaceDE w:val="0"/>
        <w:autoSpaceDN w:val="0"/>
        <w:adjustRightInd w:val="0"/>
        <w:spacing w:after="0" w:line="240" w:lineRule="auto"/>
        <w:rPr>
          <w:rFonts w:ascii="Times New Roman" w:hAnsi="Times New Roman" w:cs="Times New Roman"/>
          <w:b/>
          <w:bCs/>
          <w:sz w:val="28"/>
          <w:szCs w:val="28"/>
        </w:rPr>
      </w:pPr>
    </w:p>
    <w:p w:rsidR="001C55F3" w:rsidRPr="00970638" w:rsidRDefault="001C55F3" w:rsidP="002667E5">
      <w:pPr>
        <w:autoSpaceDE w:val="0"/>
        <w:autoSpaceDN w:val="0"/>
        <w:adjustRightInd w:val="0"/>
        <w:spacing w:after="0" w:line="240" w:lineRule="auto"/>
      </w:pPr>
      <w:r w:rsidRPr="00970638">
        <w:rPr>
          <w:rFonts w:cstheme="minorHAnsi"/>
          <w:b/>
          <w:i/>
          <w:iCs/>
          <w:sz w:val="40"/>
          <w:szCs w:val="40"/>
        </w:rPr>
        <w:t xml:space="preserve">Mapping of </w:t>
      </w:r>
      <w:r>
        <w:rPr>
          <w:rFonts w:cstheme="minorHAnsi"/>
          <w:b/>
          <w:i/>
          <w:iCs/>
          <w:sz w:val="40"/>
          <w:szCs w:val="40"/>
        </w:rPr>
        <w:t>E</w:t>
      </w:r>
      <w:r w:rsidRPr="00970638">
        <w:rPr>
          <w:rFonts w:cstheme="minorHAnsi"/>
          <w:b/>
          <w:i/>
          <w:iCs/>
          <w:sz w:val="40"/>
          <w:szCs w:val="40"/>
        </w:rPr>
        <w:t xml:space="preserve">cosystems and their </w:t>
      </w:r>
      <w:r>
        <w:rPr>
          <w:rFonts w:cstheme="minorHAnsi"/>
          <w:b/>
          <w:i/>
          <w:iCs/>
          <w:sz w:val="40"/>
          <w:szCs w:val="40"/>
        </w:rPr>
        <w:t>S</w:t>
      </w:r>
      <w:r w:rsidRPr="00970638">
        <w:rPr>
          <w:rFonts w:cstheme="minorHAnsi"/>
          <w:b/>
          <w:i/>
          <w:iCs/>
          <w:sz w:val="40"/>
          <w:szCs w:val="40"/>
        </w:rPr>
        <w:t>ervices in the EU and its MemberStates</w:t>
      </w:r>
      <w:r>
        <w:rPr>
          <w:rFonts w:cstheme="minorHAnsi"/>
          <w:b/>
          <w:i/>
          <w:iCs/>
          <w:sz w:val="40"/>
          <w:szCs w:val="40"/>
        </w:rPr>
        <w:t xml:space="preserve"> (MESEU)</w:t>
      </w:r>
    </w:p>
    <w:p w:rsidR="001C55F3" w:rsidRPr="00970638" w:rsidRDefault="001C55F3"/>
    <w:p w:rsidR="001C55F3" w:rsidRPr="00970638" w:rsidRDefault="001C55F3">
      <w:pPr>
        <w:rPr>
          <w:b/>
          <w:sz w:val="28"/>
          <w:szCs w:val="28"/>
        </w:rPr>
      </w:pPr>
    </w:p>
    <w:p w:rsidR="001C55F3" w:rsidRPr="00970638" w:rsidRDefault="001C55F3" w:rsidP="00D02A89">
      <w:pPr>
        <w:autoSpaceDE w:val="0"/>
        <w:autoSpaceDN w:val="0"/>
        <w:adjustRightInd w:val="0"/>
        <w:spacing w:line="240" w:lineRule="auto"/>
        <w:rPr>
          <w:rFonts w:cstheme="minorHAnsi"/>
          <w:b/>
          <w:bCs/>
          <w:sz w:val="28"/>
          <w:szCs w:val="28"/>
        </w:rPr>
      </w:pPr>
      <w:r w:rsidRPr="00970638">
        <w:rPr>
          <w:rFonts w:cstheme="minorHAnsi"/>
          <w:b/>
          <w:bCs/>
          <w:sz w:val="28"/>
          <w:szCs w:val="28"/>
        </w:rPr>
        <w:t>ENV.B.2/SER/2012/0016</w:t>
      </w:r>
    </w:p>
    <w:p w:rsidR="001C55F3" w:rsidRPr="00970638" w:rsidRDefault="001C55F3">
      <w:pPr>
        <w:rPr>
          <w:b/>
          <w:sz w:val="28"/>
          <w:szCs w:val="28"/>
        </w:rPr>
      </w:pPr>
      <w:r>
        <w:rPr>
          <w:b/>
          <w:sz w:val="28"/>
          <w:szCs w:val="28"/>
        </w:rPr>
        <w:t>October 31, 2013</w:t>
      </w:r>
    </w:p>
    <w:p w:rsidR="001C55F3" w:rsidRDefault="001C55F3"/>
    <w:p w:rsidR="001C55F3" w:rsidRPr="00CA15EC" w:rsidRDefault="001C55F3" w:rsidP="001C55F3">
      <w:pPr>
        <w:shd w:val="clear" w:color="auto" w:fill="C6D9F1" w:themeFill="text2" w:themeFillTint="33"/>
        <w:rPr>
          <w:b/>
          <w:sz w:val="40"/>
          <w:szCs w:val="40"/>
        </w:rPr>
      </w:pPr>
      <w:r w:rsidRPr="00CA15EC">
        <w:rPr>
          <w:b/>
          <w:sz w:val="40"/>
          <w:szCs w:val="40"/>
        </w:rPr>
        <w:t>FINAL REPORT</w:t>
      </w:r>
    </w:p>
    <w:p w:rsidR="001C55F3" w:rsidRPr="00CA15EC" w:rsidRDefault="001C55F3" w:rsidP="001C55F3">
      <w:pPr>
        <w:shd w:val="clear" w:color="auto" w:fill="C6D9F1" w:themeFill="text2" w:themeFillTint="33"/>
        <w:rPr>
          <w:b/>
          <w:sz w:val="36"/>
          <w:szCs w:val="36"/>
        </w:rPr>
      </w:pPr>
      <w:r w:rsidRPr="00CA15EC">
        <w:rPr>
          <w:b/>
          <w:sz w:val="36"/>
          <w:szCs w:val="36"/>
        </w:rPr>
        <w:t>Part 4 :Task 3Gap analysis and recommendations</w:t>
      </w:r>
    </w:p>
    <w:p w:rsidR="001C55F3" w:rsidRPr="00970638" w:rsidRDefault="001C55F3"/>
    <w:p w:rsidR="001C55F3" w:rsidRPr="00970638" w:rsidRDefault="001C55F3"/>
    <w:p w:rsidR="001C55F3" w:rsidRPr="00970638" w:rsidRDefault="001C55F3">
      <w:pPr>
        <w:rPr>
          <w:b/>
        </w:rPr>
      </w:pPr>
      <w:r w:rsidRPr="00970638">
        <w:rPr>
          <w:b/>
          <w:noProof/>
          <w:lang w:val="fr-BE" w:eastAsia="fr-BE"/>
        </w:rPr>
        <w:drawing>
          <wp:inline distT="0" distB="0" distL="0" distR="0">
            <wp:extent cx="2698280" cy="477981"/>
            <wp:effectExtent l="0" t="0" r="6985" b="0"/>
            <wp:docPr id="123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2712954" cy="480580"/>
                    </a:xfrm>
                    <a:prstGeom prst="rect">
                      <a:avLst/>
                    </a:prstGeom>
                    <a:noFill/>
                    <a:ln w="9525">
                      <a:noFill/>
                      <a:miter lim="800000"/>
                      <a:headEnd/>
                      <a:tailEnd/>
                    </a:ln>
                  </pic:spPr>
                </pic:pic>
              </a:graphicData>
            </a:graphic>
          </wp:inline>
        </w:drawing>
      </w:r>
      <w:r w:rsidRPr="00970638">
        <w:rPr>
          <w:b/>
        </w:rPr>
        <w:tab/>
      </w:r>
      <w:r w:rsidRPr="00970638">
        <w:rPr>
          <w:b/>
        </w:rPr>
        <w:tab/>
      </w:r>
    </w:p>
    <w:p w:rsidR="001C55F3" w:rsidRPr="00970638" w:rsidRDefault="001C55F3">
      <w:pPr>
        <w:rPr>
          <w:b/>
        </w:rPr>
      </w:pPr>
    </w:p>
    <w:p w:rsidR="001C55F3" w:rsidRPr="00970638" w:rsidRDefault="001C55F3" w:rsidP="00051234">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2502435" cy="540327"/>
            <wp:effectExtent l="0" t="0" r="0" b="0"/>
            <wp:docPr id="123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2" name="Picture 13"/>
                    <pic:cNvPicPr>
                      <a:picLocks noChangeAspect="1" noChangeArrowheads="1"/>
                    </pic:cNvPicPr>
                  </pic:nvPicPr>
                  <pic:blipFill>
                    <a:blip r:embed="rId9"/>
                    <a:srcRect/>
                    <a:stretch>
                      <a:fillRect/>
                    </a:stretch>
                  </pic:blipFill>
                  <pic:spPr bwMode="auto">
                    <a:xfrm>
                      <a:off x="0" y="0"/>
                      <a:ext cx="2501867" cy="540204"/>
                    </a:xfrm>
                    <a:prstGeom prst="rect">
                      <a:avLst/>
                    </a:prstGeom>
                    <a:noFill/>
                    <a:ln w="9525">
                      <a:noFill/>
                      <a:miter lim="800000"/>
                      <a:headEnd/>
                      <a:tailEnd/>
                    </a:ln>
                  </pic:spPr>
                </pic:pic>
              </a:graphicData>
            </a:graphic>
          </wp:inline>
        </w:drawing>
      </w:r>
      <w:r w:rsidRPr="00970638">
        <w:rPr>
          <w:b/>
        </w:rPr>
        <w:tab/>
      </w:r>
      <w:r w:rsidRPr="00970638">
        <w:rPr>
          <w:b/>
        </w:rPr>
        <w:tab/>
      </w:r>
      <w:r w:rsidRPr="00970638">
        <w:rPr>
          <w:b/>
          <w:noProof/>
          <w:lang w:val="fr-BE" w:eastAsia="fr-BE"/>
        </w:rPr>
        <w:drawing>
          <wp:inline distT="0" distB="0" distL="0" distR="0">
            <wp:extent cx="1794164" cy="666969"/>
            <wp:effectExtent l="0" t="0" r="0" b="0"/>
            <wp:docPr id="12302" name="Picture 25" descr="ECNC good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 name="Picture 25" descr="ECNC good quality"/>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5643" cy="667519"/>
                    </a:xfrm>
                    <a:prstGeom prst="rect">
                      <a:avLst/>
                    </a:prstGeom>
                    <a:noFill/>
                    <a:ln>
                      <a:noFill/>
                    </a:ln>
                    <a:extLst/>
                  </pic:spPr>
                </pic:pic>
              </a:graphicData>
            </a:graphic>
          </wp:inline>
        </w:drawing>
      </w:r>
      <w:r w:rsidRPr="00970638">
        <w:rPr>
          <w:b/>
        </w:rPr>
        <w:tab/>
      </w:r>
    </w:p>
    <w:p w:rsidR="001C55F3" w:rsidRPr="00970638" w:rsidRDefault="001C55F3" w:rsidP="00051234">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sz w:val="28"/>
          <w:szCs w:val="28"/>
          <w:lang w:val="fr-BE" w:eastAsia="fr-BE"/>
        </w:rPr>
        <w:drawing>
          <wp:inline distT="0" distB="0" distL="0" distR="0">
            <wp:extent cx="1593657" cy="403860"/>
            <wp:effectExtent l="0" t="0" r="6985" b="0"/>
            <wp:docPr id="123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_logo_black.tif"/>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93657" cy="403860"/>
                    </a:xfrm>
                    <a:prstGeom prst="rect">
                      <a:avLst/>
                    </a:prstGeom>
                  </pic:spPr>
                </pic:pic>
              </a:graphicData>
            </a:graphic>
          </wp:inline>
        </w:drawing>
      </w:r>
      <w:r w:rsidRPr="00970638">
        <w:rPr>
          <w:b/>
          <w:noProof/>
          <w:lang w:val="fr-BE" w:eastAsia="fr-BE"/>
        </w:rPr>
        <w:drawing>
          <wp:inline distT="0" distB="0" distL="0" distR="0">
            <wp:extent cx="852055" cy="769830"/>
            <wp:effectExtent l="0" t="0" r="5715" b="0"/>
            <wp:docPr id="12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1961" cy="769745"/>
                    </a:xfrm>
                    <a:prstGeom prst="rect">
                      <a:avLst/>
                    </a:prstGeom>
                    <a:noFill/>
                    <a:ln>
                      <a:noFill/>
                    </a:ln>
                  </pic:spPr>
                </pic:pic>
              </a:graphicData>
            </a:graphic>
          </wp:inline>
        </w:drawing>
      </w:r>
      <w:r w:rsidRPr="00970638">
        <w:rPr>
          <w:b/>
          <w:sz w:val="40"/>
          <w:szCs w:val="40"/>
        </w:rPr>
        <w:tab/>
      </w:r>
      <w:r w:rsidRPr="00970638">
        <w:rPr>
          <w:b/>
          <w:sz w:val="40"/>
          <w:szCs w:val="40"/>
        </w:rPr>
        <w:tab/>
      </w:r>
      <w:r w:rsidRPr="00970638">
        <w:rPr>
          <w:b/>
          <w:noProof/>
          <w:lang w:val="fr-BE" w:eastAsia="fr-BE"/>
        </w:rPr>
        <w:drawing>
          <wp:inline distT="0" distB="0" distL="0" distR="0">
            <wp:extent cx="2030442" cy="698018"/>
            <wp:effectExtent l="0" t="0" r="8255" b="6985"/>
            <wp:docPr id="1230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nbo.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9036" cy="697535"/>
                    </a:xfrm>
                    <a:prstGeom prst="rect">
                      <a:avLst/>
                    </a:prstGeom>
                  </pic:spPr>
                </pic:pic>
              </a:graphicData>
            </a:graphic>
          </wp:inline>
        </w:drawing>
      </w:r>
    </w:p>
    <w:p w:rsidR="001C55F3" w:rsidRPr="00970638" w:rsidRDefault="001C55F3" w:rsidP="00051234">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1216365" cy="748532"/>
            <wp:effectExtent l="0" t="0" r="3175" b="0"/>
            <wp:docPr id="123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AM.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6365" cy="748532"/>
                    </a:xfrm>
                    <a:prstGeom prst="rect">
                      <a:avLst/>
                    </a:prstGeom>
                  </pic:spPr>
                </pic:pic>
              </a:graphicData>
            </a:graphic>
          </wp:inline>
        </w:drawing>
      </w:r>
      <w:r w:rsidRPr="00970638">
        <w:rPr>
          <w:b/>
        </w:rPr>
        <w:tab/>
      </w:r>
      <w:r w:rsidRPr="00970638">
        <w:rPr>
          <w:b/>
        </w:rPr>
        <w:tab/>
      </w:r>
      <w:r w:rsidRPr="00970638">
        <w:rPr>
          <w:b/>
        </w:rPr>
        <w:tab/>
      </w:r>
      <w:r w:rsidRPr="00970638">
        <w:rPr>
          <w:b/>
        </w:rPr>
        <w:tab/>
      </w:r>
      <w:r w:rsidRPr="00970638">
        <w:rPr>
          <w:b/>
        </w:rPr>
        <w:tab/>
      </w:r>
      <w:r w:rsidRPr="00970638">
        <w:rPr>
          <w:b/>
          <w:noProof/>
          <w:lang w:val="fr-BE" w:eastAsia="fr-BE"/>
        </w:rPr>
        <w:drawing>
          <wp:inline distT="0" distB="0" distL="0" distR="0">
            <wp:extent cx="2477537" cy="462357"/>
            <wp:effectExtent l="19050" t="0" r="0" b="0"/>
            <wp:docPr id="12307" name="Bild 1" descr="yyUBA_logo_2010.gif"/>
            <wp:cNvGraphicFramePr/>
            <a:graphic xmlns:a="http://schemas.openxmlformats.org/drawingml/2006/main">
              <a:graphicData uri="http://schemas.openxmlformats.org/drawingml/2006/picture">
                <pic:pic xmlns:pic="http://schemas.openxmlformats.org/drawingml/2006/picture">
                  <pic:nvPicPr>
                    <pic:cNvPr id="31" name="Grafik 30" descr="yyUBA_logo_2010.gif"/>
                    <pic:cNvPicPr>
                      <a:picLocks noChangeAspect="1"/>
                    </pic:cNvPicPr>
                  </pic:nvPicPr>
                  <pic:blipFill>
                    <a:blip r:embed="rId15" cstate="screen"/>
                    <a:stretch>
                      <a:fillRect/>
                    </a:stretch>
                  </pic:blipFill>
                  <pic:spPr>
                    <a:xfrm>
                      <a:off x="0" y="0"/>
                      <a:ext cx="2477537" cy="462357"/>
                    </a:xfrm>
                    <a:prstGeom prst="rect">
                      <a:avLst/>
                    </a:prstGeom>
                    <a:solidFill>
                      <a:schemeClr val="bg1"/>
                    </a:solidFill>
                  </pic:spPr>
                </pic:pic>
              </a:graphicData>
            </a:graphic>
          </wp:inline>
        </w:drawing>
      </w:r>
    </w:p>
    <w:p w:rsidR="001C55F3" w:rsidRPr="00970638" w:rsidRDefault="001C55F3">
      <w:pPr>
        <w:rPr>
          <w:sz w:val="28"/>
          <w:szCs w:val="28"/>
        </w:rPr>
      </w:pPr>
      <w:r w:rsidRPr="00970638">
        <w:rPr>
          <w:sz w:val="28"/>
          <w:szCs w:val="28"/>
        </w:rPr>
        <w:lastRenderedPageBreak/>
        <w:t xml:space="preserve">This </w:t>
      </w:r>
      <w:r>
        <w:rPr>
          <w:sz w:val="28"/>
          <w:szCs w:val="28"/>
        </w:rPr>
        <w:t>Final</w:t>
      </w:r>
      <w:r w:rsidRPr="00970638">
        <w:rPr>
          <w:sz w:val="28"/>
          <w:szCs w:val="28"/>
        </w:rPr>
        <w:t xml:space="preserve"> Report is submitted by:</w:t>
      </w:r>
    </w:p>
    <w:p w:rsidR="001C55F3" w:rsidRPr="00970638" w:rsidRDefault="001C55F3">
      <w:pPr>
        <w:rPr>
          <w:b/>
          <w:sz w:val="28"/>
          <w:szCs w:val="28"/>
        </w:rPr>
      </w:pPr>
      <w:r w:rsidRPr="00970638">
        <w:rPr>
          <w:b/>
          <w:sz w:val="28"/>
          <w:szCs w:val="28"/>
        </w:rPr>
        <w:t>Alterra,</w:t>
      </w:r>
    </w:p>
    <w:p w:rsidR="001C55F3" w:rsidRPr="00970638" w:rsidRDefault="001C55F3">
      <w:pPr>
        <w:rPr>
          <w:b/>
          <w:sz w:val="28"/>
          <w:szCs w:val="28"/>
        </w:rPr>
      </w:pPr>
      <w:r w:rsidRPr="00970638">
        <w:rPr>
          <w:b/>
          <w:sz w:val="28"/>
          <w:szCs w:val="28"/>
        </w:rPr>
        <w:t>Institute within the legal entity of StichtingDLO</w:t>
      </w:r>
    </w:p>
    <w:p w:rsidR="001C55F3" w:rsidRPr="00970638" w:rsidRDefault="001C55F3" w:rsidP="0014680A">
      <w:pPr>
        <w:spacing w:after="0" w:line="240" w:lineRule="auto"/>
        <w:rPr>
          <w:b/>
          <w:sz w:val="28"/>
          <w:szCs w:val="28"/>
        </w:rPr>
      </w:pPr>
      <w:r w:rsidRPr="00970638">
        <w:rPr>
          <w:b/>
          <w:sz w:val="28"/>
          <w:szCs w:val="28"/>
        </w:rPr>
        <w:t>P.O. Box 47</w:t>
      </w:r>
    </w:p>
    <w:p w:rsidR="001C55F3" w:rsidRPr="00970638" w:rsidRDefault="001C55F3" w:rsidP="0014680A">
      <w:pPr>
        <w:spacing w:after="0" w:line="240" w:lineRule="auto"/>
        <w:rPr>
          <w:b/>
          <w:sz w:val="28"/>
          <w:szCs w:val="28"/>
        </w:rPr>
      </w:pPr>
      <w:r w:rsidRPr="00970638">
        <w:rPr>
          <w:b/>
          <w:sz w:val="28"/>
          <w:szCs w:val="28"/>
        </w:rPr>
        <w:t>6700 AA, Wageningen</w:t>
      </w:r>
    </w:p>
    <w:p w:rsidR="001C55F3" w:rsidRPr="00970638" w:rsidRDefault="001C55F3" w:rsidP="0014680A">
      <w:pPr>
        <w:spacing w:after="0" w:line="240" w:lineRule="auto"/>
        <w:rPr>
          <w:b/>
          <w:sz w:val="28"/>
          <w:szCs w:val="28"/>
        </w:rPr>
      </w:pPr>
      <w:r w:rsidRPr="00970638">
        <w:rPr>
          <w:b/>
          <w:sz w:val="28"/>
          <w:szCs w:val="28"/>
        </w:rPr>
        <w:t>The Netherlands</w:t>
      </w:r>
    </w:p>
    <w:p w:rsidR="001C55F3" w:rsidRPr="00970638"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r w:rsidRPr="00970638">
        <w:rPr>
          <w:b/>
          <w:sz w:val="28"/>
          <w:szCs w:val="28"/>
        </w:rPr>
        <w:t>Building 100+101</w:t>
      </w:r>
    </w:p>
    <w:p w:rsidR="001C55F3" w:rsidRPr="00970638" w:rsidRDefault="001C55F3" w:rsidP="0014680A">
      <w:pPr>
        <w:spacing w:after="0" w:line="240" w:lineRule="auto"/>
        <w:rPr>
          <w:b/>
          <w:sz w:val="28"/>
          <w:szCs w:val="28"/>
        </w:rPr>
      </w:pPr>
      <w:r w:rsidRPr="00970638">
        <w:rPr>
          <w:b/>
          <w:sz w:val="28"/>
          <w:szCs w:val="28"/>
        </w:rPr>
        <w:t>Droevendaalsesteeg 3</w:t>
      </w:r>
    </w:p>
    <w:p w:rsidR="001C55F3" w:rsidRPr="00970638" w:rsidRDefault="001C55F3" w:rsidP="0014680A">
      <w:pPr>
        <w:spacing w:after="0" w:line="240" w:lineRule="auto"/>
        <w:rPr>
          <w:b/>
          <w:sz w:val="28"/>
          <w:szCs w:val="28"/>
        </w:rPr>
      </w:pPr>
      <w:r w:rsidRPr="00970638">
        <w:rPr>
          <w:b/>
          <w:sz w:val="28"/>
          <w:szCs w:val="28"/>
        </w:rPr>
        <w:t>6708 PB, Wageningen</w:t>
      </w:r>
    </w:p>
    <w:p w:rsidR="001C55F3" w:rsidRPr="00970638" w:rsidRDefault="001C55F3" w:rsidP="0014680A">
      <w:pPr>
        <w:spacing w:after="0" w:line="240" w:lineRule="auto"/>
        <w:rPr>
          <w:b/>
          <w:sz w:val="28"/>
          <w:szCs w:val="28"/>
        </w:rPr>
      </w:pPr>
      <w:r w:rsidRPr="00970638">
        <w:rPr>
          <w:b/>
          <w:sz w:val="28"/>
          <w:szCs w:val="28"/>
        </w:rPr>
        <w:t>The Netherlands</w:t>
      </w:r>
    </w:p>
    <w:p w:rsidR="001C55F3" w:rsidRPr="00970638"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p>
    <w:p w:rsidR="001C55F3" w:rsidRDefault="001C55F3" w:rsidP="0014680A">
      <w:pPr>
        <w:spacing w:after="0" w:line="240" w:lineRule="auto"/>
        <w:rPr>
          <w:b/>
          <w:sz w:val="28"/>
          <w:szCs w:val="28"/>
        </w:rPr>
      </w:pPr>
      <w:r>
        <w:rPr>
          <w:b/>
          <w:sz w:val="28"/>
          <w:szCs w:val="28"/>
        </w:rPr>
        <w:t>Authors:</w:t>
      </w:r>
    </w:p>
    <w:p w:rsidR="001C55F3" w:rsidRPr="00A50AE2" w:rsidRDefault="001C55F3" w:rsidP="0014680A">
      <w:pPr>
        <w:spacing w:after="0" w:line="240" w:lineRule="auto"/>
        <w:rPr>
          <w:b/>
          <w:sz w:val="24"/>
          <w:szCs w:val="24"/>
        </w:rPr>
      </w:pPr>
      <w:r w:rsidRPr="00A50AE2">
        <w:rPr>
          <w:b/>
          <w:sz w:val="24"/>
          <w:szCs w:val="24"/>
        </w:rPr>
        <w:t>L.C. Braat, M. Perez-Soba, I. Bouwma, C. Klok</w:t>
      </w:r>
      <w:r>
        <w:rPr>
          <w:b/>
          <w:sz w:val="24"/>
          <w:szCs w:val="24"/>
        </w:rPr>
        <w:t xml:space="preserve">, </w:t>
      </w:r>
      <w:r w:rsidRPr="00A50AE2">
        <w:rPr>
          <w:b/>
          <w:sz w:val="24"/>
          <w:szCs w:val="24"/>
        </w:rPr>
        <w:t>P. Scholefield (CEH), F. Santos-Martin (UAM), T. van Daele (INBO), N. Dendoncker (FUND P), F. Boeraeve (UUtrecht/Alterra), J. Peterseil, M. Weiss (EAA), A. Gr</w:t>
      </w:r>
      <w:r>
        <w:rPr>
          <w:b/>
          <w:sz w:val="24"/>
          <w:szCs w:val="24"/>
        </w:rPr>
        <w:t>ê</w:t>
      </w:r>
      <w:r w:rsidRPr="00A50AE2">
        <w:rPr>
          <w:b/>
          <w:sz w:val="24"/>
          <w:szCs w:val="24"/>
        </w:rPr>
        <w:t>t-Regamy, B. Weibel (ETH-Zurich), A. Torre-Marin (ECNC)</w:t>
      </w:r>
    </w:p>
    <w:p w:rsidR="001C55F3" w:rsidRDefault="001C55F3" w:rsidP="0014680A">
      <w:pPr>
        <w:spacing w:after="0" w:line="240" w:lineRule="auto"/>
        <w:rPr>
          <w:b/>
          <w:sz w:val="28"/>
          <w:szCs w:val="28"/>
        </w:rPr>
      </w:pPr>
    </w:p>
    <w:p w:rsidR="001C55F3" w:rsidRDefault="001C55F3" w:rsidP="0014680A">
      <w:pPr>
        <w:spacing w:after="0" w:line="240" w:lineRule="auto"/>
        <w:rPr>
          <w:b/>
          <w:sz w:val="28"/>
          <w:szCs w:val="28"/>
        </w:rPr>
      </w:pPr>
      <w:r>
        <w:rPr>
          <w:b/>
          <w:sz w:val="28"/>
          <w:szCs w:val="28"/>
        </w:rPr>
        <w:t>Contributions in the Workshop (in addition to the authors):</w:t>
      </w:r>
    </w:p>
    <w:p w:rsidR="001C55F3" w:rsidRPr="00A50AE2" w:rsidRDefault="001C55F3" w:rsidP="00A50AE2">
      <w:pPr>
        <w:pStyle w:val="En-tte"/>
        <w:rPr>
          <w:rFonts w:ascii="Calibri" w:hAnsi="Calibri"/>
          <w:b/>
          <w:sz w:val="24"/>
          <w:szCs w:val="24"/>
          <w:lang w:val="en-US"/>
        </w:rPr>
      </w:pPr>
      <w:r w:rsidRPr="00A50AE2">
        <w:rPr>
          <w:rFonts w:ascii="Calibri" w:hAnsi="Calibri"/>
          <w:b/>
          <w:sz w:val="24"/>
          <w:szCs w:val="24"/>
          <w:lang w:val="en-US"/>
        </w:rPr>
        <w:t>Marco Fritz, Anne Teller, Patrick Murphy, ChristovStrahil, Elena Vercillo, Josiane Masson, Joachim Maes, Markus Erhard, AndrezjMizgaj, LeenaKopperoinen, Sandra Lavorel, Riccardo Simoncini, Jiska Van Dijk, Gebhard Banko, Mark Snethlage,</w:t>
      </w:r>
      <w:r w:rsidRPr="0078140F">
        <w:rPr>
          <w:rStyle w:val="Lienhypertexte"/>
          <w:rFonts w:ascii="Calibri" w:hAnsi="Calibri"/>
          <w:b/>
          <w:color w:val="auto"/>
          <w:sz w:val="24"/>
          <w:szCs w:val="24"/>
          <w:u w:val="none"/>
          <w:lang w:val="en-US"/>
        </w:rPr>
        <w:t>Lawrence</w:t>
      </w:r>
      <w:r w:rsidRPr="00A50AE2">
        <w:rPr>
          <w:rStyle w:val="g2"/>
          <w:rFonts w:ascii="Calibri" w:hAnsi="Calibri"/>
          <w:b/>
          <w:sz w:val="24"/>
          <w:szCs w:val="24"/>
          <w:lang w:val="en-US"/>
        </w:rPr>
        <w:t>Jones-Walters,</w:t>
      </w:r>
      <w:r w:rsidRPr="00A50AE2">
        <w:rPr>
          <w:rFonts w:ascii="Calibri" w:hAnsi="Calibri"/>
          <w:b/>
          <w:sz w:val="24"/>
          <w:szCs w:val="24"/>
          <w:lang w:val="en-US"/>
        </w:rPr>
        <w:t xml:space="preserve"> Johan Lammerant</w:t>
      </w:r>
    </w:p>
    <w:p w:rsidR="001C55F3" w:rsidRPr="0078140F" w:rsidRDefault="001C55F3" w:rsidP="0014680A">
      <w:pPr>
        <w:spacing w:after="0" w:line="240" w:lineRule="auto"/>
        <w:rPr>
          <w:b/>
          <w:sz w:val="28"/>
          <w:szCs w:val="28"/>
          <w:lang w:val="en-US"/>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A50AE2"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r w:rsidRPr="00970638">
        <w:rPr>
          <w:b/>
          <w:sz w:val="28"/>
          <w:szCs w:val="28"/>
        </w:rPr>
        <w:t>Contact person:</w:t>
      </w:r>
    </w:p>
    <w:p w:rsidR="001C55F3" w:rsidRPr="00970638"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r w:rsidRPr="00970638">
        <w:rPr>
          <w:b/>
          <w:sz w:val="28"/>
          <w:szCs w:val="28"/>
        </w:rPr>
        <w:t>Dr. Leon C. Braat</w:t>
      </w:r>
    </w:p>
    <w:p w:rsidR="001C55F3" w:rsidRPr="00970638" w:rsidRDefault="001C55F3" w:rsidP="0014680A">
      <w:pPr>
        <w:spacing w:after="0" w:line="240" w:lineRule="auto"/>
        <w:rPr>
          <w:b/>
          <w:sz w:val="28"/>
          <w:szCs w:val="28"/>
        </w:rPr>
      </w:pPr>
    </w:p>
    <w:p w:rsidR="001C55F3" w:rsidRPr="00970638" w:rsidRDefault="001C55F3" w:rsidP="0014680A">
      <w:pPr>
        <w:spacing w:after="0" w:line="240" w:lineRule="auto"/>
        <w:rPr>
          <w:b/>
          <w:sz w:val="28"/>
          <w:szCs w:val="28"/>
        </w:rPr>
      </w:pPr>
      <w:r w:rsidRPr="00970638">
        <w:rPr>
          <w:b/>
          <w:sz w:val="28"/>
          <w:szCs w:val="28"/>
        </w:rPr>
        <w:t xml:space="preserve">Telephone: </w:t>
      </w:r>
      <w:r w:rsidRPr="00970638">
        <w:rPr>
          <w:b/>
          <w:sz w:val="28"/>
          <w:szCs w:val="28"/>
        </w:rPr>
        <w:tab/>
      </w:r>
      <w:r w:rsidRPr="00970638">
        <w:rPr>
          <w:b/>
          <w:sz w:val="28"/>
          <w:szCs w:val="28"/>
        </w:rPr>
        <w:tab/>
        <w:t>+31 317 486473</w:t>
      </w:r>
    </w:p>
    <w:p w:rsidR="001C55F3" w:rsidRPr="00A80D6D" w:rsidRDefault="001C55F3" w:rsidP="0014680A">
      <w:pPr>
        <w:spacing w:after="0" w:line="240" w:lineRule="auto"/>
        <w:rPr>
          <w:b/>
          <w:sz w:val="28"/>
          <w:szCs w:val="28"/>
        </w:rPr>
      </w:pPr>
      <w:r w:rsidRPr="00A80D6D">
        <w:rPr>
          <w:b/>
          <w:sz w:val="28"/>
          <w:szCs w:val="28"/>
        </w:rPr>
        <w:t>Mobile phone:</w:t>
      </w:r>
      <w:r w:rsidRPr="00A80D6D">
        <w:rPr>
          <w:b/>
          <w:sz w:val="28"/>
          <w:szCs w:val="28"/>
        </w:rPr>
        <w:tab/>
        <w:t>+31 6 18079112</w:t>
      </w:r>
    </w:p>
    <w:p w:rsidR="001C55F3" w:rsidRPr="00A80D6D" w:rsidRDefault="001C55F3" w:rsidP="0014680A">
      <w:pPr>
        <w:spacing w:after="0" w:line="240" w:lineRule="auto"/>
        <w:rPr>
          <w:b/>
          <w:sz w:val="28"/>
          <w:szCs w:val="28"/>
        </w:rPr>
      </w:pPr>
      <w:r w:rsidRPr="00A80D6D">
        <w:rPr>
          <w:b/>
          <w:sz w:val="28"/>
          <w:szCs w:val="28"/>
        </w:rPr>
        <w:t>Fax:</w:t>
      </w:r>
      <w:r w:rsidRPr="00A80D6D">
        <w:rPr>
          <w:b/>
          <w:sz w:val="28"/>
          <w:szCs w:val="28"/>
        </w:rPr>
        <w:tab/>
      </w:r>
      <w:r w:rsidRPr="00A80D6D">
        <w:rPr>
          <w:b/>
          <w:sz w:val="28"/>
          <w:szCs w:val="28"/>
        </w:rPr>
        <w:tab/>
      </w:r>
      <w:r w:rsidRPr="00A80D6D">
        <w:rPr>
          <w:b/>
          <w:sz w:val="28"/>
          <w:szCs w:val="28"/>
        </w:rPr>
        <w:tab/>
        <w:t>+31 317 419000</w:t>
      </w:r>
    </w:p>
    <w:p w:rsidR="001C55F3" w:rsidRPr="00A80D6D" w:rsidRDefault="001C55F3" w:rsidP="0014680A">
      <w:pPr>
        <w:spacing w:after="0" w:line="240" w:lineRule="auto"/>
        <w:rPr>
          <w:b/>
          <w:sz w:val="28"/>
          <w:szCs w:val="28"/>
        </w:rPr>
      </w:pPr>
      <w:r w:rsidRPr="00A80D6D">
        <w:rPr>
          <w:b/>
          <w:sz w:val="28"/>
          <w:szCs w:val="28"/>
        </w:rPr>
        <w:t>E-mail:</w:t>
      </w:r>
      <w:r w:rsidRPr="00A80D6D">
        <w:rPr>
          <w:b/>
          <w:sz w:val="28"/>
          <w:szCs w:val="28"/>
        </w:rPr>
        <w:tab/>
      </w:r>
      <w:r w:rsidRPr="00A80D6D">
        <w:rPr>
          <w:b/>
          <w:sz w:val="28"/>
          <w:szCs w:val="28"/>
        </w:rPr>
        <w:tab/>
        <w:t xml:space="preserve">leon.braat@wur.nl </w:t>
      </w:r>
      <w:r w:rsidRPr="00A80D6D">
        <w:rPr>
          <w:b/>
          <w:sz w:val="28"/>
          <w:szCs w:val="28"/>
        </w:rPr>
        <w:br w:type="page"/>
      </w:r>
    </w:p>
    <w:p w:rsidR="001C55F3" w:rsidRPr="00B22628" w:rsidRDefault="001C55F3" w:rsidP="001C55F3">
      <w:pPr>
        <w:tabs>
          <w:tab w:val="left" w:pos="709"/>
          <w:tab w:val="left" w:pos="8505"/>
        </w:tabs>
        <w:rPr>
          <w:b/>
          <w:sz w:val="40"/>
          <w:szCs w:val="40"/>
        </w:rPr>
      </w:pPr>
      <w:r w:rsidRPr="00B22628">
        <w:rPr>
          <w:b/>
          <w:sz w:val="40"/>
          <w:szCs w:val="40"/>
        </w:rPr>
        <w:lastRenderedPageBreak/>
        <w:t>TABLE OF CONTENTS</w:t>
      </w:r>
    </w:p>
    <w:p w:rsidR="001C55F3" w:rsidRPr="00223764" w:rsidRDefault="001C55F3" w:rsidP="00622218">
      <w:pPr>
        <w:pStyle w:val="Titre1"/>
        <w:numPr>
          <w:ilvl w:val="0"/>
          <w:numId w:val="20"/>
        </w:numPr>
        <w:tabs>
          <w:tab w:val="left" w:pos="709"/>
          <w:tab w:val="left" w:pos="8505"/>
        </w:tabs>
        <w:spacing w:before="0" w:line="240" w:lineRule="auto"/>
        <w:ind w:hanging="720"/>
        <w:rPr>
          <w:color w:val="auto"/>
        </w:rPr>
      </w:pPr>
      <w:r w:rsidRPr="00223764">
        <w:rPr>
          <w:color w:val="auto"/>
        </w:rPr>
        <w:t>T</w:t>
      </w:r>
      <w:r>
        <w:rPr>
          <w:color w:val="auto"/>
        </w:rPr>
        <w:t>ASK</w:t>
      </w:r>
      <w:r w:rsidRPr="00223764">
        <w:rPr>
          <w:color w:val="auto"/>
        </w:rPr>
        <w:t xml:space="preserve"> 3: </w:t>
      </w:r>
      <w:r>
        <w:rPr>
          <w:color w:val="auto"/>
        </w:rPr>
        <w:t>GAP ANALYSIS AND RECOMMENDATIONS</w:t>
      </w:r>
      <w:r>
        <w:rPr>
          <w:color w:val="auto"/>
        </w:rPr>
        <w:tab/>
        <w:t>4</w:t>
      </w:r>
    </w:p>
    <w:p w:rsidR="001C55F3" w:rsidRPr="0049691D" w:rsidRDefault="001C55F3" w:rsidP="001C55F3">
      <w:pPr>
        <w:pStyle w:val="Titre1"/>
        <w:tabs>
          <w:tab w:val="left" w:pos="709"/>
          <w:tab w:val="left" w:pos="8505"/>
        </w:tabs>
        <w:spacing w:before="0" w:line="240" w:lineRule="auto"/>
        <w:ind w:left="720"/>
        <w:rPr>
          <w:color w:val="auto"/>
        </w:rPr>
      </w:pPr>
    </w:p>
    <w:p w:rsidR="001C55F3" w:rsidRPr="00223764" w:rsidRDefault="001C55F3" w:rsidP="00622218">
      <w:pPr>
        <w:pStyle w:val="Titre1"/>
        <w:numPr>
          <w:ilvl w:val="0"/>
          <w:numId w:val="20"/>
        </w:numPr>
        <w:tabs>
          <w:tab w:val="left" w:pos="709"/>
          <w:tab w:val="left" w:pos="8505"/>
        </w:tabs>
        <w:spacing w:before="0" w:line="240" w:lineRule="auto"/>
        <w:ind w:hanging="720"/>
        <w:rPr>
          <w:color w:val="auto"/>
          <w:lang w:eastAsia="en-GB"/>
        </w:rPr>
      </w:pPr>
      <w:r w:rsidRPr="00223764">
        <w:rPr>
          <w:color w:val="auto"/>
          <w:lang w:eastAsia="en-GB"/>
        </w:rPr>
        <w:t xml:space="preserve">RESULTS </w:t>
      </w:r>
      <w:r>
        <w:rPr>
          <w:color w:val="auto"/>
          <w:lang w:eastAsia="en-GB"/>
        </w:rPr>
        <w:tab/>
        <w:t>5</w:t>
      </w:r>
    </w:p>
    <w:p w:rsidR="001C55F3" w:rsidRPr="00223764" w:rsidRDefault="001C55F3" w:rsidP="001C55F3">
      <w:pPr>
        <w:pStyle w:val="Titre2"/>
        <w:tabs>
          <w:tab w:val="left" w:pos="709"/>
          <w:tab w:val="left" w:pos="8505"/>
        </w:tabs>
        <w:spacing w:before="0" w:line="240" w:lineRule="auto"/>
        <w:rPr>
          <w:color w:val="auto"/>
          <w:sz w:val="28"/>
          <w:szCs w:val="28"/>
          <w:lang w:eastAsia="en-GB"/>
        </w:rPr>
      </w:pPr>
    </w:p>
    <w:p w:rsidR="001C55F3" w:rsidRDefault="001C55F3" w:rsidP="001C55F3">
      <w:pPr>
        <w:pStyle w:val="Titre2"/>
        <w:tabs>
          <w:tab w:val="left" w:pos="709"/>
          <w:tab w:val="left" w:pos="8505"/>
        </w:tabs>
        <w:spacing w:before="0" w:line="240" w:lineRule="auto"/>
        <w:rPr>
          <w:color w:val="auto"/>
          <w:sz w:val="28"/>
          <w:szCs w:val="28"/>
          <w:lang w:eastAsia="en-GB"/>
        </w:rPr>
      </w:pPr>
      <w:r w:rsidRPr="00223764">
        <w:rPr>
          <w:color w:val="auto"/>
          <w:sz w:val="28"/>
          <w:szCs w:val="28"/>
          <w:lang w:eastAsia="en-GB"/>
        </w:rPr>
        <w:t>2.1</w:t>
      </w:r>
      <w:r w:rsidRPr="00223764">
        <w:rPr>
          <w:color w:val="auto"/>
          <w:sz w:val="28"/>
          <w:szCs w:val="28"/>
          <w:lang w:eastAsia="en-GB"/>
        </w:rPr>
        <w:tab/>
        <w:t>Introduction</w:t>
      </w:r>
      <w:r>
        <w:rPr>
          <w:color w:val="auto"/>
          <w:sz w:val="28"/>
          <w:szCs w:val="28"/>
          <w:lang w:eastAsia="en-GB"/>
        </w:rPr>
        <w:tab/>
        <w:t>5</w:t>
      </w:r>
    </w:p>
    <w:p w:rsidR="001C55F3" w:rsidRDefault="001C55F3" w:rsidP="001C55F3">
      <w:pPr>
        <w:pStyle w:val="Titre2"/>
        <w:tabs>
          <w:tab w:val="left" w:pos="709"/>
          <w:tab w:val="left" w:pos="8505"/>
        </w:tabs>
        <w:spacing w:before="0" w:line="240" w:lineRule="auto"/>
        <w:ind w:left="709" w:hanging="709"/>
        <w:rPr>
          <w:color w:val="auto"/>
          <w:sz w:val="28"/>
          <w:szCs w:val="28"/>
          <w:lang w:eastAsia="en-GB"/>
        </w:rPr>
      </w:pPr>
      <w:r w:rsidRPr="00223764">
        <w:rPr>
          <w:color w:val="auto"/>
          <w:sz w:val="28"/>
          <w:szCs w:val="28"/>
          <w:lang w:eastAsia="en-GB"/>
        </w:rPr>
        <w:t>2.2</w:t>
      </w:r>
      <w:r w:rsidRPr="00223764">
        <w:rPr>
          <w:color w:val="auto"/>
          <w:sz w:val="28"/>
          <w:szCs w:val="28"/>
          <w:lang w:eastAsia="en-GB"/>
        </w:rPr>
        <w:tab/>
        <w:t xml:space="preserve">The Results of Gap identification at the workshop and preliminary recommendations </w:t>
      </w:r>
      <w:r>
        <w:rPr>
          <w:color w:val="auto"/>
          <w:sz w:val="28"/>
          <w:szCs w:val="28"/>
          <w:lang w:eastAsia="en-GB"/>
        </w:rPr>
        <w:tab/>
        <w:t>5</w:t>
      </w:r>
    </w:p>
    <w:p w:rsidR="001C55F3" w:rsidRPr="00223764" w:rsidRDefault="001C55F3" w:rsidP="001C55F3">
      <w:pPr>
        <w:pStyle w:val="Titre2"/>
        <w:tabs>
          <w:tab w:val="left" w:pos="567"/>
          <w:tab w:val="left" w:pos="709"/>
          <w:tab w:val="left" w:pos="8505"/>
        </w:tabs>
        <w:spacing w:before="0" w:line="240" w:lineRule="auto"/>
        <w:ind w:left="567" w:hanging="567"/>
        <w:rPr>
          <w:color w:val="auto"/>
          <w:sz w:val="28"/>
          <w:szCs w:val="28"/>
          <w:lang w:eastAsia="en-GB"/>
        </w:rPr>
      </w:pPr>
      <w:r w:rsidRPr="00223764">
        <w:rPr>
          <w:color w:val="auto"/>
          <w:sz w:val="28"/>
          <w:szCs w:val="28"/>
          <w:lang w:eastAsia="en-GB"/>
        </w:rPr>
        <w:t xml:space="preserve">2.3 </w:t>
      </w:r>
      <w:r w:rsidRPr="00223764">
        <w:rPr>
          <w:color w:val="auto"/>
          <w:sz w:val="28"/>
          <w:szCs w:val="28"/>
          <w:lang w:eastAsia="en-GB"/>
        </w:rPr>
        <w:tab/>
      </w:r>
      <w:r w:rsidRPr="00223764">
        <w:rPr>
          <w:color w:val="auto"/>
          <w:sz w:val="28"/>
          <w:szCs w:val="28"/>
          <w:lang w:eastAsia="en-GB"/>
        </w:rPr>
        <w:tab/>
        <w:t xml:space="preserve">Observations and conclusions </w:t>
      </w:r>
      <w:r>
        <w:rPr>
          <w:color w:val="auto"/>
          <w:sz w:val="28"/>
          <w:szCs w:val="28"/>
          <w:lang w:eastAsia="en-GB"/>
        </w:rPr>
        <w:tab/>
        <w:t>10</w:t>
      </w:r>
    </w:p>
    <w:p w:rsidR="001C55F3" w:rsidRPr="00223764" w:rsidRDefault="001C55F3" w:rsidP="001C55F3">
      <w:pPr>
        <w:pStyle w:val="Titre3"/>
        <w:tabs>
          <w:tab w:val="clear" w:pos="720"/>
          <w:tab w:val="left" w:pos="709"/>
          <w:tab w:val="num" w:pos="1701"/>
          <w:tab w:val="left" w:pos="8505"/>
        </w:tabs>
        <w:spacing w:before="0" w:after="0"/>
        <w:ind w:left="1701" w:hanging="992"/>
        <w:rPr>
          <w:rFonts w:asciiTheme="majorHAnsi" w:hAnsiTheme="majorHAnsi"/>
          <w:i w:val="0"/>
          <w:sz w:val="28"/>
          <w:szCs w:val="28"/>
        </w:rPr>
      </w:pPr>
      <w:r w:rsidRPr="00223764">
        <w:rPr>
          <w:rFonts w:asciiTheme="majorHAnsi" w:hAnsiTheme="majorHAnsi"/>
          <w:i w:val="0"/>
          <w:sz w:val="28"/>
          <w:szCs w:val="28"/>
        </w:rPr>
        <w:t>2.3.1</w:t>
      </w:r>
      <w:r w:rsidRPr="00223764">
        <w:rPr>
          <w:rFonts w:asciiTheme="majorHAnsi" w:hAnsiTheme="majorHAnsi"/>
          <w:i w:val="0"/>
          <w:sz w:val="28"/>
          <w:szCs w:val="28"/>
        </w:rPr>
        <w:tab/>
        <w:t xml:space="preserve"> Policy</w:t>
      </w:r>
    </w:p>
    <w:p w:rsidR="001C55F3" w:rsidRPr="00223764" w:rsidRDefault="001C55F3" w:rsidP="001C55F3">
      <w:pPr>
        <w:pStyle w:val="Titre3"/>
        <w:tabs>
          <w:tab w:val="clear" w:pos="720"/>
          <w:tab w:val="left" w:pos="709"/>
          <w:tab w:val="num" w:pos="1134"/>
          <w:tab w:val="num" w:pos="1701"/>
          <w:tab w:val="left" w:pos="8505"/>
        </w:tabs>
        <w:spacing w:before="0" w:after="0"/>
        <w:ind w:left="1134" w:hanging="425"/>
        <w:rPr>
          <w:rFonts w:asciiTheme="majorHAnsi" w:hAnsiTheme="majorHAnsi"/>
          <w:i w:val="0"/>
          <w:sz w:val="28"/>
          <w:szCs w:val="28"/>
        </w:rPr>
      </w:pPr>
      <w:r w:rsidRPr="00223764">
        <w:rPr>
          <w:rFonts w:asciiTheme="majorHAnsi" w:hAnsiTheme="majorHAnsi"/>
          <w:i w:val="0"/>
          <w:sz w:val="28"/>
          <w:szCs w:val="28"/>
        </w:rPr>
        <w:t xml:space="preserve">2.3.2  </w:t>
      </w:r>
      <w:r w:rsidRPr="00223764">
        <w:rPr>
          <w:rFonts w:asciiTheme="majorHAnsi" w:hAnsiTheme="majorHAnsi"/>
          <w:i w:val="0"/>
          <w:sz w:val="28"/>
          <w:szCs w:val="28"/>
        </w:rPr>
        <w:tab/>
        <w:t>Methodology</w:t>
      </w:r>
    </w:p>
    <w:p w:rsidR="001C55F3" w:rsidRPr="00223764" w:rsidRDefault="001C55F3" w:rsidP="001C55F3">
      <w:pPr>
        <w:pStyle w:val="Titre3"/>
        <w:tabs>
          <w:tab w:val="clear" w:pos="720"/>
          <w:tab w:val="left" w:pos="709"/>
          <w:tab w:val="num" w:pos="1134"/>
          <w:tab w:val="num" w:pos="1701"/>
          <w:tab w:val="left" w:pos="8505"/>
        </w:tabs>
        <w:spacing w:before="0" w:after="0"/>
        <w:ind w:left="1134" w:hanging="425"/>
        <w:rPr>
          <w:rFonts w:asciiTheme="majorHAnsi" w:hAnsiTheme="majorHAnsi"/>
          <w:i w:val="0"/>
          <w:sz w:val="28"/>
          <w:szCs w:val="28"/>
        </w:rPr>
      </w:pPr>
      <w:r w:rsidRPr="00223764">
        <w:rPr>
          <w:rFonts w:asciiTheme="majorHAnsi" w:hAnsiTheme="majorHAnsi"/>
          <w:i w:val="0"/>
          <w:sz w:val="28"/>
          <w:szCs w:val="28"/>
        </w:rPr>
        <w:t>2.3.3</w:t>
      </w:r>
      <w:r w:rsidRPr="00223764">
        <w:rPr>
          <w:rFonts w:asciiTheme="majorHAnsi" w:hAnsiTheme="majorHAnsi"/>
          <w:i w:val="0"/>
          <w:sz w:val="28"/>
          <w:szCs w:val="28"/>
        </w:rPr>
        <w:tab/>
        <w:t>Data</w:t>
      </w:r>
    </w:p>
    <w:p w:rsidR="001C55F3" w:rsidRDefault="001C55F3" w:rsidP="001C55F3">
      <w:pPr>
        <w:tabs>
          <w:tab w:val="left" w:pos="709"/>
          <w:tab w:val="left" w:pos="8505"/>
        </w:tabs>
        <w:spacing w:after="0" w:line="240" w:lineRule="auto"/>
        <w:ind w:hanging="720"/>
        <w:jc w:val="both"/>
        <w:rPr>
          <w:rFonts w:asciiTheme="majorHAnsi" w:hAnsiTheme="majorHAnsi"/>
          <w:b/>
          <w:i/>
          <w:sz w:val="28"/>
          <w:szCs w:val="28"/>
        </w:rPr>
      </w:pPr>
    </w:p>
    <w:p w:rsidR="001C55F3" w:rsidRPr="00223764" w:rsidRDefault="001C55F3" w:rsidP="001C55F3">
      <w:pPr>
        <w:tabs>
          <w:tab w:val="left" w:pos="709"/>
          <w:tab w:val="left" w:pos="8505"/>
        </w:tabs>
        <w:spacing w:after="0" w:line="240" w:lineRule="auto"/>
        <w:ind w:hanging="720"/>
        <w:jc w:val="both"/>
        <w:rPr>
          <w:rFonts w:asciiTheme="majorHAnsi" w:hAnsiTheme="majorHAnsi"/>
          <w:b/>
          <w:i/>
          <w:sz w:val="28"/>
          <w:szCs w:val="28"/>
        </w:rPr>
      </w:pPr>
    </w:p>
    <w:p w:rsidR="001C55F3" w:rsidRDefault="001C55F3" w:rsidP="001C55F3">
      <w:pPr>
        <w:pStyle w:val="Titre1"/>
        <w:tabs>
          <w:tab w:val="left" w:pos="709"/>
          <w:tab w:val="left" w:pos="8505"/>
        </w:tabs>
        <w:spacing w:before="0" w:line="240" w:lineRule="auto"/>
        <w:rPr>
          <w:color w:val="auto"/>
          <w:lang w:eastAsia="en-GB"/>
        </w:rPr>
      </w:pPr>
      <w:r w:rsidRPr="00223764">
        <w:rPr>
          <w:color w:val="auto"/>
          <w:lang w:eastAsia="en-GB"/>
        </w:rPr>
        <w:t xml:space="preserve">3. </w:t>
      </w:r>
      <w:r w:rsidRPr="00223764">
        <w:rPr>
          <w:color w:val="auto"/>
          <w:lang w:eastAsia="en-GB"/>
        </w:rPr>
        <w:tab/>
      </w:r>
      <w:r>
        <w:rPr>
          <w:color w:val="auto"/>
          <w:lang w:eastAsia="en-GB"/>
        </w:rPr>
        <w:t>GAPS IDENTIFIED IN THE COUNTRY CASE STUDIES</w:t>
      </w:r>
      <w:r>
        <w:rPr>
          <w:color w:val="auto"/>
          <w:lang w:eastAsia="en-GB"/>
        </w:rPr>
        <w:tab/>
        <w:t>16</w:t>
      </w:r>
    </w:p>
    <w:p w:rsidR="001C55F3" w:rsidRPr="00223764" w:rsidRDefault="001C55F3" w:rsidP="001C55F3">
      <w:pPr>
        <w:tabs>
          <w:tab w:val="left" w:pos="709"/>
          <w:tab w:val="left" w:pos="8505"/>
        </w:tabs>
        <w:spacing w:after="0"/>
        <w:rPr>
          <w:lang w:eastAsia="en-GB"/>
        </w:rPr>
      </w:pPr>
    </w:p>
    <w:p w:rsidR="001C55F3" w:rsidRPr="00223764" w:rsidRDefault="001C55F3" w:rsidP="00622218">
      <w:pPr>
        <w:pStyle w:val="Titre2"/>
        <w:numPr>
          <w:ilvl w:val="1"/>
          <w:numId w:val="21"/>
        </w:numPr>
        <w:tabs>
          <w:tab w:val="left" w:pos="709"/>
          <w:tab w:val="left" w:pos="8505"/>
        </w:tabs>
        <w:spacing w:before="0" w:line="240" w:lineRule="auto"/>
        <w:rPr>
          <w:color w:val="auto"/>
          <w:sz w:val="28"/>
          <w:szCs w:val="28"/>
          <w:lang w:eastAsia="en-GB"/>
        </w:rPr>
      </w:pPr>
      <w:r w:rsidRPr="00223764">
        <w:rPr>
          <w:color w:val="auto"/>
          <w:sz w:val="28"/>
          <w:szCs w:val="28"/>
          <w:lang w:eastAsia="en-GB"/>
        </w:rPr>
        <w:t>Summary across the Fact Sheet categories</w:t>
      </w:r>
      <w:r>
        <w:rPr>
          <w:color w:val="auto"/>
          <w:sz w:val="28"/>
          <w:szCs w:val="28"/>
          <w:lang w:eastAsia="en-GB"/>
        </w:rPr>
        <w:tab/>
        <w:t>16</w:t>
      </w:r>
    </w:p>
    <w:p w:rsidR="001C55F3" w:rsidRPr="00223764" w:rsidRDefault="001C55F3" w:rsidP="00622218">
      <w:pPr>
        <w:pStyle w:val="Titre2"/>
        <w:numPr>
          <w:ilvl w:val="1"/>
          <w:numId w:val="21"/>
        </w:numPr>
        <w:tabs>
          <w:tab w:val="left" w:pos="709"/>
          <w:tab w:val="left" w:pos="8505"/>
        </w:tabs>
        <w:spacing w:before="0" w:line="240" w:lineRule="auto"/>
        <w:rPr>
          <w:color w:val="auto"/>
          <w:sz w:val="28"/>
          <w:szCs w:val="28"/>
          <w:lang w:eastAsia="en-GB"/>
        </w:rPr>
      </w:pPr>
      <w:r w:rsidRPr="00223764">
        <w:rPr>
          <w:color w:val="auto"/>
          <w:sz w:val="28"/>
          <w:szCs w:val="28"/>
        </w:rPr>
        <w:t>Conclusions</w:t>
      </w:r>
      <w:r>
        <w:rPr>
          <w:color w:val="auto"/>
          <w:sz w:val="28"/>
          <w:szCs w:val="28"/>
        </w:rPr>
        <w:tab/>
        <w:t>16</w:t>
      </w:r>
    </w:p>
    <w:p w:rsidR="001C55F3" w:rsidRPr="00223764" w:rsidRDefault="001C55F3" w:rsidP="001C55F3">
      <w:pPr>
        <w:tabs>
          <w:tab w:val="left" w:pos="709"/>
          <w:tab w:val="left" w:pos="8505"/>
        </w:tabs>
        <w:spacing w:line="240" w:lineRule="auto"/>
        <w:ind w:hanging="720"/>
        <w:rPr>
          <w:rFonts w:asciiTheme="majorHAnsi" w:hAnsiTheme="majorHAnsi"/>
          <w:b/>
          <w:sz w:val="28"/>
          <w:szCs w:val="28"/>
        </w:rPr>
      </w:pPr>
    </w:p>
    <w:p w:rsidR="001C55F3" w:rsidRPr="00223764" w:rsidRDefault="001C55F3" w:rsidP="001C55F3">
      <w:pPr>
        <w:pStyle w:val="Titre1"/>
        <w:tabs>
          <w:tab w:val="left" w:pos="709"/>
          <w:tab w:val="left" w:pos="8505"/>
        </w:tabs>
        <w:spacing w:before="0" w:line="240" w:lineRule="auto"/>
        <w:rPr>
          <w:color w:val="auto"/>
        </w:rPr>
      </w:pPr>
      <w:r w:rsidRPr="00223764">
        <w:rPr>
          <w:color w:val="auto"/>
        </w:rPr>
        <w:t xml:space="preserve">4. </w:t>
      </w:r>
      <w:r w:rsidRPr="00223764">
        <w:rPr>
          <w:color w:val="auto"/>
        </w:rPr>
        <w:tab/>
      </w:r>
      <w:r>
        <w:rPr>
          <w:color w:val="auto"/>
        </w:rPr>
        <w:t>GAPS AND RECOMMENDATIONS BASED ON</w:t>
      </w:r>
      <w:r w:rsidRPr="00223764">
        <w:rPr>
          <w:color w:val="auto"/>
        </w:rPr>
        <w:t xml:space="preserve"> TASK 2</w:t>
      </w:r>
      <w:r>
        <w:rPr>
          <w:color w:val="auto"/>
        </w:rPr>
        <w:tab/>
        <w:t>17</w:t>
      </w:r>
    </w:p>
    <w:p w:rsidR="001C55F3" w:rsidRDefault="001C55F3" w:rsidP="001C55F3">
      <w:pPr>
        <w:pStyle w:val="Titre2"/>
        <w:tabs>
          <w:tab w:val="left" w:pos="709"/>
          <w:tab w:val="left" w:pos="8505"/>
        </w:tabs>
        <w:spacing w:before="0" w:line="240" w:lineRule="auto"/>
        <w:rPr>
          <w:color w:val="auto"/>
          <w:sz w:val="28"/>
          <w:szCs w:val="28"/>
        </w:rPr>
      </w:pPr>
    </w:p>
    <w:p w:rsidR="001C55F3" w:rsidRPr="00223764" w:rsidRDefault="001C55F3" w:rsidP="001C55F3">
      <w:pPr>
        <w:pStyle w:val="Titre2"/>
        <w:tabs>
          <w:tab w:val="left" w:pos="709"/>
          <w:tab w:val="left" w:pos="8505"/>
        </w:tabs>
        <w:spacing w:before="0" w:line="240" w:lineRule="auto"/>
        <w:rPr>
          <w:color w:val="auto"/>
          <w:sz w:val="28"/>
          <w:szCs w:val="28"/>
        </w:rPr>
      </w:pPr>
      <w:r w:rsidRPr="00223764">
        <w:rPr>
          <w:color w:val="auto"/>
          <w:sz w:val="28"/>
          <w:szCs w:val="28"/>
        </w:rPr>
        <w:t>4.1</w:t>
      </w:r>
      <w:r w:rsidRPr="00223764">
        <w:rPr>
          <w:color w:val="auto"/>
          <w:sz w:val="28"/>
          <w:szCs w:val="28"/>
        </w:rPr>
        <w:tab/>
        <w:t>Countries in the case studies</w:t>
      </w:r>
      <w:r>
        <w:rPr>
          <w:color w:val="auto"/>
          <w:sz w:val="28"/>
          <w:szCs w:val="28"/>
        </w:rPr>
        <w:tab/>
        <w:t>17</w:t>
      </w:r>
    </w:p>
    <w:p w:rsidR="001C55F3" w:rsidRPr="00223764" w:rsidRDefault="001C55F3" w:rsidP="001C55F3">
      <w:pPr>
        <w:pStyle w:val="Titre2"/>
        <w:tabs>
          <w:tab w:val="left" w:pos="709"/>
          <w:tab w:val="left" w:pos="8505"/>
        </w:tabs>
        <w:spacing w:before="0" w:line="240" w:lineRule="auto"/>
        <w:rPr>
          <w:color w:val="auto"/>
          <w:sz w:val="28"/>
          <w:szCs w:val="28"/>
        </w:rPr>
      </w:pPr>
      <w:r w:rsidRPr="00223764">
        <w:rPr>
          <w:color w:val="auto"/>
          <w:sz w:val="28"/>
          <w:szCs w:val="28"/>
        </w:rPr>
        <w:t>4.2</w:t>
      </w:r>
      <w:r w:rsidRPr="00223764">
        <w:rPr>
          <w:color w:val="auto"/>
          <w:sz w:val="28"/>
          <w:szCs w:val="28"/>
        </w:rPr>
        <w:tab/>
        <w:t>General</w:t>
      </w:r>
      <w:r>
        <w:rPr>
          <w:color w:val="auto"/>
          <w:sz w:val="28"/>
          <w:szCs w:val="28"/>
        </w:rPr>
        <w:tab/>
        <w:t>17</w:t>
      </w:r>
    </w:p>
    <w:p w:rsidR="001C55F3" w:rsidRPr="00223764" w:rsidRDefault="001C55F3" w:rsidP="001C55F3">
      <w:pPr>
        <w:pStyle w:val="Titre2"/>
        <w:tabs>
          <w:tab w:val="left" w:pos="709"/>
          <w:tab w:val="left" w:pos="8505"/>
        </w:tabs>
        <w:spacing w:before="0" w:line="240" w:lineRule="auto"/>
        <w:rPr>
          <w:color w:val="auto"/>
          <w:sz w:val="28"/>
          <w:szCs w:val="28"/>
        </w:rPr>
      </w:pPr>
      <w:r w:rsidRPr="00223764">
        <w:rPr>
          <w:color w:val="auto"/>
          <w:sz w:val="28"/>
          <w:szCs w:val="28"/>
        </w:rPr>
        <w:t>4.3</w:t>
      </w:r>
      <w:r w:rsidRPr="00223764">
        <w:rPr>
          <w:color w:val="auto"/>
          <w:sz w:val="28"/>
          <w:szCs w:val="28"/>
        </w:rPr>
        <w:tab/>
        <w:t>Representativeness of indicator species for ecosystems</w:t>
      </w:r>
      <w:r>
        <w:rPr>
          <w:color w:val="auto"/>
          <w:sz w:val="28"/>
          <w:szCs w:val="28"/>
        </w:rPr>
        <w:tab/>
        <w:t>18</w:t>
      </w:r>
    </w:p>
    <w:p w:rsidR="001C55F3" w:rsidRPr="00223764" w:rsidRDefault="001C55F3" w:rsidP="001C55F3">
      <w:pPr>
        <w:pStyle w:val="Titre2"/>
        <w:tabs>
          <w:tab w:val="left" w:pos="709"/>
          <w:tab w:val="left" w:pos="8505"/>
        </w:tabs>
        <w:spacing w:before="0" w:line="240" w:lineRule="auto"/>
        <w:rPr>
          <w:color w:val="auto"/>
          <w:sz w:val="28"/>
          <w:szCs w:val="28"/>
        </w:rPr>
      </w:pPr>
      <w:r w:rsidRPr="00223764">
        <w:rPr>
          <w:color w:val="auto"/>
          <w:sz w:val="28"/>
          <w:szCs w:val="28"/>
        </w:rPr>
        <w:t>4.4</w:t>
      </w:r>
      <w:r w:rsidRPr="00223764">
        <w:rPr>
          <w:color w:val="auto"/>
          <w:sz w:val="28"/>
          <w:szCs w:val="28"/>
        </w:rPr>
        <w:tab/>
        <w:t>Recommendations</w:t>
      </w:r>
      <w:r>
        <w:rPr>
          <w:color w:val="auto"/>
          <w:sz w:val="28"/>
          <w:szCs w:val="28"/>
        </w:rPr>
        <w:tab/>
        <w:t>19</w:t>
      </w:r>
    </w:p>
    <w:p w:rsidR="001C55F3" w:rsidRDefault="001C55F3" w:rsidP="001C55F3">
      <w:pPr>
        <w:rPr>
          <w:b/>
          <w:color w:val="4F81BD" w:themeColor="accent1"/>
          <w:sz w:val="28"/>
          <w:szCs w:val="28"/>
        </w:rPr>
      </w:pPr>
    </w:p>
    <w:p w:rsidR="001C55F3" w:rsidRPr="00223764" w:rsidRDefault="001C55F3" w:rsidP="001C55F3">
      <w:pPr>
        <w:pStyle w:val="Titre1"/>
        <w:tabs>
          <w:tab w:val="left" w:pos="709"/>
          <w:tab w:val="left" w:pos="8505"/>
        </w:tabs>
        <w:spacing w:before="0" w:line="240" w:lineRule="auto"/>
        <w:rPr>
          <w:color w:val="auto"/>
        </w:rPr>
      </w:pPr>
      <w:r>
        <w:rPr>
          <w:color w:val="auto"/>
        </w:rPr>
        <w:t>REFERENCES</w:t>
      </w:r>
      <w:r>
        <w:rPr>
          <w:color w:val="auto"/>
        </w:rPr>
        <w:tab/>
        <w:t>20</w:t>
      </w:r>
    </w:p>
    <w:p w:rsidR="001C55F3" w:rsidRPr="00A527DF" w:rsidRDefault="001C55F3" w:rsidP="001C55F3">
      <w:pPr>
        <w:rPr>
          <w:b/>
          <w:color w:val="4F81BD" w:themeColor="accent1"/>
          <w:sz w:val="28"/>
          <w:szCs w:val="28"/>
        </w:rPr>
      </w:pPr>
    </w:p>
    <w:p w:rsidR="001C55F3" w:rsidRDefault="001C55F3">
      <w:pPr>
        <w:rPr>
          <w:sz w:val="40"/>
          <w:szCs w:val="40"/>
          <w:lang w:eastAsia="en-GB"/>
        </w:rPr>
      </w:pPr>
    </w:p>
    <w:p w:rsidR="001C55F3" w:rsidRDefault="001C55F3">
      <w:pPr>
        <w:rPr>
          <w:sz w:val="40"/>
          <w:szCs w:val="40"/>
          <w:lang w:eastAsia="en-GB"/>
        </w:rPr>
      </w:pPr>
    </w:p>
    <w:p w:rsidR="001C55F3" w:rsidRDefault="001C55F3">
      <w:pPr>
        <w:rPr>
          <w:sz w:val="40"/>
          <w:szCs w:val="40"/>
          <w:lang w:eastAsia="en-GB"/>
        </w:rPr>
      </w:pPr>
      <w:r>
        <w:rPr>
          <w:sz w:val="40"/>
          <w:szCs w:val="40"/>
          <w:lang w:eastAsia="en-GB"/>
        </w:rPr>
        <w:br w:type="page"/>
      </w:r>
    </w:p>
    <w:p w:rsidR="001C55F3" w:rsidRPr="006F24D4" w:rsidRDefault="001C55F3" w:rsidP="001C55F3">
      <w:pPr>
        <w:pStyle w:val="Titre1"/>
        <w:ind w:left="360" w:hanging="360"/>
        <w:rPr>
          <w:sz w:val="36"/>
          <w:szCs w:val="36"/>
        </w:rPr>
      </w:pPr>
      <w:r w:rsidRPr="006F24D4">
        <w:rPr>
          <w:sz w:val="36"/>
          <w:szCs w:val="36"/>
        </w:rPr>
        <w:lastRenderedPageBreak/>
        <w:t>1.  TASK 3: GAP ANALYSIS AND RECOMMENDATIONS</w:t>
      </w:r>
    </w:p>
    <w:p w:rsidR="001C55F3" w:rsidRPr="009E712E" w:rsidRDefault="001C55F3" w:rsidP="001C55F3"/>
    <w:p w:rsidR="001C55F3" w:rsidRPr="004B587B" w:rsidRDefault="001C55F3" w:rsidP="001C55F3">
      <w:pPr>
        <w:autoSpaceDE w:val="0"/>
        <w:autoSpaceDN w:val="0"/>
        <w:adjustRightInd w:val="0"/>
        <w:spacing w:after="0" w:line="240" w:lineRule="auto"/>
        <w:jc w:val="both"/>
        <w:rPr>
          <w:rFonts w:cstheme="minorHAnsi"/>
        </w:rPr>
      </w:pPr>
      <w:r w:rsidRPr="007C04D2">
        <w:rPr>
          <w:rFonts w:cstheme="minorHAnsi"/>
        </w:rPr>
        <w:t xml:space="preserve">Based on the evaluations of the Country Cases as required under Tasks 1 and 2, the next step is to identify </w:t>
      </w:r>
      <w:r w:rsidRPr="007C04D2">
        <w:rPr>
          <w:rFonts w:cstheme="minorHAnsi"/>
          <w:b/>
          <w:i/>
        </w:rPr>
        <w:t>gaps</w:t>
      </w:r>
      <w:r w:rsidRPr="007C04D2">
        <w:rPr>
          <w:rFonts w:cstheme="minorHAnsi"/>
        </w:rPr>
        <w:t xml:space="preserve"> in current approaches, and subsequently to generate ideas about ways to fill the gaps. </w:t>
      </w:r>
      <w:r w:rsidRPr="004B587B">
        <w:rPr>
          <w:rFonts w:cstheme="minorHAnsi"/>
        </w:rPr>
        <w:t xml:space="preserve">The “gaps” may range from: </w:t>
      </w:r>
    </w:p>
    <w:p w:rsidR="001C55F3" w:rsidRPr="004B587B" w:rsidRDefault="001C55F3" w:rsidP="00622218">
      <w:pPr>
        <w:pStyle w:val="Paragraphedeliste"/>
        <w:numPr>
          <w:ilvl w:val="0"/>
          <w:numId w:val="113"/>
        </w:numPr>
        <w:autoSpaceDE w:val="0"/>
        <w:autoSpaceDN w:val="0"/>
        <w:adjustRightInd w:val="0"/>
        <w:spacing w:after="0" w:line="240" w:lineRule="auto"/>
        <w:jc w:val="both"/>
        <w:rPr>
          <w:rFonts w:cstheme="minorHAnsi"/>
        </w:rPr>
      </w:pPr>
      <w:r w:rsidRPr="004B587B">
        <w:rPr>
          <w:rFonts w:cstheme="minorHAnsi"/>
        </w:rPr>
        <w:t xml:space="preserve">lack of addressing relevant ecosystem services per land use class, </w:t>
      </w:r>
    </w:p>
    <w:p w:rsidR="001C55F3" w:rsidRPr="004B587B" w:rsidRDefault="001C55F3" w:rsidP="00622218">
      <w:pPr>
        <w:pStyle w:val="Paragraphedeliste"/>
        <w:numPr>
          <w:ilvl w:val="0"/>
          <w:numId w:val="113"/>
        </w:numPr>
        <w:autoSpaceDE w:val="0"/>
        <w:autoSpaceDN w:val="0"/>
        <w:adjustRightInd w:val="0"/>
        <w:spacing w:after="0" w:line="240" w:lineRule="auto"/>
        <w:jc w:val="both"/>
        <w:rPr>
          <w:rFonts w:cstheme="minorHAnsi"/>
        </w:rPr>
      </w:pPr>
      <w:r w:rsidRPr="004B587B">
        <w:rPr>
          <w:rFonts w:cstheme="minorHAnsi"/>
        </w:rPr>
        <w:t xml:space="preserve">lack of or inappropriate indicators, </w:t>
      </w:r>
    </w:p>
    <w:p w:rsidR="001C55F3" w:rsidRPr="004B587B" w:rsidRDefault="001C55F3" w:rsidP="00622218">
      <w:pPr>
        <w:pStyle w:val="Paragraphedeliste"/>
        <w:numPr>
          <w:ilvl w:val="0"/>
          <w:numId w:val="113"/>
        </w:numPr>
        <w:autoSpaceDE w:val="0"/>
        <w:autoSpaceDN w:val="0"/>
        <w:adjustRightInd w:val="0"/>
        <w:spacing w:after="0" w:line="240" w:lineRule="auto"/>
        <w:jc w:val="both"/>
        <w:rPr>
          <w:rFonts w:cstheme="minorHAnsi"/>
        </w:rPr>
      </w:pPr>
      <w:r w:rsidRPr="004B587B">
        <w:rPr>
          <w:rFonts w:cstheme="minorHAnsi"/>
        </w:rPr>
        <w:t xml:space="preserve">lack of data to substantiate the indicators, </w:t>
      </w:r>
    </w:p>
    <w:p w:rsidR="001C55F3" w:rsidRPr="004B587B" w:rsidRDefault="001C55F3" w:rsidP="00622218">
      <w:pPr>
        <w:pStyle w:val="Paragraphedeliste"/>
        <w:numPr>
          <w:ilvl w:val="0"/>
          <w:numId w:val="113"/>
        </w:numPr>
        <w:autoSpaceDE w:val="0"/>
        <w:autoSpaceDN w:val="0"/>
        <w:adjustRightInd w:val="0"/>
        <w:spacing w:after="0" w:line="240" w:lineRule="auto"/>
        <w:jc w:val="both"/>
        <w:rPr>
          <w:rFonts w:cstheme="minorHAnsi"/>
        </w:rPr>
      </w:pPr>
      <w:r w:rsidRPr="004B587B">
        <w:rPr>
          <w:rFonts w:cstheme="minorHAnsi"/>
        </w:rPr>
        <w:t xml:space="preserve">inadequate up- and downscaling, </w:t>
      </w:r>
    </w:p>
    <w:p w:rsidR="001C55F3" w:rsidRPr="004B587B" w:rsidRDefault="001C55F3" w:rsidP="00622218">
      <w:pPr>
        <w:pStyle w:val="Paragraphedeliste"/>
        <w:numPr>
          <w:ilvl w:val="0"/>
          <w:numId w:val="113"/>
        </w:numPr>
        <w:autoSpaceDE w:val="0"/>
        <w:autoSpaceDN w:val="0"/>
        <w:adjustRightInd w:val="0"/>
        <w:spacing w:after="0" w:line="240" w:lineRule="auto"/>
        <w:jc w:val="both"/>
        <w:rPr>
          <w:rFonts w:cstheme="minorHAnsi"/>
        </w:rPr>
      </w:pPr>
      <w:r w:rsidRPr="004B587B">
        <w:rPr>
          <w:rFonts w:cstheme="minorHAnsi"/>
        </w:rPr>
        <w:t xml:space="preserve">lack of indictors which can be linked to economic valuation etc. </w:t>
      </w:r>
    </w:p>
    <w:p w:rsidR="001C55F3" w:rsidRPr="007C04D2" w:rsidRDefault="001C55F3" w:rsidP="001C55F3">
      <w:pPr>
        <w:autoSpaceDE w:val="0"/>
        <w:autoSpaceDN w:val="0"/>
        <w:adjustRightInd w:val="0"/>
        <w:spacing w:after="0" w:line="240" w:lineRule="auto"/>
        <w:jc w:val="both"/>
        <w:rPr>
          <w:rFonts w:cstheme="minorHAnsi"/>
        </w:rPr>
      </w:pPr>
      <w:r w:rsidRPr="007C04D2">
        <w:rPr>
          <w:rFonts w:cstheme="minorHAnsi"/>
        </w:rPr>
        <w:t>It is considered relevant that the “gap filling” is customised to the different institutional and expertise (and data availability) situations across Europe. The study must clearly confront available knowledge with the main knowledge needs both in ecosystem and ecosystem services mapping and assessment. The needs shall be derived from the policy goals and methodological requirements.</w:t>
      </w:r>
    </w:p>
    <w:p w:rsidR="001C55F3" w:rsidRPr="007C04D2" w:rsidRDefault="001C55F3" w:rsidP="001C55F3">
      <w:pPr>
        <w:autoSpaceDE w:val="0"/>
        <w:autoSpaceDN w:val="0"/>
        <w:adjustRightInd w:val="0"/>
        <w:spacing w:after="0" w:line="240" w:lineRule="auto"/>
        <w:jc w:val="both"/>
        <w:rPr>
          <w:rFonts w:cstheme="minorHAnsi"/>
          <w:bCs/>
          <w:u w:val="single"/>
        </w:rPr>
      </w:pPr>
    </w:p>
    <w:p w:rsidR="001C55F3" w:rsidRPr="007C04D2" w:rsidRDefault="001C55F3" w:rsidP="001C55F3">
      <w:pPr>
        <w:autoSpaceDE w:val="0"/>
        <w:autoSpaceDN w:val="0"/>
        <w:adjustRightInd w:val="0"/>
        <w:spacing w:after="0" w:line="240" w:lineRule="auto"/>
        <w:jc w:val="both"/>
        <w:rPr>
          <w:rFonts w:cstheme="minorHAnsi"/>
          <w:bCs/>
          <w:u w:val="single"/>
        </w:rPr>
      </w:pPr>
      <w:r w:rsidRPr="007C04D2">
        <w:rPr>
          <w:rFonts w:cstheme="minorHAnsi"/>
          <w:bCs/>
          <w:u w:val="single"/>
        </w:rPr>
        <w:t>Task definition in the Invitation to Tender</w:t>
      </w:r>
    </w:p>
    <w:p w:rsidR="001C55F3" w:rsidRPr="007C04D2" w:rsidRDefault="001C55F3" w:rsidP="001C55F3">
      <w:pPr>
        <w:autoSpaceDE w:val="0"/>
        <w:autoSpaceDN w:val="0"/>
        <w:adjustRightInd w:val="0"/>
        <w:spacing w:after="0" w:line="240" w:lineRule="auto"/>
        <w:ind w:left="426"/>
        <w:jc w:val="both"/>
        <w:rPr>
          <w:rFonts w:cstheme="minorHAnsi"/>
          <w:i/>
        </w:rPr>
      </w:pPr>
      <w:r w:rsidRPr="007C04D2">
        <w:rPr>
          <w:rFonts w:cstheme="minorHAnsi"/>
          <w:i/>
        </w:rPr>
        <w:t xml:space="preserve">The assessment and outputs from task 1 and 2, based on the Country Cases selected, will help identify </w:t>
      </w:r>
    </w:p>
    <w:p w:rsidR="001C55F3" w:rsidRPr="007C04D2" w:rsidRDefault="001C55F3" w:rsidP="00622218">
      <w:pPr>
        <w:pStyle w:val="Paragraphedeliste"/>
        <w:numPr>
          <w:ilvl w:val="0"/>
          <w:numId w:val="114"/>
        </w:numPr>
        <w:autoSpaceDE w:val="0"/>
        <w:autoSpaceDN w:val="0"/>
        <w:adjustRightInd w:val="0"/>
        <w:spacing w:after="0" w:line="240" w:lineRule="auto"/>
        <w:jc w:val="both"/>
        <w:rPr>
          <w:rFonts w:cstheme="minorHAnsi"/>
          <w:i/>
        </w:rPr>
      </w:pPr>
      <w:r w:rsidRPr="007C04D2">
        <w:rPr>
          <w:rFonts w:cstheme="minorHAnsi"/>
          <w:i/>
        </w:rPr>
        <w:t xml:space="preserve">what kind of knowledge is already available and how it can be used for linking the mapping and assessment of ecosystems to the provision of services and </w:t>
      </w:r>
    </w:p>
    <w:p w:rsidR="001C55F3" w:rsidRPr="007C04D2" w:rsidRDefault="001C55F3" w:rsidP="00622218">
      <w:pPr>
        <w:pStyle w:val="Paragraphedeliste"/>
        <w:numPr>
          <w:ilvl w:val="0"/>
          <w:numId w:val="114"/>
        </w:numPr>
        <w:autoSpaceDE w:val="0"/>
        <w:autoSpaceDN w:val="0"/>
        <w:adjustRightInd w:val="0"/>
        <w:spacing w:after="0" w:line="240" w:lineRule="auto"/>
        <w:jc w:val="both"/>
        <w:rPr>
          <w:rFonts w:cstheme="minorHAnsi"/>
          <w:i/>
        </w:rPr>
      </w:pPr>
      <w:r w:rsidRPr="007C04D2">
        <w:rPr>
          <w:rFonts w:cstheme="minorHAnsi"/>
          <w:i/>
        </w:rPr>
        <w:t xml:space="preserve"> what are the main knowledge needs both in ecosystem and ecosystem services mapping and assessment. </w:t>
      </w:r>
    </w:p>
    <w:p w:rsidR="001C55F3" w:rsidRPr="007C04D2" w:rsidRDefault="001C55F3" w:rsidP="001C55F3">
      <w:pPr>
        <w:autoSpaceDE w:val="0"/>
        <w:autoSpaceDN w:val="0"/>
        <w:adjustRightInd w:val="0"/>
        <w:spacing w:after="0" w:line="240" w:lineRule="auto"/>
        <w:ind w:left="426"/>
        <w:jc w:val="both"/>
        <w:rPr>
          <w:rFonts w:cstheme="minorHAnsi"/>
          <w:i/>
        </w:rPr>
      </w:pPr>
      <w:r w:rsidRPr="007C04D2">
        <w:rPr>
          <w:rFonts w:cstheme="minorHAnsi"/>
          <w:i/>
        </w:rPr>
        <w:t xml:space="preserve">These outcomes must be analysed in the matrix linking broad ecosystems and ecosystem services, including their trade-offs and interlinkages. </w:t>
      </w:r>
    </w:p>
    <w:p w:rsidR="001C55F3" w:rsidRPr="007C04D2" w:rsidRDefault="001C55F3" w:rsidP="001C55F3">
      <w:pPr>
        <w:autoSpaceDE w:val="0"/>
        <w:autoSpaceDN w:val="0"/>
        <w:adjustRightInd w:val="0"/>
        <w:spacing w:after="0" w:line="240" w:lineRule="auto"/>
        <w:ind w:left="426"/>
        <w:jc w:val="both"/>
        <w:rPr>
          <w:rFonts w:cstheme="minorHAnsi"/>
          <w:i/>
        </w:rPr>
      </w:pPr>
      <w:r w:rsidRPr="007C04D2">
        <w:rPr>
          <w:rFonts w:cstheme="minorHAnsi"/>
          <w:i/>
        </w:rPr>
        <w:t>It will also help identify what are the opportunities to fill some of these gaps at the appropriate scale and in a cost-effective manner</w:t>
      </w:r>
      <w:r w:rsidRPr="007C04D2">
        <w:rPr>
          <w:rFonts w:cs="Times New Roman"/>
          <w:i/>
        </w:rPr>
        <w:t>.</w:t>
      </w:r>
    </w:p>
    <w:p w:rsidR="001C55F3" w:rsidRPr="00970638" w:rsidRDefault="001C55F3" w:rsidP="001C55F3">
      <w:pPr>
        <w:autoSpaceDE w:val="0"/>
        <w:autoSpaceDN w:val="0"/>
        <w:adjustRightInd w:val="0"/>
        <w:spacing w:after="0" w:line="240" w:lineRule="auto"/>
        <w:jc w:val="both"/>
        <w:rPr>
          <w:rFonts w:cstheme="minorHAnsi"/>
          <w:sz w:val="24"/>
          <w:szCs w:val="24"/>
          <w:u w:val="single"/>
        </w:rPr>
      </w:pPr>
    </w:p>
    <w:p w:rsidR="001C55F3" w:rsidRPr="007C04D2" w:rsidRDefault="001C55F3" w:rsidP="001C55F3">
      <w:pPr>
        <w:autoSpaceDE w:val="0"/>
        <w:autoSpaceDN w:val="0"/>
        <w:adjustRightInd w:val="0"/>
        <w:spacing w:after="0" w:line="240" w:lineRule="auto"/>
        <w:jc w:val="both"/>
        <w:rPr>
          <w:rFonts w:cstheme="minorHAnsi"/>
          <w:u w:val="single"/>
        </w:rPr>
      </w:pPr>
      <w:r w:rsidRPr="007C04D2">
        <w:rPr>
          <w:rFonts w:cstheme="minorHAnsi"/>
          <w:u w:val="single"/>
        </w:rPr>
        <w:t>Methodology Task 3</w:t>
      </w:r>
    </w:p>
    <w:p w:rsidR="001C55F3" w:rsidRPr="007C04D2" w:rsidRDefault="001C55F3" w:rsidP="00622218">
      <w:pPr>
        <w:numPr>
          <w:ilvl w:val="0"/>
          <w:numId w:val="60"/>
        </w:numPr>
        <w:autoSpaceDE w:val="0"/>
        <w:autoSpaceDN w:val="0"/>
        <w:adjustRightInd w:val="0"/>
        <w:spacing w:after="0" w:line="240" w:lineRule="auto"/>
        <w:contextualSpacing/>
        <w:jc w:val="both"/>
        <w:rPr>
          <w:rFonts w:cstheme="minorHAnsi"/>
        </w:rPr>
      </w:pPr>
      <w:r w:rsidRPr="007C04D2">
        <w:rPr>
          <w:rFonts w:cstheme="minorHAnsi"/>
        </w:rPr>
        <w:t xml:space="preserve">From the completed and reviewed fact sheets from Task 1 and 2, representing  the  situations in the Country Cases selected, as well as from additional information obtained through literature study and consultations with colleagues, gaps and possible ways to deal with them are identified. </w:t>
      </w:r>
    </w:p>
    <w:p w:rsidR="001C55F3" w:rsidRPr="007C04D2" w:rsidRDefault="001C55F3" w:rsidP="00622218">
      <w:pPr>
        <w:numPr>
          <w:ilvl w:val="0"/>
          <w:numId w:val="60"/>
        </w:numPr>
        <w:autoSpaceDE w:val="0"/>
        <w:autoSpaceDN w:val="0"/>
        <w:adjustRightInd w:val="0"/>
        <w:spacing w:after="0" w:line="240" w:lineRule="auto"/>
        <w:contextualSpacing/>
        <w:jc w:val="both"/>
        <w:rPr>
          <w:rFonts w:cstheme="minorHAnsi"/>
        </w:rPr>
      </w:pPr>
      <w:r w:rsidRPr="007C04D2">
        <w:rPr>
          <w:rFonts w:cstheme="minorHAnsi"/>
        </w:rPr>
        <w:t>The developments with respect to the CICES framework and the discussions in the WG MAES have been monitored and input has been given by the Contractor to that discussion. The results of these discussions are incorporated in the Draft Interim Report</w:t>
      </w:r>
    </w:p>
    <w:p w:rsidR="001C55F3" w:rsidRPr="007C04D2" w:rsidRDefault="001C55F3" w:rsidP="00622218">
      <w:pPr>
        <w:numPr>
          <w:ilvl w:val="0"/>
          <w:numId w:val="60"/>
        </w:numPr>
        <w:autoSpaceDE w:val="0"/>
        <w:autoSpaceDN w:val="0"/>
        <w:adjustRightInd w:val="0"/>
        <w:spacing w:after="0" w:line="240" w:lineRule="auto"/>
        <w:contextualSpacing/>
        <w:jc w:val="both"/>
        <w:rPr>
          <w:rFonts w:cstheme="minorHAnsi"/>
        </w:rPr>
      </w:pPr>
      <w:r w:rsidRPr="007C04D2">
        <w:rPr>
          <w:rFonts w:cstheme="minorHAnsi"/>
        </w:rPr>
        <w:t>A preliminary “Draft Interim Report” is presented in the two-day workshop, which is an essential step in arriving at the definition of the gaps.</w:t>
      </w:r>
    </w:p>
    <w:p w:rsidR="001C55F3" w:rsidRPr="007C04D2" w:rsidRDefault="001C55F3" w:rsidP="00622218">
      <w:pPr>
        <w:numPr>
          <w:ilvl w:val="0"/>
          <w:numId w:val="60"/>
        </w:numPr>
        <w:autoSpaceDE w:val="0"/>
        <w:autoSpaceDN w:val="0"/>
        <w:adjustRightInd w:val="0"/>
        <w:spacing w:after="0" w:line="240" w:lineRule="auto"/>
        <w:contextualSpacing/>
        <w:jc w:val="both"/>
        <w:rPr>
          <w:rFonts w:cstheme="minorHAnsi"/>
        </w:rPr>
      </w:pPr>
      <w:r w:rsidRPr="007C04D2">
        <w:rPr>
          <w:rFonts w:cstheme="minorHAnsi"/>
        </w:rPr>
        <w:t>At the Workshop a special session has been devoted to generating and evaluating recommendations to overcome the gaps.</w:t>
      </w:r>
    </w:p>
    <w:p w:rsidR="001C55F3" w:rsidRPr="007C04D2" w:rsidRDefault="001C55F3" w:rsidP="001C55F3">
      <w:pPr>
        <w:autoSpaceDE w:val="0"/>
        <w:autoSpaceDN w:val="0"/>
        <w:adjustRightInd w:val="0"/>
        <w:spacing w:after="0" w:line="240" w:lineRule="auto"/>
        <w:jc w:val="both"/>
        <w:rPr>
          <w:rFonts w:cstheme="minorHAnsi"/>
        </w:rPr>
      </w:pPr>
    </w:p>
    <w:p w:rsidR="001C55F3" w:rsidRPr="00970638" w:rsidRDefault="001C55F3" w:rsidP="001C55F3">
      <w:pPr>
        <w:autoSpaceDE w:val="0"/>
        <w:autoSpaceDN w:val="0"/>
        <w:adjustRightInd w:val="0"/>
        <w:spacing w:after="0" w:line="240" w:lineRule="auto"/>
        <w:jc w:val="both"/>
        <w:rPr>
          <w:rFonts w:cstheme="minorHAnsi"/>
          <w:b/>
          <w:sz w:val="24"/>
          <w:szCs w:val="24"/>
        </w:rPr>
      </w:pPr>
      <w:r w:rsidRPr="00970638">
        <w:rPr>
          <w:rFonts w:cstheme="minorHAnsi"/>
          <w:b/>
          <w:sz w:val="24"/>
          <w:szCs w:val="24"/>
        </w:rPr>
        <w:t>Deliverables Task 3</w:t>
      </w:r>
    </w:p>
    <w:p w:rsidR="001C55F3" w:rsidRPr="00970638" w:rsidRDefault="001C55F3" w:rsidP="001C55F3">
      <w:pPr>
        <w:numPr>
          <w:ilvl w:val="0"/>
          <w:numId w:val="8"/>
        </w:numPr>
        <w:autoSpaceDE w:val="0"/>
        <w:autoSpaceDN w:val="0"/>
        <w:adjustRightInd w:val="0"/>
        <w:spacing w:after="0" w:line="240" w:lineRule="auto"/>
        <w:contextualSpacing/>
        <w:jc w:val="both"/>
        <w:rPr>
          <w:rFonts w:cstheme="minorHAnsi"/>
          <w:b/>
          <w:bCs/>
          <w:sz w:val="24"/>
          <w:szCs w:val="24"/>
        </w:rPr>
      </w:pPr>
      <w:r w:rsidRPr="00970638">
        <w:rPr>
          <w:rFonts w:cstheme="minorHAnsi"/>
          <w:b/>
          <w:bCs/>
          <w:sz w:val="24"/>
          <w:szCs w:val="24"/>
        </w:rPr>
        <w:t>Revised version of the Draft Interim Report, including the results of the two-Day workshop</w:t>
      </w:r>
    </w:p>
    <w:p w:rsidR="001C55F3" w:rsidRPr="00970638" w:rsidRDefault="001C55F3" w:rsidP="001C55F3">
      <w:pPr>
        <w:numPr>
          <w:ilvl w:val="0"/>
          <w:numId w:val="8"/>
        </w:numPr>
        <w:autoSpaceDE w:val="0"/>
        <w:autoSpaceDN w:val="0"/>
        <w:adjustRightInd w:val="0"/>
        <w:spacing w:after="0" w:line="240" w:lineRule="auto"/>
        <w:contextualSpacing/>
        <w:jc w:val="both"/>
        <w:rPr>
          <w:rFonts w:cstheme="minorHAnsi"/>
          <w:b/>
          <w:bCs/>
          <w:sz w:val="24"/>
          <w:szCs w:val="24"/>
        </w:rPr>
      </w:pPr>
      <w:r w:rsidRPr="00970638">
        <w:rPr>
          <w:rFonts w:cstheme="minorHAnsi"/>
          <w:b/>
          <w:bCs/>
          <w:sz w:val="24"/>
          <w:szCs w:val="24"/>
        </w:rPr>
        <w:t>Overview of gaps and  of recommendations to overcome the gaps</w:t>
      </w:r>
    </w:p>
    <w:p w:rsidR="001C55F3" w:rsidRDefault="001C55F3" w:rsidP="001C55F3">
      <w:pPr>
        <w:rPr>
          <w:rFonts w:asciiTheme="majorHAnsi" w:eastAsiaTheme="majorEastAsia" w:hAnsiTheme="majorHAnsi" w:cstheme="majorBidi"/>
          <w:b/>
          <w:bCs/>
          <w:color w:val="365F91" w:themeColor="accent1" w:themeShade="BF"/>
          <w:sz w:val="40"/>
          <w:szCs w:val="40"/>
          <w:lang w:eastAsia="en-GB"/>
        </w:rPr>
      </w:pPr>
      <w:r>
        <w:br w:type="page"/>
      </w:r>
    </w:p>
    <w:p w:rsidR="001C55F3" w:rsidRPr="006F24D4" w:rsidRDefault="001C55F3" w:rsidP="00622218">
      <w:pPr>
        <w:pStyle w:val="Titre1"/>
        <w:numPr>
          <w:ilvl w:val="0"/>
          <w:numId w:val="116"/>
        </w:numPr>
        <w:ind w:hanging="720"/>
        <w:rPr>
          <w:sz w:val="36"/>
          <w:szCs w:val="36"/>
          <w:lang w:eastAsia="en-GB"/>
        </w:rPr>
      </w:pPr>
      <w:r w:rsidRPr="006F24D4">
        <w:rPr>
          <w:sz w:val="36"/>
          <w:szCs w:val="36"/>
          <w:lang w:eastAsia="en-GB"/>
        </w:rPr>
        <w:lastRenderedPageBreak/>
        <w:t xml:space="preserve">RESULTS </w:t>
      </w:r>
    </w:p>
    <w:p w:rsidR="001C55F3" w:rsidRDefault="001C55F3" w:rsidP="006C2EBB">
      <w:pPr>
        <w:rPr>
          <w:lang w:eastAsia="en-GB"/>
        </w:rPr>
      </w:pPr>
    </w:p>
    <w:p w:rsidR="001C55F3" w:rsidRDefault="001C55F3" w:rsidP="000F17E8">
      <w:pPr>
        <w:pStyle w:val="Titre2"/>
        <w:rPr>
          <w:lang w:eastAsia="en-GB"/>
        </w:rPr>
      </w:pPr>
      <w:r>
        <w:rPr>
          <w:lang w:eastAsia="en-GB"/>
        </w:rPr>
        <w:t>2.1</w:t>
      </w:r>
      <w:r>
        <w:rPr>
          <w:lang w:eastAsia="en-GB"/>
        </w:rPr>
        <w:tab/>
      </w:r>
      <w:r w:rsidRPr="006C2EBB">
        <w:rPr>
          <w:lang w:eastAsia="en-GB"/>
        </w:rPr>
        <w:t>Introduction</w:t>
      </w:r>
    </w:p>
    <w:p w:rsidR="001C55F3" w:rsidRDefault="001C55F3" w:rsidP="000F17E8">
      <w:pPr>
        <w:spacing w:line="240" w:lineRule="auto"/>
        <w:rPr>
          <w:lang w:eastAsia="en-GB"/>
        </w:rPr>
      </w:pPr>
    </w:p>
    <w:p w:rsidR="001C55F3" w:rsidRDefault="001C55F3" w:rsidP="000F17E8">
      <w:pPr>
        <w:spacing w:line="240" w:lineRule="auto"/>
        <w:rPr>
          <w:lang w:eastAsia="en-GB"/>
        </w:rPr>
      </w:pPr>
      <w:r>
        <w:rPr>
          <w:lang w:eastAsia="en-GB"/>
        </w:rPr>
        <w:t xml:space="preserve">Task 3 has 2 sets of results from two distinct activities. </w:t>
      </w:r>
    </w:p>
    <w:p w:rsidR="001C55F3" w:rsidRDefault="001C55F3" w:rsidP="00622218">
      <w:pPr>
        <w:pStyle w:val="Paragraphedeliste"/>
        <w:numPr>
          <w:ilvl w:val="0"/>
          <w:numId w:val="112"/>
        </w:numPr>
        <w:spacing w:line="240" w:lineRule="auto"/>
        <w:rPr>
          <w:lang w:eastAsia="en-GB"/>
        </w:rPr>
      </w:pPr>
      <w:r>
        <w:rPr>
          <w:lang w:eastAsia="en-GB"/>
        </w:rPr>
        <w:t xml:space="preserve">In the Workshop, 2 sessions were held which aimed at generating an overview of Gaps and Recommendations on how to deal with these gaps. The results of each of these sessions have been presented in the Workshop Report (already on CIRCA). In the following section (6.2) we present a framework in which the Gaps are matched with the Recommendations, as suggested by the consortium partners, the external expert advisors and members of the steering group. </w:t>
      </w:r>
      <w:r w:rsidRPr="008B185B">
        <w:rPr>
          <w:b/>
          <w:i/>
          <w:lang w:eastAsia="en-GB"/>
        </w:rPr>
        <w:t>In italics</w:t>
      </w:r>
      <w:r>
        <w:rPr>
          <w:lang w:eastAsia="en-GB"/>
        </w:rPr>
        <w:t xml:space="preserve"> additional suggestions are entered by the Contractor. Additional recommendations will be developed as the project evolves, and will be checked against the expertise of the Workshop participant before the Final report. A discussion of the workshop results is included in section 6.3.</w:t>
      </w:r>
    </w:p>
    <w:p w:rsidR="001C55F3" w:rsidRPr="005F2C66" w:rsidRDefault="001C55F3" w:rsidP="00622218">
      <w:pPr>
        <w:pStyle w:val="Paragraphedeliste"/>
        <w:numPr>
          <w:ilvl w:val="0"/>
          <w:numId w:val="112"/>
        </w:numPr>
        <w:spacing w:line="240" w:lineRule="auto"/>
        <w:rPr>
          <w:lang w:eastAsia="en-GB"/>
        </w:rPr>
      </w:pPr>
      <w:r w:rsidRPr="005F2C66">
        <w:rPr>
          <w:lang w:eastAsia="en-GB"/>
        </w:rPr>
        <w:t xml:space="preserve">The Fact Sheets(see ANNEX 1) presentboth problems encountered, and weak points ( a type of gap) and strong points (sometimes solutions to these gaps). In 6.4 a summary is given of these gaps and recommendations. </w:t>
      </w:r>
    </w:p>
    <w:p w:rsidR="001C55F3" w:rsidRDefault="001C55F3" w:rsidP="000F17E8">
      <w:pPr>
        <w:spacing w:line="240" w:lineRule="auto"/>
        <w:rPr>
          <w:lang w:eastAsia="en-GB"/>
        </w:rPr>
      </w:pPr>
      <w:r>
        <w:rPr>
          <w:lang w:eastAsia="en-GB"/>
        </w:rPr>
        <w:t>The results of this work is meant to contribute to an outline of a Guidance Manual to mapping and assessment of ecosystems and their services in the Member States .</w:t>
      </w:r>
    </w:p>
    <w:p w:rsidR="001C55F3" w:rsidRPr="00E63AB6" w:rsidRDefault="001C55F3" w:rsidP="000F17E8">
      <w:pPr>
        <w:spacing w:line="240" w:lineRule="auto"/>
        <w:rPr>
          <w:lang w:eastAsia="en-GB"/>
        </w:rPr>
      </w:pPr>
    </w:p>
    <w:p w:rsidR="001C55F3" w:rsidRDefault="001C55F3" w:rsidP="007E43B6">
      <w:pPr>
        <w:pStyle w:val="Titre2"/>
        <w:tabs>
          <w:tab w:val="left" w:pos="851"/>
        </w:tabs>
        <w:ind w:left="851" w:hanging="851"/>
        <w:rPr>
          <w:lang w:eastAsia="en-GB"/>
        </w:rPr>
      </w:pPr>
      <w:r>
        <w:rPr>
          <w:lang w:eastAsia="en-GB"/>
        </w:rPr>
        <w:t>2.2</w:t>
      </w:r>
      <w:r>
        <w:rPr>
          <w:lang w:eastAsia="en-GB"/>
        </w:rPr>
        <w:tab/>
      </w:r>
      <w:r w:rsidRPr="006C2EBB">
        <w:rPr>
          <w:lang w:eastAsia="en-GB"/>
        </w:rPr>
        <w:t xml:space="preserve">The Results of Gap identification at the workshop and </w:t>
      </w:r>
      <w:r>
        <w:rPr>
          <w:lang w:eastAsia="en-GB"/>
        </w:rPr>
        <w:t xml:space="preserve">preliminary </w:t>
      </w:r>
      <w:r w:rsidRPr="006C2EBB">
        <w:rPr>
          <w:lang w:eastAsia="en-GB"/>
        </w:rPr>
        <w:t xml:space="preserve">recommendations </w:t>
      </w:r>
    </w:p>
    <w:p w:rsidR="001C55F3" w:rsidRPr="00BB425F" w:rsidRDefault="001C55F3" w:rsidP="00BB425F">
      <w:pPr>
        <w:rPr>
          <w:lang w:eastAsia="en-GB"/>
        </w:rPr>
      </w:pPr>
    </w:p>
    <w:tbl>
      <w:tblPr>
        <w:tblW w:w="9640" w:type="dxa"/>
        <w:tblInd w:w="-176" w:type="dxa"/>
        <w:tblLayout w:type="fixed"/>
        <w:tblLook w:val="0000"/>
      </w:tblPr>
      <w:tblGrid>
        <w:gridCol w:w="1560"/>
        <w:gridCol w:w="3827"/>
        <w:gridCol w:w="4253"/>
      </w:tblGrid>
      <w:tr w:rsidR="001C55F3" w:rsidRPr="0024594E" w:rsidTr="00631110">
        <w:trPr>
          <w:trHeight w:val="290"/>
        </w:trPr>
        <w:tc>
          <w:tcPr>
            <w:tcW w:w="1560" w:type="dxa"/>
            <w:tcBorders>
              <w:top w:val="single" w:sz="6" w:space="0" w:color="auto"/>
              <w:left w:val="single" w:sz="6" w:space="0" w:color="auto"/>
              <w:bottom w:val="single" w:sz="6" w:space="0" w:color="auto"/>
              <w:right w:val="single" w:sz="6" w:space="0" w:color="auto"/>
            </w:tcBorders>
            <w:shd w:val="clear" w:color="auto" w:fill="548DD4" w:themeFill="text2" w:themeFillTint="99"/>
          </w:tcPr>
          <w:p w:rsidR="001C55F3" w:rsidRPr="00C47D28" w:rsidRDefault="001C55F3">
            <w:pPr>
              <w:autoSpaceDE w:val="0"/>
              <w:autoSpaceDN w:val="0"/>
              <w:adjustRightInd w:val="0"/>
              <w:spacing w:after="0" w:line="240" w:lineRule="auto"/>
              <w:rPr>
                <w:rFonts w:ascii="Calibri" w:hAnsi="Calibri" w:cs="Calibri"/>
                <w:b/>
                <w:bCs/>
                <w:color w:val="000000"/>
                <w:sz w:val="20"/>
                <w:szCs w:val="20"/>
              </w:rPr>
            </w:pPr>
            <w:r w:rsidRPr="00C47D28">
              <w:rPr>
                <w:rFonts w:ascii="Calibri" w:hAnsi="Calibri" w:cs="Calibri"/>
                <w:b/>
                <w:bCs/>
                <w:color w:val="000000"/>
                <w:sz w:val="20"/>
                <w:szCs w:val="20"/>
              </w:rPr>
              <w:t>Category</w:t>
            </w:r>
          </w:p>
        </w:tc>
        <w:tc>
          <w:tcPr>
            <w:tcW w:w="3827" w:type="dxa"/>
            <w:tcBorders>
              <w:top w:val="single" w:sz="6" w:space="0" w:color="auto"/>
              <w:left w:val="single" w:sz="6" w:space="0" w:color="auto"/>
              <w:bottom w:val="single" w:sz="6" w:space="0" w:color="auto"/>
              <w:right w:val="single" w:sz="6" w:space="0" w:color="auto"/>
            </w:tcBorders>
            <w:shd w:val="clear" w:color="auto" w:fill="548DD4" w:themeFill="text2" w:themeFillTint="99"/>
          </w:tcPr>
          <w:p w:rsidR="001C55F3" w:rsidRPr="00C47D28" w:rsidRDefault="001C55F3">
            <w:pPr>
              <w:autoSpaceDE w:val="0"/>
              <w:autoSpaceDN w:val="0"/>
              <w:adjustRightInd w:val="0"/>
              <w:spacing w:after="0" w:line="240" w:lineRule="auto"/>
              <w:rPr>
                <w:rFonts w:ascii="Calibri" w:hAnsi="Calibri" w:cs="Calibri"/>
                <w:b/>
                <w:bCs/>
                <w:color w:val="000000"/>
                <w:sz w:val="20"/>
                <w:szCs w:val="20"/>
              </w:rPr>
            </w:pPr>
            <w:r w:rsidRPr="00C47D28">
              <w:rPr>
                <w:rFonts w:ascii="Calibri" w:hAnsi="Calibri" w:cs="Calibri"/>
                <w:b/>
                <w:bCs/>
                <w:color w:val="000000"/>
                <w:sz w:val="20"/>
                <w:szCs w:val="20"/>
              </w:rPr>
              <w:t>Gaps</w:t>
            </w:r>
          </w:p>
        </w:tc>
        <w:tc>
          <w:tcPr>
            <w:tcW w:w="4253" w:type="dxa"/>
            <w:tcBorders>
              <w:top w:val="single" w:sz="6" w:space="0" w:color="auto"/>
              <w:left w:val="single" w:sz="6" w:space="0" w:color="auto"/>
              <w:bottom w:val="single" w:sz="6" w:space="0" w:color="auto"/>
              <w:right w:val="single" w:sz="6" w:space="0" w:color="auto"/>
            </w:tcBorders>
            <w:shd w:val="clear" w:color="auto" w:fill="548DD4" w:themeFill="text2" w:themeFillTint="99"/>
          </w:tcPr>
          <w:p w:rsidR="001C55F3" w:rsidRPr="00C47D28" w:rsidRDefault="001C55F3">
            <w:pPr>
              <w:autoSpaceDE w:val="0"/>
              <w:autoSpaceDN w:val="0"/>
              <w:adjustRightInd w:val="0"/>
              <w:spacing w:after="0" w:line="240" w:lineRule="auto"/>
              <w:rPr>
                <w:rFonts w:ascii="Calibri" w:hAnsi="Calibri" w:cs="Calibri"/>
                <w:b/>
                <w:bCs/>
                <w:color w:val="000000"/>
                <w:sz w:val="20"/>
                <w:szCs w:val="20"/>
              </w:rPr>
            </w:pPr>
            <w:r w:rsidRPr="00C47D28">
              <w:rPr>
                <w:rFonts w:ascii="Calibri" w:hAnsi="Calibri" w:cs="Calibri"/>
                <w:b/>
                <w:bCs/>
                <w:color w:val="000000"/>
                <w:sz w:val="20"/>
                <w:szCs w:val="20"/>
              </w:rPr>
              <w:t>Recommendations</w:t>
            </w:r>
          </w:p>
        </w:tc>
      </w:tr>
      <w:tr w:rsidR="001C55F3" w:rsidRPr="0024594E" w:rsidTr="00631110">
        <w:trPr>
          <w:trHeight w:val="290"/>
        </w:trPr>
        <w:tc>
          <w:tcPr>
            <w:tcW w:w="1560" w:type="dxa"/>
            <w:tcBorders>
              <w:top w:val="single" w:sz="6" w:space="0" w:color="auto"/>
              <w:left w:val="single" w:sz="6" w:space="0" w:color="auto"/>
              <w:bottom w:val="single" w:sz="6" w:space="0" w:color="auto"/>
              <w:right w:val="single" w:sz="6" w:space="0" w:color="auto"/>
            </w:tcBorders>
            <w:shd w:val="clear" w:color="auto" w:fill="C6D9F1" w:themeFill="text2" w:themeFillTint="33"/>
          </w:tcPr>
          <w:p w:rsidR="001C55F3" w:rsidRPr="00C47D28" w:rsidRDefault="001C55F3">
            <w:pPr>
              <w:autoSpaceDE w:val="0"/>
              <w:autoSpaceDN w:val="0"/>
              <w:adjustRightInd w:val="0"/>
              <w:spacing w:after="0" w:line="240" w:lineRule="auto"/>
              <w:rPr>
                <w:rFonts w:ascii="Calibri" w:hAnsi="Calibri" w:cs="Calibri"/>
                <w:b/>
                <w:bCs/>
                <w:color w:val="000000"/>
                <w:sz w:val="20"/>
                <w:szCs w:val="20"/>
              </w:rPr>
            </w:pPr>
            <w:r w:rsidRPr="00C47D28">
              <w:rPr>
                <w:rFonts w:ascii="Calibri" w:hAnsi="Calibri" w:cs="Calibri"/>
                <w:b/>
                <w:bCs/>
                <w:color w:val="000000"/>
                <w:sz w:val="20"/>
                <w:szCs w:val="20"/>
              </w:rPr>
              <w:t>Policy</w:t>
            </w:r>
          </w:p>
        </w:tc>
        <w:tc>
          <w:tcPr>
            <w:tcW w:w="3827" w:type="dxa"/>
            <w:tcBorders>
              <w:top w:val="single" w:sz="6" w:space="0" w:color="auto"/>
              <w:left w:val="single" w:sz="6" w:space="0" w:color="auto"/>
              <w:bottom w:val="single" w:sz="6" w:space="0" w:color="auto"/>
              <w:right w:val="single" w:sz="6" w:space="0" w:color="auto"/>
            </w:tcBorders>
            <w:shd w:val="clear" w:color="auto" w:fill="C6D9F1" w:themeFill="text2" w:themeFillTint="33"/>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r>
      <w:tr w:rsidR="001C55F3" w:rsidRPr="00390934" w:rsidTr="006652B8">
        <w:trPr>
          <w:trHeight w:val="291"/>
        </w:trPr>
        <w:tc>
          <w:tcPr>
            <w:tcW w:w="1560"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1. </w:t>
            </w:r>
            <w:r w:rsidRPr="00C47D28">
              <w:rPr>
                <w:rFonts w:ascii="Calibri" w:hAnsi="Calibri" w:cs="Calibri"/>
                <w:b/>
                <w:bCs/>
                <w:color w:val="000000"/>
                <w:sz w:val="20"/>
                <w:szCs w:val="20"/>
              </w:rPr>
              <w:t>Lack of cooperation</w:t>
            </w:r>
            <w:r w:rsidRPr="00C47D28">
              <w:rPr>
                <w:rFonts w:ascii="Calibri" w:hAnsi="Calibri" w:cs="Calibri"/>
                <w:color w:val="000000"/>
                <w:sz w:val="20"/>
                <w:szCs w:val="20"/>
              </w:rPr>
              <w:t xml:space="preserve"> between MAES and authorities/decision makers at national level;</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1C55F3">
            <w:pPr>
              <w:tabs>
                <w:tab w:val="left" w:pos="3088"/>
              </w:tabs>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1.1. Promote MAES national initiatives;</w:t>
            </w:r>
          </w:p>
        </w:tc>
      </w:tr>
      <w:tr w:rsidR="001C55F3" w:rsidRPr="00390934" w:rsidTr="006652B8">
        <w:trPr>
          <w:trHeight w:val="290"/>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1.2. Work on up-scaling from national/local initiatives;</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1.3. Arrange workshops at EU level to promote reporting on MAES.</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2. </w:t>
            </w:r>
            <w:r w:rsidRPr="00C47D28">
              <w:rPr>
                <w:rFonts w:ascii="Calibri" w:hAnsi="Calibri" w:cs="Calibri"/>
                <w:b/>
                <w:bCs/>
                <w:color w:val="000000"/>
                <w:sz w:val="20"/>
                <w:szCs w:val="20"/>
              </w:rPr>
              <w:t>Lack of</w:t>
            </w:r>
            <w:r w:rsidRPr="00C47D28">
              <w:rPr>
                <w:rFonts w:ascii="Calibri" w:hAnsi="Calibri" w:cs="Calibri"/>
                <w:color w:val="000000"/>
                <w:sz w:val="20"/>
                <w:szCs w:val="20"/>
              </w:rPr>
              <w:t xml:space="preserve"> Member States showing distinct </w:t>
            </w:r>
            <w:r w:rsidRPr="00C47D28">
              <w:rPr>
                <w:rFonts w:ascii="Calibri" w:hAnsi="Calibri" w:cs="Calibri"/>
                <w:b/>
                <w:bCs/>
                <w:color w:val="000000"/>
                <w:sz w:val="20"/>
                <w:szCs w:val="20"/>
              </w:rPr>
              <w:t xml:space="preserve">commitment </w:t>
            </w:r>
            <w:r w:rsidRPr="00C47D28">
              <w:rPr>
                <w:rFonts w:ascii="Calibri" w:hAnsi="Calibri" w:cs="Calibri"/>
                <w:color w:val="000000"/>
                <w:sz w:val="20"/>
                <w:szCs w:val="20"/>
              </w:rPr>
              <w:t>levels and willingness to participate;</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i/>
                <w:color w:val="000000"/>
                <w:sz w:val="20"/>
                <w:szCs w:val="20"/>
              </w:rPr>
            </w:pPr>
            <w:r w:rsidRPr="00C47D28">
              <w:rPr>
                <w:rFonts w:ascii="Calibri" w:hAnsi="Calibri" w:cs="Calibri"/>
                <w:i/>
                <w:color w:val="000000"/>
                <w:sz w:val="20"/>
                <w:szCs w:val="20"/>
              </w:rPr>
              <w:t xml:space="preserve">2.1 Increasing attendance at MAES WG meetings shows commitment is developing. </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i/>
                <w:color w:val="000000"/>
                <w:sz w:val="20"/>
                <w:szCs w:val="20"/>
              </w:rPr>
              <w:t>2.2 The EU Thematic Pilots show similar development profile.</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3. </w:t>
            </w:r>
            <w:r w:rsidRPr="00C47D28">
              <w:rPr>
                <w:rFonts w:ascii="Calibri" w:hAnsi="Calibri" w:cs="Calibri"/>
                <w:b/>
                <w:bCs/>
                <w:color w:val="000000"/>
                <w:sz w:val="20"/>
                <w:szCs w:val="20"/>
              </w:rPr>
              <w:t>Lack of integration of MAES results</w:t>
            </w:r>
            <w:r w:rsidRPr="00C47D28">
              <w:rPr>
                <w:rFonts w:ascii="Calibri" w:hAnsi="Calibri" w:cs="Calibri"/>
                <w:color w:val="000000"/>
                <w:sz w:val="20"/>
                <w:szCs w:val="20"/>
              </w:rPr>
              <w:t xml:space="preserve"> into policy at EU and at national level;</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i/>
                <w:color w:val="000000"/>
                <w:sz w:val="20"/>
                <w:szCs w:val="20"/>
              </w:rPr>
            </w:pPr>
            <w:r w:rsidRPr="00C47D28">
              <w:rPr>
                <w:rFonts w:ascii="Calibri" w:hAnsi="Calibri" w:cs="Calibri"/>
                <w:i/>
                <w:color w:val="000000"/>
                <w:sz w:val="20"/>
                <w:szCs w:val="20"/>
              </w:rPr>
              <w:t>3.1 It seems a bit early to observe this as a gap, but it would deserve extra attention in the process of MAES.</w:t>
            </w:r>
          </w:p>
        </w:tc>
      </w:tr>
      <w:tr w:rsidR="001C55F3" w:rsidRPr="00390934" w:rsidTr="006652B8">
        <w:trPr>
          <w:trHeight w:val="2662"/>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4. </w:t>
            </w:r>
            <w:r w:rsidRPr="00C47D28">
              <w:rPr>
                <w:rFonts w:ascii="Calibri" w:hAnsi="Calibri" w:cs="Calibri"/>
                <w:b/>
                <w:bCs/>
                <w:color w:val="000000"/>
                <w:sz w:val="20"/>
                <w:szCs w:val="20"/>
              </w:rPr>
              <w:t>Lack of understanding</w:t>
            </w:r>
            <w:r w:rsidRPr="00C47D28">
              <w:rPr>
                <w:rFonts w:ascii="Calibri" w:hAnsi="Calibri" w:cs="Calibri"/>
                <w:color w:val="000000"/>
                <w:sz w:val="20"/>
                <w:szCs w:val="20"/>
              </w:rPr>
              <w:t xml:space="preserve"> on:</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o How do the Directives (Habitat &amp; Bird?) link into MAES?</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o Where do data and information come from?</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o How will 2020 targets be distributed/downscaled to the national level?</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o What is the local applicability of MAES? Is it local or regional level (or both)?</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o What opportunities are offered by MAES?</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o What comes after 2014?</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24594E">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4.1. Need to develop a scheme answering these questions</w:t>
            </w:r>
            <w:r w:rsidRPr="00C47D28">
              <w:rPr>
                <w:rFonts w:ascii="Calibri" w:hAnsi="Calibri" w:cs="Calibri"/>
                <w:i/>
                <w:color w:val="000000"/>
                <w:sz w:val="20"/>
                <w:szCs w:val="20"/>
              </w:rPr>
              <w:t>. Task 2 of MESEU Project and HCSC Pilot are expected to provide relevant information.</w:t>
            </w:r>
          </w:p>
          <w:p w:rsidR="001C55F3" w:rsidRPr="00C47D28" w:rsidRDefault="001C55F3" w:rsidP="0024594E">
            <w:pPr>
              <w:autoSpaceDE w:val="0"/>
              <w:autoSpaceDN w:val="0"/>
              <w:adjustRightInd w:val="0"/>
              <w:spacing w:after="0" w:line="240" w:lineRule="auto"/>
              <w:rPr>
                <w:rFonts w:ascii="Calibri" w:hAnsi="Calibri" w:cs="Calibri"/>
                <w:color w:val="000000"/>
                <w:sz w:val="20"/>
                <w:szCs w:val="20"/>
              </w:rPr>
            </w:pPr>
          </w:p>
        </w:tc>
      </w:tr>
      <w:tr w:rsidR="001C55F3" w:rsidRPr="00390934" w:rsidTr="006652B8">
        <w:trPr>
          <w:trHeight w:val="1111"/>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5. </w:t>
            </w:r>
            <w:r w:rsidRPr="00C47D28">
              <w:rPr>
                <w:rFonts w:ascii="Calibri" w:hAnsi="Calibri" w:cs="Calibri"/>
                <w:b/>
                <w:bCs/>
                <w:color w:val="000000"/>
                <w:sz w:val="20"/>
                <w:szCs w:val="20"/>
              </w:rPr>
              <w:t>Lack of trust between scientists and policy</w:t>
            </w:r>
            <w:r w:rsidRPr="00C47D28">
              <w:rPr>
                <w:rFonts w:ascii="Calibri" w:hAnsi="Calibri" w:cs="Calibri"/>
                <w:color w:val="000000"/>
                <w:sz w:val="20"/>
                <w:szCs w:val="20"/>
              </w:rPr>
              <w:t>. Scientists are scared to show their information because they don't know how it will be used, they fear that it could be taken against biodiversity;</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5.1. Need to enhance the communication between the two parties to make ES assessment and mapping more interesting to the eyes of politicians in order to open up funding opportunities;</w:t>
            </w:r>
            <w:r w:rsidRPr="00C47D28">
              <w:rPr>
                <w:rFonts w:ascii="Calibri" w:hAnsi="Calibri" w:cs="Calibri"/>
                <w:i/>
                <w:color w:val="000000"/>
                <w:sz w:val="20"/>
                <w:szCs w:val="20"/>
              </w:rPr>
              <w:t>The Science –Policy projects, IPBES, KNEU all are initiatives to counter this gap.</w:t>
            </w:r>
          </w:p>
        </w:tc>
      </w:tr>
      <w:tr w:rsidR="001C55F3" w:rsidRPr="00390934" w:rsidTr="006652B8">
        <w:trPr>
          <w:trHeight w:val="1111"/>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5.2. Implement ‘ambassadors’, motivated individuals and key scientists to deliver information to policy on the benefits generated from ES assessments and mapping and on the process;</w:t>
            </w:r>
          </w:p>
        </w:tc>
      </w:tr>
      <w:tr w:rsidR="001C55F3" w:rsidRPr="00390934" w:rsidTr="006652B8">
        <w:trPr>
          <w:trHeight w:val="1390"/>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5.3. Awareness-raising of policy comes via the awareness-raising of the public. Take LIFE approach/road building approach; used signage and advertisements to show where ecosystem services have been restored and/or maintained by commission funding;</w:t>
            </w:r>
          </w:p>
        </w:tc>
      </w:tr>
      <w:tr w:rsidR="001C55F3" w:rsidRPr="00390934" w:rsidTr="006652B8">
        <w:trPr>
          <w:trHeight w:val="835"/>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5.4. Do not kill the concept with mis- or over-communication (e.g. climate change was discredited through poor communication);</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24594E">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5.5. Cooperation at the science- policy interface should lead to a smart, sustainable and inclusive growth 2020 strategy, </w:t>
            </w:r>
            <w:r w:rsidRPr="00C47D28">
              <w:rPr>
                <w:rFonts w:ascii="Calibri" w:hAnsi="Calibri" w:cs="Calibri"/>
                <w:i/>
                <w:color w:val="000000"/>
                <w:sz w:val="20"/>
                <w:szCs w:val="20"/>
              </w:rPr>
              <w:t>including adequate protection of biodiversity.</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6.</w:t>
            </w:r>
            <w:r w:rsidRPr="00C47D28">
              <w:rPr>
                <w:rFonts w:ascii="Calibri" w:hAnsi="Calibri" w:cs="Calibri"/>
                <w:b/>
                <w:bCs/>
                <w:color w:val="000000"/>
                <w:sz w:val="20"/>
                <w:szCs w:val="20"/>
              </w:rPr>
              <w:t xml:space="preserve"> Lack of use of science and ES assessment</w:t>
            </w:r>
            <w:r w:rsidRPr="00C47D28">
              <w:rPr>
                <w:rFonts w:ascii="Calibri" w:hAnsi="Calibri" w:cs="Calibri"/>
                <w:color w:val="000000"/>
                <w:sz w:val="20"/>
                <w:szCs w:val="20"/>
              </w:rPr>
              <w:t xml:space="preserve"> to test policy decision efficiency;</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i/>
                <w:color w:val="000000"/>
                <w:sz w:val="20"/>
                <w:szCs w:val="20"/>
              </w:rPr>
            </w:pPr>
            <w:r w:rsidRPr="00C47D28">
              <w:rPr>
                <w:rFonts w:ascii="Calibri" w:hAnsi="Calibri" w:cs="Calibri"/>
                <w:i/>
                <w:color w:val="000000"/>
                <w:sz w:val="20"/>
                <w:szCs w:val="20"/>
              </w:rPr>
              <w:t xml:space="preserve">6.1 Involve scientists in Member State Target 2 Actions; </w:t>
            </w:r>
          </w:p>
          <w:p w:rsidR="001C55F3" w:rsidRPr="00C47D28" w:rsidRDefault="001C55F3">
            <w:pPr>
              <w:autoSpaceDE w:val="0"/>
              <w:autoSpaceDN w:val="0"/>
              <w:adjustRightInd w:val="0"/>
              <w:spacing w:after="0" w:line="240" w:lineRule="auto"/>
              <w:rPr>
                <w:rFonts w:ascii="Calibri" w:hAnsi="Calibri" w:cs="Calibri"/>
                <w:color w:val="000000"/>
                <w:sz w:val="20"/>
                <w:szCs w:val="20"/>
              </w:rPr>
            </w:pPr>
          </w:p>
        </w:tc>
      </w:tr>
      <w:tr w:rsidR="001C55F3" w:rsidRPr="00390934" w:rsidTr="006652B8">
        <w:trPr>
          <w:trHeight w:val="1111"/>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7.</w:t>
            </w:r>
            <w:r w:rsidRPr="00C47D28">
              <w:rPr>
                <w:rFonts w:ascii="Calibri" w:hAnsi="Calibri" w:cs="Calibri"/>
                <w:b/>
                <w:bCs/>
                <w:color w:val="000000"/>
                <w:sz w:val="20"/>
                <w:szCs w:val="20"/>
              </w:rPr>
              <w:t xml:space="preserve"> Apparent injustice</w:t>
            </w:r>
            <w:r w:rsidRPr="00C47D28">
              <w:rPr>
                <w:rFonts w:ascii="Calibri" w:hAnsi="Calibri" w:cs="Calibri"/>
                <w:color w:val="000000"/>
                <w:sz w:val="20"/>
                <w:szCs w:val="20"/>
              </w:rPr>
              <w:t xml:space="preserve"> in the way sectors are treated (e.g. poaching carries a much heavier penalty than quarrying which is severely impacting on ecosystem services but allowed by society);</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i/>
                <w:color w:val="000000"/>
                <w:sz w:val="20"/>
                <w:szCs w:val="20"/>
              </w:rPr>
            </w:pPr>
            <w:r w:rsidRPr="00C47D28">
              <w:rPr>
                <w:rFonts w:ascii="Calibri" w:hAnsi="Calibri" w:cs="Calibri"/>
                <w:i/>
                <w:color w:val="000000"/>
                <w:sz w:val="20"/>
                <w:szCs w:val="20"/>
              </w:rPr>
              <w:t>7.1 The legal aspects across environmental policies and across Member States and the EU is a very relevant issue, which is not addressed in adequate force. Some attention will be given in the FP7 OpenNESS project.</w:t>
            </w:r>
          </w:p>
        </w:tc>
      </w:tr>
      <w:tr w:rsidR="001C55F3" w:rsidRPr="00390934" w:rsidTr="006652B8">
        <w:trPr>
          <w:trHeight w:val="290"/>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
                <w:bCs/>
                <w:color w:val="000000"/>
                <w:sz w:val="20"/>
                <w:szCs w:val="20"/>
              </w:rPr>
            </w:pPr>
            <w:r w:rsidRPr="00C47D28">
              <w:rPr>
                <w:rFonts w:ascii="Calibri" w:hAnsi="Calibri" w:cs="Calibri"/>
                <w:color w:val="000000"/>
                <w:sz w:val="20"/>
                <w:szCs w:val="20"/>
              </w:rPr>
              <w:t xml:space="preserve">8. </w:t>
            </w:r>
            <w:r w:rsidRPr="00C47D28">
              <w:rPr>
                <w:rFonts w:ascii="Calibri" w:hAnsi="Calibri" w:cs="Calibri"/>
                <w:b/>
                <w:bCs/>
                <w:color w:val="000000"/>
                <w:sz w:val="20"/>
                <w:szCs w:val="20"/>
              </w:rPr>
              <w:t>Lack of stakeholder involvement.</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8.1. Identify the relevant and dedicated stakeholders;</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8.2. Set up working groups by cultural and/or bio-geographical regions;</w:t>
            </w:r>
          </w:p>
        </w:tc>
      </w:tr>
      <w:tr w:rsidR="001C55F3" w:rsidRPr="00390934" w:rsidTr="006652B8">
        <w:trPr>
          <w:trHeight w:val="1111"/>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8B185B">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8.3. Incentives have to be provided by state institutes for nature/municipalities/funding bodies.</w:t>
            </w:r>
          </w:p>
        </w:tc>
      </w:tr>
      <w:tr w:rsidR="001C55F3" w:rsidRPr="00390934" w:rsidTr="006652B8">
        <w:trPr>
          <w:trHeight w:val="1111"/>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8B185B">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8.4. Provide context for scale beyond the single farm (farms should be allowed to form collectives / cooperatives in order to make the most of MAES related activities to restore ecosystem services and receive meaningful payments);</w:t>
            </w:r>
          </w:p>
        </w:tc>
      </w:tr>
      <w:tr w:rsidR="001C55F3" w:rsidRPr="00390934" w:rsidTr="006652B8">
        <w:trPr>
          <w:trHeight w:val="290"/>
        </w:trPr>
        <w:tc>
          <w:tcPr>
            <w:tcW w:w="1560"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8.5. Implement (</w:t>
            </w:r>
            <w:r w:rsidRPr="00C47D28">
              <w:rPr>
                <w:rFonts w:ascii="Calibri" w:hAnsi="Calibri" w:cs="Calibri"/>
                <w:i/>
                <w:color w:val="000000"/>
                <w:sz w:val="20"/>
                <w:szCs w:val="20"/>
              </w:rPr>
              <w:t>current and develop where relevant</w:t>
            </w:r>
            <w:r w:rsidRPr="00C47D28">
              <w:rPr>
                <w:rFonts w:ascii="Calibri" w:hAnsi="Calibri" w:cs="Calibri"/>
                <w:color w:val="000000"/>
                <w:sz w:val="20"/>
                <w:szCs w:val="20"/>
              </w:rPr>
              <w:t>) tax incentives.</w:t>
            </w:r>
          </w:p>
        </w:tc>
      </w:tr>
      <w:tr w:rsidR="001C55F3" w:rsidRPr="00390934" w:rsidTr="00631110">
        <w:trPr>
          <w:trHeight w:val="290"/>
        </w:trPr>
        <w:tc>
          <w:tcPr>
            <w:tcW w:w="1560" w:type="dxa"/>
            <w:tcBorders>
              <w:top w:val="single" w:sz="6" w:space="0" w:color="auto"/>
              <w:left w:val="single" w:sz="6" w:space="0" w:color="auto"/>
              <w:bottom w:val="single" w:sz="6" w:space="0" w:color="auto"/>
              <w:right w:val="single" w:sz="6" w:space="0" w:color="auto"/>
            </w:tcBorders>
            <w:shd w:val="clear" w:color="auto" w:fill="C6D9F1" w:themeFill="text2" w:themeFillTint="33"/>
          </w:tcPr>
          <w:p w:rsidR="001C55F3" w:rsidRPr="00C47D28" w:rsidRDefault="001C55F3">
            <w:pPr>
              <w:autoSpaceDE w:val="0"/>
              <w:autoSpaceDN w:val="0"/>
              <w:adjustRightInd w:val="0"/>
              <w:spacing w:after="0" w:line="240" w:lineRule="auto"/>
              <w:rPr>
                <w:rFonts w:ascii="Calibri" w:hAnsi="Calibri" w:cs="Calibri"/>
                <w:b/>
                <w:bCs/>
                <w:color w:val="000000"/>
                <w:sz w:val="20"/>
                <w:szCs w:val="20"/>
              </w:rPr>
            </w:pPr>
            <w:r w:rsidRPr="00C47D28">
              <w:rPr>
                <w:rFonts w:ascii="Calibri" w:hAnsi="Calibri" w:cs="Calibri"/>
                <w:b/>
                <w:bCs/>
                <w:color w:val="000000"/>
                <w:sz w:val="20"/>
                <w:szCs w:val="20"/>
              </w:rPr>
              <w:t>Methodology</w:t>
            </w:r>
          </w:p>
        </w:tc>
        <w:tc>
          <w:tcPr>
            <w:tcW w:w="3827" w:type="dxa"/>
            <w:tcBorders>
              <w:top w:val="single" w:sz="6" w:space="0" w:color="auto"/>
              <w:left w:val="single" w:sz="6" w:space="0" w:color="auto"/>
              <w:bottom w:val="single" w:sz="6" w:space="0" w:color="auto"/>
              <w:right w:val="single" w:sz="6" w:space="0" w:color="auto"/>
            </w:tcBorders>
            <w:shd w:val="clear" w:color="auto" w:fill="C6D9F1" w:themeFill="text2" w:themeFillTint="33"/>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r>
      <w:tr w:rsidR="001C55F3" w:rsidRPr="00390934" w:rsidTr="006652B8">
        <w:trPr>
          <w:trHeight w:val="1150"/>
        </w:trPr>
        <w:tc>
          <w:tcPr>
            <w:tcW w:w="1560"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r w:rsidRPr="00C47D28">
              <w:rPr>
                <w:rFonts w:ascii="Calibri" w:hAnsi="Calibri" w:cs="Calibri"/>
                <w:bCs/>
                <w:color w:val="000000"/>
                <w:sz w:val="20"/>
                <w:szCs w:val="20"/>
              </w:rPr>
              <w:t>Lack of harmonization</w:t>
            </w:r>
          </w:p>
        </w:tc>
        <w:tc>
          <w:tcPr>
            <w:tcW w:w="3827" w:type="dxa"/>
            <w:tcBorders>
              <w:top w:val="single" w:sz="6" w:space="0" w:color="auto"/>
              <w:left w:val="single" w:sz="6" w:space="0" w:color="auto"/>
              <w:bottom w:val="nil"/>
              <w:right w:val="single" w:sz="6" w:space="0" w:color="auto"/>
            </w:tcBorders>
          </w:tcPr>
          <w:p w:rsidR="001C55F3" w:rsidRPr="00C47D28" w:rsidRDefault="001C55F3" w:rsidP="00FE489A">
            <w:pPr>
              <w:autoSpaceDE w:val="0"/>
              <w:autoSpaceDN w:val="0"/>
              <w:adjustRightInd w:val="0"/>
              <w:spacing w:after="0" w:line="240" w:lineRule="auto"/>
              <w:rPr>
                <w:rFonts w:ascii="Calibri" w:hAnsi="Calibri" w:cs="Calibri"/>
                <w:b/>
                <w:bCs/>
                <w:color w:val="000000"/>
                <w:sz w:val="20"/>
                <w:szCs w:val="20"/>
              </w:rPr>
            </w:pPr>
            <w:r w:rsidRPr="00C47D28">
              <w:rPr>
                <w:rFonts w:ascii="Calibri" w:hAnsi="Calibri" w:cs="Calibri"/>
                <w:color w:val="000000"/>
                <w:sz w:val="20"/>
                <w:szCs w:val="20"/>
              </w:rPr>
              <w:t xml:space="preserve">1. </w:t>
            </w:r>
            <w:r w:rsidRPr="00C47D28">
              <w:rPr>
                <w:rFonts w:ascii="Calibri" w:hAnsi="Calibri" w:cs="Calibri"/>
                <w:b/>
                <w:color w:val="000000"/>
                <w:sz w:val="20"/>
                <w:szCs w:val="20"/>
              </w:rPr>
              <w:t>O</w:t>
            </w:r>
            <w:r w:rsidRPr="00C47D28">
              <w:rPr>
                <w:rFonts w:ascii="Calibri" w:hAnsi="Calibri" w:cs="Calibri"/>
                <w:b/>
                <w:bCs/>
                <w:color w:val="000000"/>
                <w:sz w:val="20"/>
                <w:szCs w:val="20"/>
              </w:rPr>
              <w:t>f nomenclature, typology, classification (</w:t>
            </w:r>
            <w:r w:rsidRPr="00C47D28">
              <w:rPr>
                <w:rFonts w:ascii="Calibri" w:hAnsi="Calibri" w:cs="Calibri"/>
                <w:bCs/>
                <w:i/>
                <w:color w:val="000000"/>
                <w:sz w:val="20"/>
                <w:szCs w:val="20"/>
              </w:rPr>
              <w:t xml:space="preserve"> this is clearly shown in the Country Case studies Table Group 2)</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1.1. Relate classifications, typologies, definitions and nomenclatures of the MAES framework to similar frameworks existing in other sectors such as forestry, agriculture, water, etc. and determine commonalities and differences;</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1.2. Make conversion tables for the existing typologies/classification; (</w:t>
            </w:r>
            <w:r w:rsidRPr="00C47D28">
              <w:rPr>
                <w:rFonts w:ascii="Calibri" w:hAnsi="Calibri" w:cs="Calibri"/>
                <w:i/>
                <w:color w:val="000000"/>
                <w:sz w:val="20"/>
                <w:szCs w:val="20"/>
              </w:rPr>
              <w:t>See example in the MAES Analytical Framework, Maes et al., 2013)</w:t>
            </w:r>
          </w:p>
        </w:tc>
      </w:tr>
      <w:tr w:rsidR="001C55F3" w:rsidRPr="00390934" w:rsidTr="006652B8">
        <w:trPr>
          <w:trHeight w:val="581"/>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1.3. Apply and test the existing framework provided by the MAES Working Group on the pilot cases/country cases (</w:t>
            </w:r>
            <w:r w:rsidRPr="00C47D28">
              <w:rPr>
                <w:rFonts w:ascii="Calibri" w:hAnsi="Calibri" w:cs="Calibri"/>
                <w:i/>
                <w:color w:val="000000"/>
                <w:sz w:val="20"/>
                <w:szCs w:val="20"/>
              </w:rPr>
              <w:t>in National and regional cases across Europe)</w:t>
            </w:r>
          </w:p>
        </w:tc>
      </w:tr>
      <w:tr w:rsidR="001C55F3" w:rsidRPr="00390934" w:rsidTr="006652B8">
        <w:trPr>
          <w:trHeight w:val="90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2. </w:t>
            </w:r>
            <w:r w:rsidRPr="00C47D28">
              <w:rPr>
                <w:rFonts w:ascii="Calibri" w:hAnsi="Calibri" w:cs="Calibri"/>
                <w:b/>
                <w:bCs/>
                <w:color w:val="000000"/>
                <w:sz w:val="20"/>
                <w:szCs w:val="20"/>
              </w:rPr>
              <w:t>Between EU and national data/assessment</w:t>
            </w:r>
            <w:r w:rsidRPr="00C47D28">
              <w:rPr>
                <w:rFonts w:ascii="Calibri" w:hAnsi="Calibri" w:cs="Calibri"/>
                <w:color w:val="000000"/>
                <w:sz w:val="20"/>
                <w:szCs w:val="20"/>
              </w:rPr>
              <w:t xml:space="preserve">. </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(i) National assessments are often realized with different aims from the one at EU level, leading to incomparable results, and vice versa, </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(ii) countries report to Bird and Habitat Directives, WFD and MSD in different ways and consistencies and species listed in those Directives are not always representative of the ES potential.</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2.1. Rationalise the knowledge on existing methods and models (incl pros &amp; cons) by promoting sharing platform such as BISE; </w:t>
            </w:r>
          </w:p>
          <w:p w:rsidR="001C55F3" w:rsidRPr="00C47D28" w:rsidRDefault="001C55F3">
            <w:pPr>
              <w:autoSpaceDE w:val="0"/>
              <w:autoSpaceDN w:val="0"/>
              <w:adjustRightInd w:val="0"/>
              <w:spacing w:after="0" w:line="240" w:lineRule="auto"/>
              <w:rPr>
                <w:rFonts w:ascii="Calibri" w:hAnsi="Calibri" w:cs="Calibri"/>
                <w:color w:val="000000"/>
                <w:sz w:val="20"/>
                <w:szCs w:val="20"/>
              </w:rPr>
            </w:pPr>
          </w:p>
        </w:tc>
      </w:tr>
      <w:tr w:rsidR="001C55F3" w:rsidRPr="00390934" w:rsidTr="006652B8">
        <w:trPr>
          <w:trHeight w:val="1174"/>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831D0C">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2.2. Develop BISE as the one stop access portal to research relevant to ecosystem services science;Make BISE and its current (and future ) better known among all interested parties and especially the scientific community;</w:t>
            </w:r>
          </w:p>
        </w:tc>
      </w:tr>
      <w:tr w:rsidR="001C55F3" w:rsidRPr="00390934" w:rsidTr="006652B8">
        <w:trPr>
          <w:trHeight w:val="1162"/>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831D0C">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2.3. Use the MAES </w:t>
            </w:r>
            <w:r w:rsidRPr="00C47D28">
              <w:rPr>
                <w:rFonts w:ascii="Calibri" w:hAnsi="Calibri" w:cs="Calibri"/>
                <w:i/>
                <w:color w:val="000000"/>
                <w:sz w:val="20"/>
                <w:szCs w:val="20"/>
              </w:rPr>
              <w:t>HCSC pilot studies/ and TASK analysis of the Country cases for</w:t>
            </w:r>
            <w:r w:rsidRPr="00C47D28">
              <w:rPr>
                <w:rFonts w:ascii="Calibri" w:hAnsi="Calibri" w:cs="Calibri"/>
                <w:color w:val="000000"/>
                <w:sz w:val="20"/>
                <w:szCs w:val="20"/>
              </w:rPr>
              <w:t xml:space="preserve"> (i) the identification of existing gaps in knowledge and successful approaches and (ii) for bilateral cross calibration of definitions, thresholds etc;</w:t>
            </w:r>
          </w:p>
        </w:tc>
      </w:tr>
      <w:tr w:rsidR="001C55F3" w:rsidRPr="00390934" w:rsidTr="006652B8">
        <w:trPr>
          <w:trHeight w:val="557"/>
        </w:trPr>
        <w:tc>
          <w:tcPr>
            <w:tcW w:w="1560"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2.4. Use DPSIR framework to organise MAES relevant information.</w:t>
            </w:r>
          </w:p>
        </w:tc>
      </w:tr>
      <w:tr w:rsidR="001C55F3" w:rsidRPr="00390934" w:rsidTr="006652B8">
        <w:trPr>
          <w:trHeight w:val="1390"/>
        </w:trPr>
        <w:tc>
          <w:tcPr>
            <w:tcW w:w="1560"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r w:rsidRPr="00C47D28">
              <w:rPr>
                <w:rFonts w:ascii="Calibri" w:hAnsi="Calibri" w:cs="Calibri"/>
                <w:bCs/>
                <w:color w:val="000000"/>
                <w:sz w:val="20"/>
                <w:szCs w:val="20"/>
              </w:rPr>
              <w:t>Lack of knowledge on how to integrate:</w:t>
            </w: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rsidP="00831D0C">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3. ES demand:</w:t>
            </w:r>
            <w:r w:rsidRPr="00C47D28">
              <w:rPr>
                <w:rFonts w:ascii="Calibri" w:hAnsi="Calibri" w:cs="Calibri"/>
                <w:color w:val="000000"/>
                <w:sz w:val="20"/>
                <w:szCs w:val="20"/>
              </w:rPr>
              <w:t xml:space="preserve"> same ecosystems can vary in the quantity of ES they provide according to their location and accessibility which affect the actual use;</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3.1. Use population density as a proxy which is easily implementable and seems to be an adequate solution in first instance. This proxy lies on the assumption that an area will low population density will result in a low ES demand and vice versa</w:t>
            </w:r>
            <w:r w:rsidRPr="00C47D28">
              <w:rPr>
                <w:rFonts w:ascii="Calibri" w:hAnsi="Calibri" w:cs="Calibri"/>
                <w:i/>
                <w:color w:val="000000"/>
                <w:sz w:val="20"/>
                <w:szCs w:val="20"/>
              </w:rPr>
              <w:t>. (see example in Swiss Global Case in this Report; Also in PRESS 2 report)</w:t>
            </w:r>
          </w:p>
        </w:tc>
      </w:tr>
      <w:tr w:rsidR="001C55F3" w:rsidRPr="00390934" w:rsidTr="006652B8">
        <w:trPr>
          <w:trHeight w:val="1138"/>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rsidP="00DA6B9F">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 xml:space="preserve">4. Geographical scales: </w:t>
            </w:r>
            <w:r w:rsidRPr="00C47D28">
              <w:rPr>
                <w:rFonts w:ascii="Calibri" w:hAnsi="Calibri" w:cs="Calibri"/>
                <w:color w:val="000000"/>
                <w:sz w:val="20"/>
                <w:szCs w:val="20"/>
              </w:rPr>
              <w:t xml:space="preserve">assessments are made on different scales and are often not compatible/comparable because there exists no agreement on which geographical unit and resolution to use for each scale; </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4.1. Focus both on high resolution (e.g. from remote sensing data and tacit knowledge) and spatial coverage. Extrapolate high resolution data to have broader coverage. The extrapolation should be explanatory and based on evidence;</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4.2. Use different method (the most appropriate) for each scale.</w:t>
            </w:r>
          </w:p>
        </w:tc>
      </w:tr>
      <w:tr w:rsidR="001C55F3" w:rsidRPr="00390934" w:rsidTr="006652B8">
        <w:trPr>
          <w:trHeight w:val="593"/>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8080" w:type="dxa"/>
            <w:gridSpan w:val="2"/>
            <w:tcBorders>
              <w:top w:val="single" w:sz="6" w:space="0" w:color="auto"/>
              <w:left w:val="single" w:sz="6" w:space="0" w:color="auto"/>
              <w:bottom w:val="single" w:sz="6" w:space="0" w:color="auto"/>
              <w:right w:val="single" w:sz="6" w:space="0" w:color="auto"/>
            </w:tcBorders>
          </w:tcPr>
          <w:p w:rsidR="001C55F3" w:rsidRPr="00C47D28" w:rsidRDefault="001C55F3" w:rsidP="00DA6B9F">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 xml:space="preserve">5.Thresholds: </w:t>
            </w:r>
            <w:r w:rsidRPr="00C47D28">
              <w:rPr>
                <w:rFonts w:ascii="Calibri" w:hAnsi="Calibri" w:cs="Calibri"/>
                <w:color w:val="000000"/>
                <w:sz w:val="20"/>
                <w:szCs w:val="20"/>
              </w:rPr>
              <w:t xml:space="preserve">of ecosystem resilience </w:t>
            </w:r>
            <w:r w:rsidRPr="00C47D28">
              <w:rPr>
                <w:rFonts w:ascii="Calibri" w:hAnsi="Calibri" w:cs="Calibri"/>
                <w:i/>
                <w:color w:val="000000"/>
                <w:sz w:val="20"/>
                <w:szCs w:val="20"/>
              </w:rPr>
              <w:t>5.1 Under developmentin science world</w:t>
            </w:r>
          </w:p>
          <w:p w:rsidR="001C55F3" w:rsidRPr="00C47D28" w:rsidRDefault="001C55F3" w:rsidP="00EF18E2">
            <w:pPr>
              <w:pStyle w:val="Paragraphedeliste"/>
              <w:autoSpaceDE w:val="0"/>
              <w:autoSpaceDN w:val="0"/>
              <w:adjustRightInd w:val="0"/>
              <w:spacing w:after="0" w:line="240" w:lineRule="auto"/>
              <w:ind w:left="34"/>
              <w:rPr>
                <w:rFonts w:ascii="Calibri" w:hAnsi="Calibri" w:cs="Calibri"/>
                <w:color w:val="000000"/>
                <w:sz w:val="20"/>
                <w:szCs w:val="20"/>
              </w:rPr>
            </w:pPr>
            <w:r w:rsidRPr="00C47D28">
              <w:rPr>
                <w:rFonts w:ascii="Calibri" w:hAnsi="Calibri" w:cs="Calibri"/>
                <w:color w:val="000000"/>
                <w:sz w:val="20"/>
                <w:szCs w:val="20"/>
              </w:rPr>
              <w:t xml:space="preserve">and thresholds at which ES assessment </w:t>
            </w:r>
          </w:p>
          <w:p w:rsidR="001C55F3" w:rsidRPr="00C47D28" w:rsidRDefault="001C55F3" w:rsidP="00EF18E2">
            <w:pPr>
              <w:pStyle w:val="Paragraphedeliste"/>
              <w:autoSpaceDE w:val="0"/>
              <w:autoSpaceDN w:val="0"/>
              <w:adjustRightInd w:val="0"/>
              <w:spacing w:after="0" w:line="240" w:lineRule="auto"/>
              <w:ind w:left="34"/>
              <w:rPr>
                <w:rFonts w:ascii="Calibri" w:hAnsi="Calibri" w:cs="Calibri"/>
                <w:color w:val="000000"/>
                <w:sz w:val="20"/>
                <w:szCs w:val="20"/>
              </w:rPr>
            </w:pPr>
            <w:r w:rsidRPr="00C47D28">
              <w:rPr>
                <w:rFonts w:ascii="Calibri" w:hAnsi="Calibri" w:cs="Calibri"/>
                <w:color w:val="000000"/>
                <w:sz w:val="20"/>
                <w:szCs w:val="20"/>
              </w:rPr>
              <w:t>is jeopardized</w:t>
            </w:r>
          </w:p>
        </w:tc>
      </w:tr>
      <w:tr w:rsidR="001C55F3" w:rsidRPr="00390934" w:rsidTr="00EF18E2">
        <w:trPr>
          <w:trHeight w:val="57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6. Multidimensionality of ES:</w:t>
            </w:r>
            <w:r w:rsidRPr="00C47D28">
              <w:rPr>
                <w:rFonts w:ascii="Calibri" w:hAnsi="Calibri" w:cs="Calibri"/>
                <w:color w:val="000000"/>
                <w:sz w:val="20"/>
                <w:szCs w:val="20"/>
              </w:rPr>
              <w:t xml:space="preserve"> mapping only represents a two-dimension repartition of ES while a third spatial dimension is also existent (especially important for deep marine ecosystems) as well as a fourth dimension being the time aspect. These two later traits are often disregarded;</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6.1. Define time and scale per ecosystem type for each ES assessment;</w:t>
            </w:r>
          </w:p>
        </w:tc>
      </w:tr>
      <w:tr w:rsidR="001C55F3" w:rsidRPr="00390934" w:rsidTr="006652B8">
        <w:trPr>
          <w:trHeight w:val="1390"/>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6.2. (</w:t>
            </w:r>
            <w:r w:rsidRPr="00C47D28">
              <w:rPr>
                <w:rFonts w:ascii="Calibri" w:hAnsi="Calibri" w:cs="Calibri"/>
                <w:i/>
                <w:color w:val="000000"/>
                <w:sz w:val="20"/>
                <w:szCs w:val="20"/>
              </w:rPr>
              <w:t>in the second phase of the Action 5 work</w:t>
            </w:r>
            <w:r w:rsidRPr="00C47D28">
              <w:rPr>
                <w:rFonts w:ascii="Calibri" w:hAnsi="Calibri" w:cs="Calibri"/>
                <w:color w:val="000000"/>
                <w:sz w:val="20"/>
                <w:szCs w:val="20"/>
              </w:rPr>
              <w:t>) Integrate time in cost benefit analysis and economic analysis in order to ensure sustainability over time. This would highlights the fact that although costs are being made, some benefits are likely to emerge from the investment over time.</w:t>
            </w:r>
          </w:p>
        </w:tc>
      </w:tr>
      <w:tr w:rsidR="001C55F3" w:rsidRPr="00390934" w:rsidTr="006652B8">
        <w:trPr>
          <w:trHeight w:val="641"/>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 xml:space="preserve">7. Multidisciplinarity of the ES: </w:t>
            </w:r>
            <w:r w:rsidRPr="00C47D28">
              <w:rPr>
                <w:rFonts w:ascii="Calibri" w:hAnsi="Calibri" w:cs="Calibri"/>
                <w:color w:val="000000"/>
                <w:sz w:val="20"/>
                <w:szCs w:val="20"/>
              </w:rPr>
              <w:t>requirement of experts involvement from other disciplines;</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7.1. Set up multidisciplinary teams when developing ES research proposals;</w:t>
            </w:r>
          </w:p>
        </w:tc>
      </w:tr>
      <w:tr w:rsidR="001C55F3" w:rsidRPr="00390934" w:rsidTr="006652B8">
        <w:trPr>
          <w:trHeight w:val="835"/>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7.2. Promote more active involvement of scientists of various background in the existing ecosystems services knowledge exchange platforms such as ESP;</w:t>
            </w:r>
          </w:p>
        </w:tc>
      </w:tr>
      <w:tr w:rsidR="001C55F3" w:rsidRPr="00390934" w:rsidTr="006652B8">
        <w:trPr>
          <w:trHeight w:val="290"/>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7.3. Include economists </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8. Conservation prioritization:</w:t>
            </w:r>
            <w:r w:rsidRPr="00C47D28">
              <w:rPr>
                <w:rFonts w:ascii="Calibri" w:hAnsi="Calibri" w:cs="Calibri"/>
                <w:color w:val="000000"/>
                <w:sz w:val="20"/>
                <w:szCs w:val="20"/>
              </w:rPr>
              <w:t xml:space="preserve"> no agreements exist on the criteria to rely on;</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i/>
                <w:color w:val="000000"/>
                <w:sz w:val="20"/>
                <w:szCs w:val="20"/>
              </w:rPr>
            </w:pPr>
            <w:r w:rsidRPr="00C47D28">
              <w:rPr>
                <w:rFonts w:ascii="Calibri" w:hAnsi="Calibri" w:cs="Calibri"/>
                <w:i/>
                <w:color w:val="000000"/>
                <w:sz w:val="20"/>
                <w:szCs w:val="20"/>
              </w:rPr>
              <w:t>8.1 Much effort now in link between Biodiversity and Ecosystem Services</w:t>
            </w:r>
          </w:p>
        </w:tc>
      </w:tr>
      <w:tr w:rsidR="001C55F3" w:rsidRPr="00390934" w:rsidTr="006652B8">
        <w:trPr>
          <w:trHeight w:val="835"/>
        </w:trPr>
        <w:tc>
          <w:tcPr>
            <w:tcW w:w="1560"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9. Lack of clarity between</w:t>
            </w:r>
            <w:r w:rsidRPr="00C47D28">
              <w:rPr>
                <w:rFonts w:ascii="Calibri" w:hAnsi="Calibri" w:cs="Calibri"/>
                <w:b/>
                <w:bCs/>
                <w:color w:val="000000"/>
                <w:sz w:val="20"/>
                <w:szCs w:val="20"/>
              </w:rPr>
              <w:t xml:space="preserve"> ES function and process vs. delivery of services</w:t>
            </w:r>
            <w:r w:rsidRPr="00C47D28">
              <w:rPr>
                <w:rFonts w:ascii="Calibri" w:hAnsi="Calibri" w:cs="Calibri"/>
                <w:color w:val="000000"/>
                <w:sz w:val="20"/>
                <w:szCs w:val="20"/>
              </w:rPr>
              <w:t xml:space="preserve"> (in time and space) and whether these are parallel processes or two stages.</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i/>
                <w:color w:val="000000"/>
                <w:sz w:val="20"/>
                <w:szCs w:val="20"/>
              </w:rPr>
              <w:t>9.1 Much effort now in link between Biodiversity and Ecosystem Services</w:t>
            </w:r>
          </w:p>
        </w:tc>
      </w:tr>
      <w:tr w:rsidR="001C55F3" w:rsidRPr="00390934" w:rsidTr="006652B8">
        <w:trPr>
          <w:trHeight w:val="605"/>
        </w:trPr>
        <w:tc>
          <w:tcPr>
            <w:tcW w:w="1560"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r w:rsidRPr="00C47D28">
              <w:rPr>
                <w:rFonts w:ascii="Calibri" w:hAnsi="Calibri" w:cs="Calibri"/>
                <w:bCs/>
                <w:color w:val="000000"/>
                <w:sz w:val="20"/>
                <w:szCs w:val="20"/>
              </w:rPr>
              <w:t>Lack of knowledge sharing:</w:t>
            </w: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10. Many </w:t>
            </w:r>
            <w:r w:rsidRPr="00C47D28">
              <w:rPr>
                <w:rFonts w:ascii="Calibri" w:hAnsi="Calibri" w:cs="Calibri"/>
                <w:b/>
                <w:bCs/>
                <w:color w:val="000000"/>
                <w:sz w:val="20"/>
                <w:szCs w:val="20"/>
              </w:rPr>
              <w:t>approaches/methodologies/models</w:t>
            </w:r>
            <w:r w:rsidRPr="00C47D28">
              <w:rPr>
                <w:rFonts w:ascii="Calibri" w:hAnsi="Calibri" w:cs="Calibri"/>
                <w:color w:val="000000"/>
                <w:sz w:val="20"/>
                <w:szCs w:val="20"/>
              </w:rPr>
              <w:t xml:space="preserve"> exist but are not known by the scientific community because of the knowledge not being shared.</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6932F9">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10.1. Need for sharing platforms such as BISE (see above;) to share the knowledge;</w:t>
            </w:r>
          </w:p>
          <w:p w:rsidR="001C55F3" w:rsidRPr="00C47D28" w:rsidRDefault="001C55F3" w:rsidP="006932F9">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i/>
                <w:color w:val="000000"/>
                <w:sz w:val="20"/>
                <w:szCs w:val="20"/>
              </w:rPr>
              <w:t>Also, publish in specialised Journals. In June 2013:  Special Issue on Mapping Ecosystem Services by Journal Ecosystem Services.</w:t>
            </w:r>
          </w:p>
        </w:tc>
      </w:tr>
      <w:tr w:rsidR="001C55F3" w:rsidRPr="00390934" w:rsidTr="006652B8">
        <w:trPr>
          <w:trHeight w:val="859"/>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10.2. Implement a core group of experts to develop first approach based on existing knowledge and data (gathered on common platform);</w:t>
            </w:r>
          </w:p>
        </w:tc>
      </w:tr>
      <w:tr w:rsidR="001C55F3" w:rsidRPr="00390934" w:rsidTr="006652B8">
        <w:trPr>
          <w:trHeight w:val="605"/>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10.3. Develop and share cookbooks and recipes on mapping and assessment;</w:t>
            </w:r>
            <w:r w:rsidRPr="00C47D28">
              <w:rPr>
                <w:rFonts w:ascii="Calibri" w:hAnsi="Calibri" w:cs="Calibri"/>
                <w:color w:val="000000"/>
                <w:sz w:val="20"/>
                <w:szCs w:val="20"/>
              </w:rPr>
              <w:sym w:font="Wingdings" w:char="F0E8"/>
            </w:r>
            <w:r w:rsidRPr="00C47D28">
              <w:rPr>
                <w:rFonts w:ascii="Calibri" w:hAnsi="Calibri" w:cs="Calibri"/>
                <w:i/>
                <w:color w:val="000000"/>
                <w:sz w:val="20"/>
                <w:szCs w:val="20"/>
              </w:rPr>
              <w:t>(Task 4 objective of the MESEU project)</w:t>
            </w:r>
          </w:p>
        </w:tc>
      </w:tr>
      <w:tr w:rsidR="001C55F3" w:rsidRPr="00390934" w:rsidTr="006652B8">
        <w:trPr>
          <w:trHeight w:val="871"/>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10.4. Ensure education of young researchers with the knowledge gathered by experts (at EU level and/or biogeographical level); </w:t>
            </w:r>
            <w:r w:rsidRPr="00C47D28">
              <w:rPr>
                <w:rFonts w:ascii="Calibri" w:hAnsi="Calibri" w:cs="Calibri"/>
                <w:color w:val="000000"/>
                <w:sz w:val="20"/>
                <w:szCs w:val="20"/>
              </w:rPr>
              <w:sym w:font="Wingdings" w:char="F0E8"/>
            </w:r>
            <w:r w:rsidRPr="00C47D28">
              <w:rPr>
                <w:rFonts w:ascii="Calibri" w:hAnsi="Calibri" w:cs="Calibri"/>
                <w:i/>
                <w:color w:val="000000"/>
                <w:sz w:val="20"/>
                <w:szCs w:val="20"/>
              </w:rPr>
              <w:t>ALTER-Net (and other) specialised Summerschools.</w:t>
            </w:r>
          </w:p>
        </w:tc>
      </w:tr>
      <w:tr w:rsidR="001C55F3" w:rsidRPr="00390934" w:rsidTr="006652B8">
        <w:trPr>
          <w:trHeight w:val="1668"/>
        </w:trPr>
        <w:tc>
          <w:tcPr>
            <w:tcW w:w="1560"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bCs/>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10.5. Keep the process informal in first instance; no institutionalisation in the short-term in order to create a creative environment for innovative approaches and new cooperation. For the mid- to long-term, some form of institutionalisation can be developed in order to get ES science into the mainstream of research and policy.</w:t>
            </w:r>
          </w:p>
        </w:tc>
      </w:tr>
      <w:tr w:rsidR="001C55F3" w:rsidRPr="00631110" w:rsidTr="00631110">
        <w:trPr>
          <w:trHeight w:val="290"/>
        </w:trPr>
        <w:tc>
          <w:tcPr>
            <w:tcW w:w="1560" w:type="dxa"/>
            <w:tcBorders>
              <w:top w:val="single" w:sz="6" w:space="0" w:color="auto"/>
              <w:left w:val="single" w:sz="6" w:space="0" w:color="auto"/>
              <w:bottom w:val="single" w:sz="6" w:space="0" w:color="auto"/>
              <w:right w:val="single" w:sz="6" w:space="0" w:color="auto"/>
            </w:tcBorders>
            <w:shd w:val="clear" w:color="auto" w:fill="C6D9F1" w:themeFill="text2" w:themeFillTint="33"/>
          </w:tcPr>
          <w:p w:rsidR="001C55F3" w:rsidRPr="00C47D28" w:rsidRDefault="001C55F3">
            <w:pPr>
              <w:autoSpaceDE w:val="0"/>
              <w:autoSpaceDN w:val="0"/>
              <w:adjustRightInd w:val="0"/>
              <w:spacing w:after="0" w:line="240" w:lineRule="auto"/>
              <w:rPr>
                <w:rFonts w:ascii="Calibri" w:hAnsi="Calibri" w:cs="Calibri"/>
                <w:b/>
                <w:bCs/>
                <w:color w:val="000000"/>
                <w:sz w:val="20"/>
                <w:szCs w:val="20"/>
              </w:rPr>
            </w:pPr>
            <w:r w:rsidRPr="00C47D28">
              <w:rPr>
                <w:rFonts w:ascii="Calibri" w:hAnsi="Calibri" w:cs="Calibri"/>
                <w:b/>
                <w:bCs/>
                <w:color w:val="000000"/>
                <w:sz w:val="20"/>
                <w:szCs w:val="20"/>
              </w:rPr>
              <w:t>Data</w:t>
            </w:r>
          </w:p>
        </w:tc>
        <w:tc>
          <w:tcPr>
            <w:tcW w:w="3827" w:type="dxa"/>
            <w:tcBorders>
              <w:top w:val="single" w:sz="6" w:space="0" w:color="auto"/>
              <w:left w:val="single" w:sz="6" w:space="0" w:color="auto"/>
              <w:bottom w:val="single" w:sz="6" w:space="0" w:color="auto"/>
              <w:right w:val="single" w:sz="6" w:space="0" w:color="auto"/>
            </w:tcBorders>
            <w:shd w:val="clear" w:color="auto" w:fill="C6D9F1" w:themeFill="text2" w:themeFillTint="33"/>
          </w:tcPr>
          <w:p w:rsidR="001C55F3" w:rsidRPr="00C47D28" w:rsidRDefault="001C55F3">
            <w:pPr>
              <w:autoSpaceDE w:val="0"/>
              <w:autoSpaceDN w:val="0"/>
              <w:adjustRightInd w:val="0"/>
              <w:spacing w:after="0" w:line="240" w:lineRule="auto"/>
              <w:rPr>
                <w:rFonts w:ascii="Calibri" w:hAnsi="Calibri" w:cs="Calibri"/>
                <w:b/>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shd w:val="clear" w:color="auto" w:fill="C6D9F1" w:themeFill="text2" w:themeFillTint="33"/>
          </w:tcPr>
          <w:p w:rsidR="001C55F3" w:rsidRPr="00C47D28" w:rsidRDefault="001C55F3">
            <w:pPr>
              <w:autoSpaceDE w:val="0"/>
              <w:autoSpaceDN w:val="0"/>
              <w:adjustRightInd w:val="0"/>
              <w:spacing w:after="0" w:line="240" w:lineRule="auto"/>
              <w:rPr>
                <w:rFonts w:ascii="Calibri" w:hAnsi="Calibri" w:cs="Calibri"/>
                <w:b/>
                <w:color w:val="000000"/>
                <w:sz w:val="20"/>
                <w:szCs w:val="20"/>
              </w:rPr>
            </w:pPr>
          </w:p>
        </w:tc>
      </w:tr>
      <w:tr w:rsidR="001C55F3" w:rsidRPr="00390934" w:rsidTr="006652B8">
        <w:trPr>
          <w:trHeight w:val="557"/>
        </w:trPr>
        <w:tc>
          <w:tcPr>
            <w:tcW w:w="1560"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General issues:</w:t>
            </w: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w:t>
            </w:r>
            <w:r w:rsidRPr="00C47D28">
              <w:rPr>
                <w:rFonts w:ascii="Calibri" w:hAnsi="Calibri" w:cs="Calibri"/>
                <w:b/>
                <w:color w:val="000000"/>
                <w:sz w:val="20"/>
                <w:szCs w:val="20"/>
              </w:rPr>
              <w:t>. Lack</w:t>
            </w:r>
            <w:r w:rsidRPr="00C47D28">
              <w:rPr>
                <w:rFonts w:ascii="Calibri" w:hAnsi="Calibri" w:cs="Calibri"/>
                <w:color w:val="000000"/>
                <w:sz w:val="20"/>
                <w:szCs w:val="20"/>
              </w:rPr>
              <w:t xml:space="preserve"> of Data and when existing often </w:t>
            </w:r>
            <w:r w:rsidRPr="00C47D28">
              <w:rPr>
                <w:rFonts w:ascii="Calibri" w:hAnsi="Calibri" w:cs="Calibri"/>
                <w:b/>
                <w:color w:val="000000"/>
                <w:sz w:val="20"/>
                <w:szCs w:val="20"/>
              </w:rPr>
              <w:t>not accessible</w:t>
            </w:r>
            <w:r w:rsidRPr="00C47D28">
              <w:rPr>
                <w:rFonts w:ascii="Calibri" w:hAnsi="Calibri" w:cs="Calibri"/>
                <w:color w:val="000000"/>
                <w:sz w:val="20"/>
                <w:szCs w:val="20"/>
              </w:rPr>
              <w:t xml:space="preserve"> both from national and European level;</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004183">
            <w:pPr>
              <w:autoSpaceDE w:val="0"/>
              <w:autoSpaceDN w:val="0"/>
              <w:adjustRightInd w:val="0"/>
              <w:spacing w:after="0" w:line="240" w:lineRule="auto"/>
              <w:rPr>
                <w:rFonts w:ascii="Calibri" w:hAnsi="Calibri" w:cs="Calibri"/>
                <w:i/>
                <w:color w:val="000000"/>
                <w:sz w:val="20"/>
                <w:szCs w:val="20"/>
              </w:rPr>
            </w:pPr>
            <w:r w:rsidRPr="00C47D28">
              <w:rPr>
                <w:rFonts w:ascii="Calibri" w:hAnsi="Calibri" w:cs="Calibri"/>
                <w:i/>
                <w:color w:val="000000"/>
                <w:sz w:val="20"/>
                <w:szCs w:val="20"/>
              </w:rPr>
              <w:t>1.1 Data atlas (ETC SIA ) should provide accessible overview</w:t>
            </w:r>
          </w:p>
          <w:p w:rsidR="001C55F3" w:rsidRPr="00C47D28" w:rsidRDefault="001C55F3" w:rsidP="0000418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i/>
                <w:color w:val="000000"/>
                <w:sz w:val="20"/>
                <w:szCs w:val="20"/>
              </w:rPr>
              <w:t>1.2 Member State Government agencies and EU agencies in control of relevant data should be invited / approached to MAES</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2. Data </w:t>
            </w:r>
            <w:r w:rsidRPr="00C47D28">
              <w:rPr>
                <w:rFonts w:ascii="Calibri" w:hAnsi="Calibri" w:cs="Calibri"/>
                <w:b/>
                <w:color w:val="000000"/>
                <w:sz w:val="20"/>
                <w:szCs w:val="20"/>
              </w:rPr>
              <w:t>collected for different aims</w:t>
            </w:r>
            <w:r w:rsidRPr="00C47D28">
              <w:rPr>
                <w:rFonts w:ascii="Calibri" w:hAnsi="Calibri" w:cs="Calibri"/>
                <w:color w:val="000000"/>
                <w:sz w:val="20"/>
                <w:szCs w:val="20"/>
              </w:rPr>
              <w:t xml:space="preserve"> in different ways and therefore incompatible;</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rsidP="004A652C">
            <w:pPr>
              <w:autoSpaceDE w:val="0"/>
              <w:autoSpaceDN w:val="0"/>
              <w:adjustRightInd w:val="0"/>
              <w:spacing w:after="0" w:line="240" w:lineRule="auto"/>
              <w:rPr>
                <w:rFonts w:ascii="Calibri" w:hAnsi="Calibri" w:cs="Calibri"/>
                <w:i/>
                <w:color w:val="000000"/>
                <w:sz w:val="20"/>
                <w:szCs w:val="20"/>
              </w:rPr>
            </w:pPr>
            <w:r w:rsidRPr="00C47D28">
              <w:rPr>
                <w:rFonts w:ascii="Calibri" w:hAnsi="Calibri" w:cs="Calibri"/>
                <w:i/>
                <w:color w:val="000000"/>
                <w:sz w:val="20"/>
                <w:szCs w:val="20"/>
              </w:rPr>
              <w:t>2.1 A challenge in the FP7 research projects to develop indicators which can use “other” datasets</w:t>
            </w:r>
          </w:p>
        </w:tc>
      </w:tr>
      <w:tr w:rsidR="001C55F3" w:rsidRPr="00390934" w:rsidTr="006652B8">
        <w:trPr>
          <w:trHeight w:val="835"/>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3. Data coherent at</w:t>
            </w:r>
            <w:r w:rsidRPr="00C47D28">
              <w:rPr>
                <w:rFonts w:ascii="Calibri" w:hAnsi="Calibri" w:cs="Calibri"/>
                <w:b/>
                <w:color w:val="000000"/>
                <w:sz w:val="20"/>
                <w:szCs w:val="20"/>
              </w:rPr>
              <w:t>MS level are not always relevant at a EU level</w:t>
            </w:r>
            <w:r w:rsidRPr="00C47D28">
              <w:rPr>
                <w:rFonts w:ascii="Calibri" w:hAnsi="Calibri" w:cs="Calibri"/>
                <w:color w:val="000000"/>
                <w:sz w:val="20"/>
                <w:szCs w:val="20"/>
              </w:rPr>
              <w:t xml:space="preserve"> and vice versa;</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3.1 Use of international platforms to promote data sharing, structuring and homogenization at all level (national and European)</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4. Data collected at </w:t>
            </w:r>
            <w:r w:rsidRPr="00C47D28">
              <w:rPr>
                <w:rFonts w:ascii="Calibri" w:hAnsi="Calibri" w:cs="Calibri"/>
                <w:b/>
                <w:color w:val="000000"/>
                <w:sz w:val="20"/>
                <w:szCs w:val="20"/>
              </w:rPr>
              <w:t>different times</w:t>
            </w:r>
            <w:r w:rsidRPr="00C47D28">
              <w:rPr>
                <w:rFonts w:ascii="Calibri" w:hAnsi="Calibri" w:cs="Calibri"/>
                <w:color w:val="000000"/>
                <w:sz w:val="20"/>
                <w:szCs w:val="20"/>
              </w:rPr>
              <w:t xml:space="preserve"> are sometimes incompatible;</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w:t>
            </w:r>
          </w:p>
        </w:tc>
      </w:tr>
      <w:tr w:rsidR="001C55F3" w:rsidRPr="00390934" w:rsidTr="006652B8">
        <w:trPr>
          <w:trHeight w:val="290"/>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5. Data used in </w:t>
            </w:r>
            <w:r w:rsidRPr="00C47D28">
              <w:rPr>
                <w:rFonts w:ascii="Calibri" w:hAnsi="Calibri" w:cs="Calibri"/>
                <w:b/>
                <w:color w:val="000000"/>
                <w:sz w:val="20"/>
                <w:szCs w:val="20"/>
              </w:rPr>
              <w:t>models</w:t>
            </w:r>
            <w:r w:rsidRPr="00C47D28">
              <w:rPr>
                <w:rFonts w:ascii="Calibri" w:hAnsi="Calibri" w:cs="Calibri"/>
                <w:color w:val="000000"/>
                <w:sz w:val="20"/>
                <w:szCs w:val="20"/>
              </w:rPr>
              <w:t xml:space="preserve"> are sometimes out of date;</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6. Data from </w:t>
            </w:r>
            <w:r w:rsidRPr="00C47D28">
              <w:rPr>
                <w:rFonts w:ascii="Calibri" w:hAnsi="Calibri" w:cs="Calibri"/>
                <w:b/>
                <w:color w:val="000000"/>
                <w:sz w:val="20"/>
                <w:szCs w:val="20"/>
              </w:rPr>
              <w:t>remote sensing</w:t>
            </w:r>
            <w:r w:rsidRPr="00C47D28">
              <w:rPr>
                <w:rFonts w:ascii="Calibri" w:hAnsi="Calibri" w:cs="Calibri"/>
                <w:color w:val="000000"/>
                <w:sz w:val="20"/>
                <w:szCs w:val="20"/>
              </w:rPr>
              <w:t xml:space="preserve"> is underused due to its too technical aspect;</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w:t>
            </w:r>
          </w:p>
        </w:tc>
      </w:tr>
      <w:tr w:rsidR="001C55F3" w:rsidRPr="00390934" w:rsidTr="006652B8">
        <w:trPr>
          <w:trHeight w:val="290"/>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7. Data </w:t>
            </w:r>
            <w:r w:rsidRPr="00C47D28">
              <w:rPr>
                <w:rFonts w:ascii="Calibri" w:hAnsi="Calibri" w:cs="Calibri"/>
                <w:b/>
                <w:color w:val="000000"/>
                <w:sz w:val="20"/>
                <w:szCs w:val="20"/>
              </w:rPr>
              <w:t>quality</w:t>
            </w:r>
            <w:r w:rsidRPr="00C47D28">
              <w:rPr>
                <w:rFonts w:ascii="Calibri" w:hAnsi="Calibri" w:cs="Calibri"/>
                <w:color w:val="000000"/>
                <w:sz w:val="20"/>
                <w:szCs w:val="20"/>
              </w:rPr>
              <w:t xml:space="preserve"> varies between stakeholders and countries;</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8. Lack of </w:t>
            </w:r>
            <w:r w:rsidRPr="00C47D28">
              <w:rPr>
                <w:rFonts w:ascii="Calibri" w:hAnsi="Calibri" w:cs="Calibri"/>
                <w:b/>
                <w:color w:val="000000"/>
                <w:sz w:val="20"/>
                <w:szCs w:val="20"/>
              </w:rPr>
              <w:t>structure</w:t>
            </w:r>
            <w:r w:rsidRPr="00C47D28">
              <w:rPr>
                <w:rFonts w:ascii="Calibri" w:hAnsi="Calibri" w:cs="Calibri"/>
                <w:color w:val="000000"/>
                <w:sz w:val="20"/>
                <w:szCs w:val="20"/>
              </w:rPr>
              <w:t xml:space="preserve"> within the existing data hampering its accessibility;</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w:t>
            </w:r>
          </w:p>
        </w:tc>
      </w:tr>
      <w:tr w:rsidR="001C55F3" w:rsidRPr="00390934" w:rsidTr="006652B8">
        <w:trPr>
          <w:trHeight w:val="835"/>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9. Lack of use of </w:t>
            </w:r>
            <w:r w:rsidRPr="00C47D28">
              <w:rPr>
                <w:rFonts w:ascii="Calibri" w:hAnsi="Calibri" w:cs="Calibri"/>
                <w:b/>
                <w:color w:val="000000"/>
                <w:sz w:val="20"/>
                <w:szCs w:val="20"/>
              </w:rPr>
              <w:t>tacit knowledge</w:t>
            </w:r>
            <w:r w:rsidRPr="00C47D28">
              <w:rPr>
                <w:rFonts w:ascii="Calibri" w:hAnsi="Calibri" w:cs="Calibri"/>
                <w:color w:val="000000"/>
                <w:sz w:val="20"/>
                <w:szCs w:val="20"/>
              </w:rPr>
              <w:t xml:space="preserve"> to create new data.</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9.1. Rely more on crowd-sourcing by means of tools such as Geowiki.org or through the development of smartphones’ apps;</w:t>
            </w:r>
          </w:p>
        </w:tc>
      </w:tr>
      <w:tr w:rsidR="001C55F3" w:rsidRPr="00390934" w:rsidTr="006652B8">
        <w:trPr>
          <w:trHeight w:val="557"/>
        </w:trPr>
        <w:tc>
          <w:tcPr>
            <w:tcW w:w="1560"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9.2. Do not limit the type of data while collecting (e.g. retired people have a lot of information).</w:t>
            </w:r>
          </w:p>
        </w:tc>
      </w:tr>
      <w:tr w:rsidR="001C55F3" w:rsidRPr="00390934" w:rsidTr="006652B8">
        <w:trPr>
          <w:trHeight w:val="617"/>
        </w:trPr>
        <w:tc>
          <w:tcPr>
            <w:tcW w:w="1560"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ES assessment can be based on several types of data, each showing some limitations:</w:t>
            </w: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 xml:space="preserve">10. Biodiversity: </w:t>
            </w:r>
            <w:r w:rsidRPr="00C47D28">
              <w:rPr>
                <w:rFonts w:ascii="Calibri" w:hAnsi="Calibri" w:cs="Calibri"/>
                <w:color w:val="000000"/>
                <w:sz w:val="20"/>
                <w:szCs w:val="20"/>
              </w:rPr>
              <w:t xml:space="preserve">relying on biodiversity to assess ES points to three limitations: (i) biodiversity data are often not spatial coverage data, but point data, </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(ii) the relationship between biodiversity and ES is not clear, many interpretations exist and </w:t>
            </w:r>
          </w:p>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(iii) biodiversity monitoring is too narrow; information from integrated environmental monitoring should be preferred;</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10.1. Link biodiversity and ES to drivers of ecosystem status change;</w:t>
            </w:r>
          </w:p>
          <w:p w:rsidR="001C55F3" w:rsidRPr="00C47D28" w:rsidRDefault="001C55F3">
            <w:pPr>
              <w:autoSpaceDE w:val="0"/>
              <w:autoSpaceDN w:val="0"/>
              <w:adjustRightInd w:val="0"/>
              <w:spacing w:after="0" w:line="240" w:lineRule="auto"/>
              <w:rPr>
                <w:rFonts w:ascii="Calibri" w:hAnsi="Calibri" w:cs="Calibri"/>
                <w:i/>
                <w:color w:val="000000"/>
                <w:sz w:val="20"/>
                <w:szCs w:val="20"/>
              </w:rPr>
            </w:pPr>
            <w:r w:rsidRPr="00C47D28">
              <w:rPr>
                <w:rFonts w:ascii="Calibri" w:hAnsi="Calibri" w:cs="Calibri"/>
                <w:i/>
                <w:color w:val="000000"/>
                <w:sz w:val="20"/>
                <w:szCs w:val="20"/>
              </w:rPr>
              <w:t>10.2 Research on relationship between Biodiversity and Ecosystem Services is widely available, and relationships between specific services and specific biodiversity features are generally very clear.</w:t>
            </w:r>
          </w:p>
        </w:tc>
      </w:tr>
      <w:tr w:rsidR="001C55F3" w:rsidRPr="00390934" w:rsidTr="006652B8">
        <w:trPr>
          <w:trHeight w:val="398"/>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10.2. Include information on functions and structure;</w:t>
            </w:r>
          </w:p>
        </w:tc>
      </w:tr>
      <w:tr w:rsidR="001C55F3" w:rsidRPr="00390934" w:rsidTr="006652B8">
        <w:trPr>
          <w:trHeight w:val="362"/>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10.3. Use demonstration cases and case studies;</w:t>
            </w:r>
          </w:p>
        </w:tc>
      </w:tr>
      <w:tr w:rsidR="001C55F3" w:rsidRPr="00390934" w:rsidTr="006652B8">
        <w:trPr>
          <w:trHeight w:val="1668"/>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10.4. Use information on how the level of biodiversity (existing biodiversity data, field data) affects the functioning of the system and the habitat quality to clarify the link between biodiversity, the ecosystem its state and its ES potential. This could be done by mapping through modeling and should be an harmonized exercise</w:t>
            </w:r>
          </w:p>
        </w:tc>
      </w:tr>
      <w:tr w:rsidR="001C55F3" w:rsidRPr="00390934" w:rsidTr="006652B8">
        <w:trPr>
          <w:trHeight w:val="835"/>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 xml:space="preserve">11. Flagship species monitoring </w:t>
            </w:r>
            <w:r w:rsidRPr="00C47D28">
              <w:rPr>
                <w:rFonts w:ascii="Calibri" w:hAnsi="Calibri" w:cs="Calibri"/>
                <w:color w:val="000000"/>
                <w:sz w:val="20"/>
                <w:szCs w:val="20"/>
              </w:rPr>
              <w:t>(e.g. RED-list species): is not representative of ES. It has been proved that non-protected species ‘provide’ the most ES;</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i/>
                <w:color w:val="000000"/>
                <w:sz w:val="20"/>
                <w:szCs w:val="20"/>
              </w:rPr>
            </w:pPr>
            <w:r w:rsidRPr="00C47D28">
              <w:rPr>
                <w:rFonts w:ascii="Calibri" w:hAnsi="Calibri" w:cs="Calibri"/>
                <w:i/>
                <w:color w:val="000000"/>
                <w:sz w:val="20"/>
                <w:szCs w:val="20"/>
              </w:rPr>
              <w:t>11.1 Divert funds from flagship species monitoring to functional species monitoring</w:t>
            </w:r>
          </w:p>
        </w:tc>
      </w:tr>
      <w:tr w:rsidR="001C55F3" w:rsidRPr="00390934" w:rsidTr="006652B8">
        <w:trPr>
          <w:trHeight w:val="895"/>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12. Habitat:</w:t>
            </w:r>
            <w:r w:rsidRPr="00C47D28">
              <w:rPr>
                <w:rFonts w:ascii="Calibri" w:hAnsi="Calibri" w:cs="Calibri"/>
                <w:color w:val="000000"/>
                <w:sz w:val="20"/>
                <w:szCs w:val="20"/>
              </w:rPr>
              <w:t xml:space="preserve"> little knowledge is shared on their link to ES;</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 xml:space="preserve">12.1. Although little is known in this area, it should not be disregarded as it may be easier to link habitat with ES than </w:t>
            </w:r>
            <w:r w:rsidRPr="00C47D28">
              <w:rPr>
                <w:rFonts w:ascii="Calibri" w:hAnsi="Calibri" w:cs="Calibri"/>
                <w:i/>
                <w:color w:val="000000"/>
                <w:sz w:val="20"/>
                <w:szCs w:val="20"/>
              </w:rPr>
              <w:t>(species)</w:t>
            </w:r>
            <w:r w:rsidRPr="00C47D28">
              <w:rPr>
                <w:rFonts w:ascii="Calibri" w:hAnsi="Calibri" w:cs="Calibri"/>
                <w:color w:val="000000"/>
                <w:sz w:val="20"/>
                <w:szCs w:val="20"/>
              </w:rPr>
              <w:t>biodiversity;</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12.2. Alternatively to ‘habitat’, ‘habitat structure’ could be relied on as more is known on the landscape patterns.</w:t>
            </w:r>
          </w:p>
        </w:tc>
      </w:tr>
      <w:tr w:rsidR="001C55F3" w:rsidRPr="00390934" w:rsidTr="006652B8">
        <w:trPr>
          <w:trHeight w:val="557"/>
        </w:trPr>
        <w:tc>
          <w:tcPr>
            <w:tcW w:w="1560"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b/>
                <w:bCs/>
                <w:color w:val="000000"/>
                <w:sz w:val="20"/>
                <w:szCs w:val="20"/>
              </w:rPr>
              <w:t>13. Land cover/use:</w:t>
            </w:r>
            <w:r w:rsidRPr="00C47D28">
              <w:rPr>
                <w:rFonts w:ascii="Calibri" w:hAnsi="Calibri" w:cs="Calibri"/>
                <w:color w:val="000000"/>
                <w:sz w:val="20"/>
                <w:szCs w:val="20"/>
              </w:rPr>
              <w:t xml:space="preserve"> rough proxy if used alone and often co-used with qualitative judgments which has the disadvantage to be subjective and lack transparency.</w:t>
            </w:r>
          </w:p>
        </w:tc>
        <w:tc>
          <w:tcPr>
            <w:tcW w:w="4253"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13.1. Link land use to ecosystem services through ecosystem change (not applicable at the marine environment);</w:t>
            </w:r>
          </w:p>
        </w:tc>
      </w:tr>
      <w:tr w:rsidR="001C55F3" w:rsidRPr="00390934" w:rsidTr="006652B8">
        <w:trPr>
          <w:trHeight w:val="569"/>
        </w:trPr>
        <w:tc>
          <w:tcPr>
            <w:tcW w:w="1560" w:type="dxa"/>
            <w:tcBorders>
              <w:top w:val="nil"/>
              <w:left w:val="single" w:sz="6" w:space="0" w:color="auto"/>
              <w:bottom w:val="single" w:sz="12"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nil"/>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4253" w:type="dxa"/>
            <w:tcBorders>
              <w:top w:val="single" w:sz="6" w:space="0" w:color="auto"/>
              <w:left w:val="single" w:sz="6"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13.2. In mapping: adapt the assessment unit to the ecosystem function or land use.</w:t>
            </w:r>
          </w:p>
        </w:tc>
      </w:tr>
      <w:tr w:rsidR="001C55F3" w:rsidRPr="00390934" w:rsidTr="006652B8">
        <w:trPr>
          <w:trHeight w:val="581"/>
        </w:trPr>
        <w:tc>
          <w:tcPr>
            <w:tcW w:w="1560" w:type="dxa"/>
            <w:tcBorders>
              <w:top w:val="single" w:sz="12" w:space="0" w:color="auto"/>
              <w:left w:val="single" w:sz="12"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4F81BD" w:themeColor="accent1"/>
                <w:sz w:val="20"/>
                <w:szCs w:val="20"/>
              </w:rPr>
              <w:t>Further recommendations</w:t>
            </w:r>
          </w:p>
        </w:tc>
        <w:tc>
          <w:tcPr>
            <w:tcW w:w="3827" w:type="dxa"/>
            <w:tcBorders>
              <w:top w:val="single" w:sz="12"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w:t>
            </w:r>
          </w:p>
        </w:tc>
        <w:tc>
          <w:tcPr>
            <w:tcW w:w="4253" w:type="dxa"/>
            <w:tcBorders>
              <w:top w:val="single" w:sz="12" w:space="0" w:color="auto"/>
              <w:left w:val="single" w:sz="6" w:space="0" w:color="auto"/>
              <w:bottom w:val="single" w:sz="6" w:space="0" w:color="auto"/>
              <w:right w:val="single" w:sz="12"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Set minimum standards for data models which can say something about ecosystem status;</w:t>
            </w:r>
          </w:p>
        </w:tc>
      </w:tr>
      <w:tr w:rsidR="001C55F3" w:rsidRPr="00390934" w:rsidTr="006652B8">
        <w:trPr>
          <w:trHeight w:val="557"/>
        </w:trPr>
        <w:tc>
          <w:tcPr>
            <w:tcW w:w="1560" w:type="dxa"/>
            <w:tcBorders>
              <w:top w:val="nil"/>
              <w:left w:val="single" w:sz="12" w:space="0" w:color="auto"/>
              <w:bottom w:val="nil"/>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6"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w:t>
            </w:r>
          </w:p>
        </w:tc>
        <w:tc>
          <w:tcPr>
            <w:tcW w:w="4253" w:type="dxa"/>
            <w:tcBorders>
              <w:top w:val="single" w:sz="6" w:space="0" w:color="auto"/>
              <w:left w:val="single" w:sz="6" w:space="0" w:color="auto"/>
              <w:bottom w:val="single" w:sz="6" w:space="0" w:color="auto"/>
              <w:right w:val="single" w:sz="12"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Rely on sentinel approach with a systematic description of grids;</w:t>
            </w:r>
          </w:p>
        </w:tc>
      </w:tr>
      <w:tr w:rsidR="001C55F3" w:rsidRPr="00390934" w:rsidTr="006652B8">
        <w:trPr>
          <w:trHeight w:val="569"/>
        </w:trPr>
        <w:tc>
          <w:tcPr>
            <w:tcW w:w="1560" w:type="dxa"/>
            <w:tcBorders>
              <w:top w:val="nil"/>
              <w:left w:val="single" w:sz="12" w:space="0" w:color="auto"/>
              <w:bottom w:val="single" w:sz="12"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p>
        </w:tc>
        <w:tc>
          <w:tcPr>
            <w:tcW w:w="3827" w:type="dxa"/>
            <w:tcBorders>
              <w:top w:val="single" w:sz="6" w:space="0" w:color="auto"/>
              <w:left w:val="single" w:sz="6" w:space="0" w:color="auto"/>
              <w:bottom w:val="single" w:sz="12" w:space="0" w:color="auto"/>
              <w:right w:val="single" w:sz="6"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w:t>
            </w:r>
          </w:p>
        </w:tc>
        <w:tc>
          <w:tcPr>
            <w:tcW w:w="4253" w:type="dxa"/>
            <w:tcBorders>
              <w:top w:val="single" w:sz="6" w:space="0" w:color="auto"/>
              <w:left w:val="single" w:sz="6" w:space="0" w:color="auto"/>
              <w:bottom w:val="single" w:sz="12" w:space="0" w:color="auto"/>
              <w:right w:val="single" w:sz="12" w:space="0" w:color="auto"/>
            </w:tcBorders>
          </w:tcPr>
          <w:p w:rsidR="001C55F3" w:rsidRPr="00C47D28" w:rsidRDefault="001C55F3">
            <w:pPr>
              <w:autoSpaceDE w:val="0"/>
              <w:autoSpaceDN w:val="0"/>
              <w:adjustRightInd w:val="0"/>
              <w:spacing w:after="0" w:line="240" w:lineRule="auto"/>
              <w:rPr>
                <w:rFonts w:ascii="Calibri" w:hAnsi="Calibri" w:cs="Calibri"/>
                <w:color w:val="000000"/>
                <w:sz w:val="20"/>
                <w:szCs w:val="20"/>
              </w:rPr>
            </w:pPr>
            <w:r w:rsidRPr="00C47D28">
              <w:rPr>
                <w:rFonts w:ascii="Calibri" w:hAnsi="Calibri" w:cs="Calibri"/>
                <w:color w:val="000000"/>
                <w:sz w:val="20"/>
                <w:szCs w:val="20"/>
              </w:rPr>
              <w:t>Use Norwegian Nature Index as an example of general framework for statistical method and data collection.</w:t>
            </w:r>
          </w:p>
        </w:tc>
      </w:tr>
    </w:tbl>
    <w:p w:rsidR="001C55F3" w:rsidRDefault="001C55F3">
      <w:pPr>
        <w:rPr>
          <w:b/>
          <w:i/>
          <w:lang w:eastAsia="en-GB"/>
        </w:rPr>
      </w:pPr>
    </w:p>
    <w:p w:rsidR="001C55F3" w:rsidRDefault="001C55F3" w:rsidP="002B0C8C">
      <w:pPr>
        <w:pStyle w:val="Titre2"/>
        <w:tabs>
          <w:tab w:val="left" w:pos="567"/>
        </w:tabs>
        <w:rPr>
          <w:lang w:eastAsia="en-GB"/>
        </w:rPr>
      </w:pPr>
      <w:r>
        <w:rPr>
          <w:lang w:eastAsia="en-GB"/>
        </w:rPr>
        <w:t xml:space="preserve">2.3 </w:t>
      </w:r>
      <w:r>
        <w:rPr>
          <w:lang w:eastAsia="en-GB"/>
        </w:rPr>
        <w:tab/>
        <w:t xml:space="preserve">Observations and conclusions </w:t>
      </w:r>
    </w:p>
    <w:p w:rsidR="001C55F3" w:rsidRDefault="001C55F3" w:rsidP="00DD675F">
      <w:pPr>
        <w:pStyle w:val="Titre3"/>
        <w:spacing w:before="0" w:after="0"/>
        <w:rPr>
          <w:rFonts w:asciiTheme="minorHAnsi" w:hAnsiTheme="minorHAnsi"/>
          <w:sz w:val="22"/>
          <w:szCs w:val="22"/>
        </w:rPr>
      </w:pPr>
    </w:p>
    <w:p w:rsidR="001C55F3" w:rsidRPr="00453988" w:rsidRDefault="001C55F3" w:rsidP="00DD675F">
      <w:pPr>
        <w:pStyle w:val="Titre3"/>
        <w:spacing w:before="0" w:after="0"/>
        <w:rPr>
          <w:rFonts w:asciiTheme="minorHAnsi" w:hAnsiTheme="minorHAnsi"/>
          <w:i w:val="0"/>
          <w:sz w:val="22"/>
          <w:szCs w:val="22"/>
        </w:rPr>
      </w:pPr>
      <w:r w:rsidRPr="00453988">
        <w:rPr>
          <w:rFonts w:asciiTheme="minorHAnsi" w:hAnsiTheme="minorHAnsi"/>
          <w:i w:val="0"/>
          <w:sz w:val="22"/>
          <w:szCs w:val="22"/>
        </w:rPr>
        <w:t>2.3.1</w:t>
      </w:r>
      <w:r w:rsidRPr="00453988">
        <w:rPr>
          <w:rFonts w:asciiTheme="minorHAnsi" w:hAnsiTheme="minorHAnsi"/>
          <w:i w:val="0"/>
          <w:sz w:val="22"/>
          <w:szCs w:val="22"/>
        </w:rPr>
        <w:tab/>
        <w:t xml:space="preserve"> Policy</w:t>
      </w:r>
    </w:p>
    <w:p w:rsidR="001C55F3" w:rsidRPr="00DD675F" w:rsidRDefault="001C55F3" w:rsidP="00DD675F">
      <w:pPr>
        <w:spacing w:after="0" w:line="240" w:lineRule="auto"/>
        <w:jc w:val="both"/>
      </w:pPr>
      <w:r w:rsidRPr="00DD675F">
        <w:t xml:space="preserve">Regarding the </w:t>
      </w:r>
      <w:r w:rsidRPr="00DD675F">
        <w:rPr>
          <w:b/>
        </w:rPr>
        <w:t>policy</w:t>
      </w:r>
      <w:r>
        <w:t>aspect</w:t>
      </w:r>
      <w:r w:rsidRPr="00DD675F">
        <w:t xml:space="preserve">, the main gap appeared to be a general lack of communication and understanding. This occurs </w:t>
      </w:r>
      <w:r>
        <w:t xml:space="preserve">both </w:t>
      </w:r>
      <w:r w:rsidRPr="00DD675F">
        <w:t xml:space="preserve">between the distinct levels of policy and between the policy and the science side. </w:t>
      </w:r>
    </w:p>
    <w:p w:rsidR="001C55F3" w:rsidRDefault="001C55F3" w:rsidP="00DD675F">
      <w:pPr>
        <w:spacing w:after="0" w:line="240" w:lineRule="auto"/>
        <w:jc w:val="both"/>
        <w:rPr>
          <w:b/>
          <w:i/>
        </w:rPr>
      </w:pPr>
    </w:p>
    <w:p w:rsidR="001C55F3" w:rsidRPr="00DD675F" w:rsidRDefault="001C55F3" w:rsidP="00DD675F">
      <w:pPr>
        <w:spacing w:after="0" w:line="240" w:lineRule="auto"/>
        <w:jc w:val="both"/>
        <w:rPr>
          <w:b/>
          <w:i/>
        </w:rPr>
      </w:pPr>
      <w:r w:rsidRPr="00DD675F">
        <w:rPr>
          <w:b/>
          <w:i/>
        </w:rPr>
        <w:t>The distinct policy levels</w:t>
      </w:r>
    </w:p>
    <w:p w:rsidR="001C55F3" w:rsidRPr="00DD675F" w:rsidRDefault="001C55F3" w:rsidP="00DD675F">
      <w:pPr>
        <w:spacing w:after="0" w:line="240" w:lineRule="auto"/>
        <w:jc w:val="both"/>
      </w:pPr>
      <w:r w:rsidRPr="00DD675F">
        <w:t xml:space="preserve">The lack of collaboration between the distinct policy levelswas mainly pointed out between the European and the national level. This issue is also raised in the PRESS report (Maes </w:t>
      </w:r>
      <w:r w:rsidRPr="00DD675F">
        <w:rPr>
          <w:i/>
        </w:rPr>
        <w:t>et al.</w:t>
      </w:r>
      <w:r w:rsidRPr="00DD675F">
        <w:t xml:space="preserve"> 2011). It seemed obvious that the MAES </w:t>
      </w:r>
      <w:r>
        <w:t xml:space="preserve">process conducted by </w:t>
      </w:r>
      <w:r w:rsidRPr="00DD675F">
        <w:t>the EC</w:t>
      </w:r>
      <w:r>
        <w:t xml:space="preserve"> together with the Member states</w:t>
      </w:r>
      <w:r w:rsidRPr="00DD675F">
        <w:t xml:space="preserve"> is not sufficiently understood at the national level. Many questions remain at the national level on the usefulness of MAES and on how to implement it. </w:t>
      </w:r>
      <w:r>
        <w:t>It was suggested</w:t>
      </w:r>
      <w:r w:rsidRPr="00DD675F">
        <w:t xml:space="preserve"> that the EC should develop a schematic, under the form of a website or a leaflet, answering those questions. It was </w:t>
      </w:r>
      <w:r>
        <w:t xml:space="preserve">further </w:t>
      </w:r>
      <w:r w:rsidRPr="00DD675F">
        <w:t xml:space="preserve">suggested to arrange workshops at the EU level to promote reporting on MAES. </w:t>
      </w:r>
      <w:r>
        <w:t xml:space="preserve">This is in fact happening already. </w:t>
      </w:r>
      <w:r w:rsidRPr="00DD675F">
        <w:t xml:space="preserve">Efforts are </w:t>
      </w:r>
      <w:r>
        <w:t>developed</w:t>
      </w:r>
      <w:r w:rsidRPr="00DD675F">
        <w:t xml:space="preserve"> to collaborate with the scientific societies and networks (</w:t>
      </w:r>
      <w:r>
        <w:t>ALTER-Net and the</w:t>
      </w:r>
      <w:r w:rsidRPr="00DD675F">
        <w:t xml:space="preserve"> Ecosystem Services Par</w:t>
      </w:r>
      <w:r>
        <w:t>tnership). For instance, advice</w:t>
      </w:r>
      <w:r w:rsidRPr="00DD675F">
        <w:t xml:space="preserve"> w</w:t>
      </w:r>
      <w:r>
        <w:t>as</w:t>
      </w:r>
      <w:r w:rsidRPr="00DD675F">
        <w:t xml:space="preserve"> asked </w:t>
      </w:r>
      <w:r>
        <w:t>by the</w:t>
      </w:r>
      <w:r w:rsidRPr="00DD675F">
        <w:t xml:space="preserve"> WG-MAES at the 3</w:t>
      </w:r>
      <w:r w:rsidRPr="00DD675F">
        <w:rPr>
          <w:vertAlign w:val="superscript"/>
        </w:rPr>
        <w:t>rd</w:t>
      </w:r>
      <w:r w:rsidRPr="00DD675F">
        <w:t xml:space="preserve"> European Congress of Conservation Biology before publishing the </w:t>
      </w:r>
      <w:r>
        <w:t xml:space="preserve">MAES </w:t>
      </w:r>
      <w:r w:rsidRPr="00DD675F">
        <w:t xml:space="preserve">analytical framework (Maes </w:t>
      </w:r>
      <w:r w:rsidRPr="00DD675F">
        <w:rPr>
          <w:i/>
        </w:rPr>
        <w:t>et al.</w:t>
      </w:r>
      <w:r w:rsidRPr="00DD675F">
        <w:t xml:space="preserve"> 2013a). In addition to this </w:t>
      </w:r>
      <w:r>
        <w:t>top</w:t>
      </w:r>
      <w:r w:rsidRPr="00DD675F">
        <w:t xml:space="preserve">-down approach, up-scaling work from national </w:t>
      </w:r>
      <w:r w:rsidRPr="00DD675F">
        <w:lastRenderedPageBreak/>
        <w:t xml:space="preserve">and local initiatives </w:t>
      </w:r>
      <w:r>
        <w:t>was suggested</w:t>
      </w:r>
      <w:r w:rsidRPr="00DD675F">
        <w:t>. This is supported by the MAES analytical framework that states that a wealth of knowledge is available at the Member State and sta</w:t>
      </w:r>
      <w:r>
        <w:t>keholder level (Maes et al 2013</w:t>
      </w:r>
      <w:r w:rsidRPr="00DD675F">
        <w:t>).</w:t>
      </w:r>
    </w:p>
    <w:p w:rsidR="001C55F3" w:rsidRDefault="001C55F3" w:rsidP="00DD675F">
      <w:pPr>
        <w:spacing w:after="0" w:line="240" w:lineRule="auto"/>
        <w:jc w:val="both"/>
        <w:rPr>
          <w:b/>
          <w:i/>
        </w:rPr>
      </w:pPr>
    </w:p>
    <w:p w:rsidR="001C55F3" w:rsidRPr="00DD675F" w:rsidRDefault="001C55F3" w:rsidP="00DD675F">
      <w:pPr>
        <w:spacing w:after="0" w:line="240" w:lineRule="auto"/>
        <w:jc w:val="both"/>
        <w:rPr>
          <w:b/>
          <w:i/>
        </w:rPr>
      </w:pPr>
      <w:r w:rsidRPr="00DD675F">
        <w:rPr>
          <w:b/>
          <w:i/>
        </w:rPr>
        <w:t>Policy versus science</w:t>
      </w:r>
    </w:p>
    <w:p w:rsidR="001C55F3" w:rsidRPr="00DD675F" w:rsidRDefault="001C55F3" w:rsidP="00DD675F">
      <w:pPr>
        <w:spacing w:after="0" w:line="240" w:lineRule="auto"/>
        <w:jc w:val="both"/>
      </w:pPr>
      <w:r>
        <w:t xml:space="preserve">Miscommunication between policy makers(DG ENV possibly excluded) </w:t>
      </w:r>
      <w:r w:rsidRPr="00DD675F">
        <w:t xml:space="preserve">and scientists </w:t>
      </w:r>
      <w:r>
        <w:t>is observed to lead (at all geographical levels)</w:t>
      </w:r>
      <w:r w:rsidRPr="00DD675F">
        <w:t xml:space="preserve"> to a lack of understanding from the policy side of the usefulness of mapping and assessing ES. This hampers the implementation of assessment and mapping of ES, mainly due to cutbacks</w:t>
      </w:r>
      <w:r>
        <w:t xml:space="preserve"> in funding</w:t>
      </w:r>
      <w:r w:rsidRPr="00DD675F">
        <w:t xml:space="preserve">. </w:t>
      </w:r>
      <w:r>
        <w:t>Examples</w:t>
      </w:r>
      <w:r w:rsidRPr="00DD675F">
        <w:t xml:space="preserve"> of science being useful to policy </w:t>
      </w:r>
      <w:r>
        <w:t>are reported in the literature e.g.</w:t>
      </w:r>
      <w:r w:rsidRPr="00DD675F">
        <w:t xml:space="preserve"> the use of ES assessment to test policy decision efficiency (Schägner</w:t>
      </w:r>
      <w:r w:rsidRPr="00DD675F">
        <w:rPr>
          <w:i/>
        </w:rPr>
        <w:t>et al.</w:t>
      </w:r>
      <w:r w:rsidRPr="00DD675F">
        <w:t xml:space="preserve"> in press, Hauck </w:t>
      </w:r>
      <w:r w:rsidRPr="00DD675F">
        <w:rPr>
          <w:i/>
        </w:rPr>
        <w:t>et al.</w:t>
      </w:r>
      <w:r w:rsidRPr="00DD675F">
        <w:t xml:space="preserve"> in press, Geneletti</w:t>
      </w:r>
      <w:r w:rsidRPr="00DD675F">
        <w:rPr>
          <w:i/>
        </w:rPr>
        <w:t>et al.</w:t>
      </w:r>
      <w:r w:rsidRPr="00DD675F">
        <w:t xml:space="preserve"> 2013, Willemen </w:t>
      </w:r>
      <w:r w:rsidRPr="00DD675F">
        <w:rPr>
          <w:i/>
        </w:rPr>
        <w:t>et al.</w:t>
      </w:r>
      <w:r w:rsidRPr="00DD675F">
        <w:t xml:space="preserve"> 2010). Another example is the benefit from taxes that could be implemented to internalize the damages to nature in various projects (Barbier</w:t>
      </w:r>
      <w:r w:rsidRPr="00DD675F">
        <w:rPr>
          <w:i/>
        </w:rPr>
        <w:t>et al.</w:t>
      </w:r>
      <w:r w:rsidRPr="00DD675F">
        <w:t xml:space="preserve"> 2011). In order to enhance communication between the parties, </w:t>
      </w:r>
      <w:r>
        <w:t>Anton et al. observe</w:t>
      </w:r>
      <w:r w:rsidRPr="00DD675F">
        <w:t xml:space="preserve"> a need to first understand fully how the different levels of governance influence ES provision (Anton </w:t>
      </w:r>
      <w:r w:rsidRPr="00DD675F">
        <w:rPr>
          <w:i/>
        </w:rPr>
        <w:t>et al.</w:t>
      </w:r>
      <w:r w:rsidRPr="00DD675F">
        <w:t xml:space="preserve"> 2010).</w:t>
      </w:r>
    </w:p>
    <w:p w:rsidR="001C55F3" w:rsidRPr="00DD675F" w:rsidRDefault="001C55F3" w:rsidP="00DD675F">
      <w:pPr>
        <w:spacing w:after="0" w:line="240" w:lineRule="auto"/>
        <w:jc w:val="both"/>
        <w:rPr>
          <w:u w:val="single"/>
        </w:rPr>
      </w:pPr>
      <w:r w:rsidRPr="00DD675F">
        <w:t xml:space="preserve">As a second consequence of </w:t>
      </w:r>
      <w:r>
        <w:t>the observed</w:t>
      </w:r>
      <w:r w:rsidRPr="00DD675F">
        <w:t xml:space="preserve"> lack of communication, scien</w:t>
      </w:r>
      <w:r>
        <w:t xml:space="preserve">tistssometimes </w:t>
      </w:r>
      <w:r w:rsidRPr="00DD675F">
        <w:t xml:space="preserve">finds </w:t>
      </w:r>
      <w:r>
        <w:t>themselves</w:t>
      </w:r>
      <w:r w:rsidRPr="00DD675F">
        <w:t xml:space="preserve"> to be the only responsible for a task that should include stakeholde</w:t>
      </w:r>
      <w:r>
        <w:t>rs from many fields</w:t>
      </w:r>
      <w:r w:rsidRPr="00DD675F">
        <w:t>. Involvement of stakeholders wou</w:t>
      </w:r>
      <w:r>
        <w:t>ld possibly be more frequent and effective if politicians</w:t>
      </w:r>
      <w:r w:rsidRPr="00DD675F">
        <w:t xml:space="preserve"> were giving incentives to the stakeholders. This point about stakeholders’ involvement was taken very seriously at the workshop and is moreover underlined in several recent publications (Maes </w:t>
      </w:r>
      <w:r w:rsidRPr="00DD675F">
        <w:rPr>
          <w:i/>
        </w:rPr>
        <w:t>et al.</w:t>
      </w:r>
      <w:r w:rsidRPr="00DD675F">
        <w:t xml:space="preserve"> 2013a, Mace </w:t>
      </w:r>
      <w:r w:rsidRPr="00DD675F">
        <w:rPr>
          <w:i/>
        </w:rPr>
        <w:t>et al.</w:t>
      </w:r>
      <w:r w:rsidRPr="00DD675F">
        <w:t xml:space="preserve"> 2012). It </w:t>
      </w:r>
      <w:r>
        <w:t>is generally</w:t>
      </w:r>
      <w:r w:rsidRPr="00DD675F">
        <w:t xml:space="preserve"> recommended to get them involved from the beginning. The first step of involving stakeholder</w:t>
      </w:r>
      <w:r>
        <w:t>s</w:t>
      </w:r>
      <w:r w:rsidRPr="00DD675F">
        <w:t xml:space="preserve"> is to identify them. The importance of this identification as part of the assessment process was put forward by Bastian </w:t>
      </w:r>
      <w:r w:rsidRPr="00DD675F">
        <w:rPr>
          <w:i/>
        </w:rPr>
        <w:t>et al.</w:t>
      </w:r>
      <w:r w:rsidRPr="00DD675F">
        <w:t xml:space="preserve"> (in press) in their suggestion of a framework to follow while assessing ES. At last, if ES assessment is to serve spatial planning, communication is needed between the two parties to ensure that scientific initiatives fulfill the need of the policy </w:t>
      </w:r>
      <w:r>
        <w:t>makers</w:t>
      </w:r>
      <w:r w:rsidRPr="00DD675F">
        <w:t xml:space="preserve"> (Maes </w:t>
      </w:r>
      <w:r w:rsidRPr="00DD675F">
        <w:rPr>
          <w:i/>
        </w:rPr>
        <w:t>et al.</w:t>
      </w:r>
      <w:r w:rsidRPr="00DD675F">
        <w:t xml:space="preserve"> 2013a). Tools should be developed to facilitate such communication (Anton </w:t>
      </w:r>
      <w:r w:rsidRPr="00DD675F">
        <w:rPr>
          <w:i/>
        </w:rPr>
        <w:t>et al.</w:t>
      </w:r>
      <w:r w:rsidRPr="00DD675F">
        <w:t xml:space="preserve"> 2010).Within the scientific community, there is also a lack of communication and of awareness on the importance of ES. Some scientists fear that assessing and especially monetarising ES could be used to enhance natural resource consumption under neo-liberal economic</w:t>
      </w:r>
      <w:r>
        <w:t xml:space="preserve"> paradigms </w:t>
      </w:r>
      <w:r w:rsidRPr="00DD675F">
        <w:t>and see the ES concept as a threat to biodiversity (Chee</w:t>
      </w:r>
      <w:r w:rsidRPr="00DD675F">
        <w:rPr>
          <w:i/>
        </w:rPr>
        <w:t xml:space="preserve">et al. </w:t>
      </w:r>
      <w:r w:rsidRPr="00DD675F">
        <w:t>2004).</w:t>
      </w:r>
    </w:p>
    <w:p w:rsidR="001C55F3" w:rsidRDefault="001C55F3" w:rsidP="00DD675F">
      <w:pPr>
        <w:pStyle w:val="Titre3"/>
        <w:spacing w:before="0" w:after="0"/>
        <w:rPr>
          <w:rFonts w:asciiTheme="minorHAnsi" w:hAnsiTheme="minorHAnsi"/>
          <w:sz w:val="22"/>
          <w:szCs w:val="22"/>
        </w:rPr>
      </w:pPr>
    </w:p>
    <w:p w:rsidR="001C55F3" w:rsidRPr="004D4053" w:rsidRDefault="001C55F3" w:rsidP="00DD675F">
      <w:pPr>
        <w:pStyle w:val="Titre3"/>
        <w:spacing w:before="0" w:after="0"/>
        <w:rPr>
          <w:rFonts w:asciiTheme="minorHAnsi" w:hAnsiTheme="minorHAnsi"/>
          <w:i w:val="0"/>
          <w:sz w:val="22"/>
          <w:szCs w:val="22"/>
        </w:rPr>
      </w:pPr>
      <w:r w:rsidRPr="004D4053">
        <w:rPr>
          <w:rFonts w:asciiTheme="minorHAnsi" w:hAnsiTheme="minorHAnsi"/>
          <w:i w:val="0"/>
          <w:sz w:val="22"/>
          <w:szCs w:val="22"/>
        </w:rPr>
        <w:t>2.3.2  Methodology</w:t>
      </w:r>
    </w:p>
    <w:p w:rsidR="001C55F3" w:rsidRPr="00DD675F" w:rsidRDefault="001C55F3" w:rsidP="00DD675F">
      <w:pPr>
        <w:spacing w:after="0" w:line="240" w:lineRule="auto"/>
        <w:jc w:val="both"/>
      </w:pPr>
      <w:r w:rsidRPr="00DD675F">
        <w:t>With respects to the methodology, two main gaps were identified: the lack of harmonization and the lack of knowledge on how to integrate some aspects.</w:t>
      </w:r>
    </w:p>
    <w:p w:rsidR="001C55F3" w:rsidRDefault="001C55F3" w:rsidP="00DD675F">
      <w:pPr>
        <w:spacing w:after="0" w:line="240" w:lineRule="auto"/>
        <w:jc w:val="both"/>
        <w:rPr>
          <w:b/>
          <w:i/>
        </w:rPr>
      </w:pPr>
    </w:p>
    <w:p w:rsidR="001C55F3" w:rsidRPr="00DD675F" w:rsidRDefault="001C55F3" w:rsidP="00DD675F">
      <w:pPr>
        <w:spacing w:after="0" w:line="240" w:lineRule="auto"/>
        <w:jc w:val="both"/>
        <w:rPr>
          <w:b/>
          <w:i/>
        </w:rPr>
      </w:pPr>
      <w:r w:rsidRPr="00DD675F">
        <w:rPr>
          <w:b/>
          <w:i/>
        </w:rPr>
        <w:t>The lack of harmonization</w:t>
      </w:r>
    </w:p>
    <w:p w:rsidR="001C55F3" w:rsidRPr="00DD675F" w:rsidRDefault="001C55F3" w:rsidP="00DD675F">
      <w:pPr>
        <w:spacing w:after="0" w:line="240" w:lineRule="auto"/>
        <w:jc w:val="both"/>
      </w:pPr>
      <w:r w:rsidRPr="00DD675F">
        <w:t xml:space="preserve">The first barrier identified is a lack of standardization of the existing nomenclature, typologies and classifications. A wide range of classifications and definitions for ecosystem functions and services is available (Hermann </w:t>
      </w:r>
      <w:r w:rsidRPr="00DD675F">
        <w:rPr>
          <w:i/>
        </w:rPr>
        <w:t>et al.</w:t>
      </w:r>
      <w:r w:rsidRPr="00DD675F">
        <w:t xml:space="preserve"> 2011, Haines-Young and Potschin 2010, Anton </w:t>
      </w:r>
      <w:r w:rsidRPr="00DD675F">
        <w:rPr>
          <w:i/>
        </w:rPr>
        <w:t>et al.</w:t>
      </w:r>
      <w:r w:rsidRPr="00DD675F">
        <w:t xml:space="preserve"> 2010, Götzl</w:t>
      </w:r>
      <w:r w:rsidRPr="00DD675F">
        <w:rPr>
          <w:i/>
        </w:rPr>
        <w:t>et al.</w:t>
      </w:r>
      <w:r w:rsidRPr="00DD675F">
        <w:t xml:space="preserve"> 2012). For instance, at the international level three systems are available: the MA, the TEEB and the CICES (</w:t>
      </w:r>
      <w:r>
        <w:t xml:space="preserve">see also </w:t>
      </w:r>
      <w:r w:rsidRPr="00DD675F">
        <w:t xml:space="preserve">Maes </w:t>
      </w:r>
      <w:r w:rsidRPr="00DD675F">
        <w:rPr>
          <w:i/>
        </w:rPr>
        <w:t>et al.</w:t>
      </w:r>
      <w:r w:rsidRPr="00DD675F">
        <w:t xml:space="preserve"> 2013). According to Anton </w:t>
      </w:r>
      <w:r w:rsidRPr="00DD675F">
        <w:rPr>
          <w:i/>
        </w:rPr>
        <w:t>et al.</w:t>
      </w:r>
      <w:r w:rsidRPr="00DD675F">
        <w:t xml:space="preserve"> (2010) and Götzl</w:t>
      </w:r>
      <w:r w:rsidRPr="00DD675F">
        <w:rPr>
          <w:i/>
        </w:rPr>
        <w:t>et al.</w:t>
      </w:r>
      <w:r w:rsidRPr="00DD675F">
        <w:t xml:space="preserve"> (2012), a first step towards a standardized classification is the distinction between final and intermediate services and between flows and stocks of ES. Recommendations were formulated at the workshop to relate classifications of the MAES framework to the ones of specific sectors such as forestry or fisheries to determine commonalities and differences. From there, conversion tables would be provided. Moreover, it was suggested to apply the </w:t>
      </w:r>
      <w:r>
        <w:t xml:space="preserve">MAES </w:t>
      </w:r>
      <w:r w:rsidRPr="00DD675F">
        <w:t>analytical framework to the country cases of the MESEU project to check its adequacy</w:t>
      </w:r>
      <w:r>
        <w:t xml:space="preserve"> (done and presented in Chapter 4)</w:t>
      </w:r>
      <w:r w:rsidRPr="00DD675F">
        <w:t xml:space="preserve">. The </w:t>
      </w:r>
      <w:r>
        <w:t xml:space="preserve">MAES </w:t>
      </w:r>
      <w:r w:rsidRPr="00DD675F">
        <w:t xml:space="preserve">analytical framework recommends the utilization of the CICES classification which should be adapted for each specific situation and needs of the Member States (Maes </w:t>
      </w:r>
      <w:r w:rsidRPr="00DD675F">
        <w:rPr>
          <w:i/>
        </w:rPr>
        <w:t>et al.</w:t>
      </w:r>
      <w:r w:rsidRPr="00DD675F">
        <w:t xml:space="preserve"> 2013). This classification indeed meets requirements highlighted in the literature: it provides sharply defined terms (Wallace </w:t>
      </w:r>
      <w:r w:rsidRPr="00DD675F">
        <w:rPr>
          <w:i/>
        </w:rPr>
        <w:t>et al.</w:t>
      </w:r>
      <w:r w:rsidRPr="00DD675F">
        <w:t xml:space="preserve"> 2007) while allowing for adaptation to the decision context of the assessed area (Fisher </w:t>
      </w:r>
      <w:r w:rsidRPr="00DD675F">
        <w:rPr>
          <w:i/>
        </w:rPr>
        <w:t>et al.</w:t>
      </w:r>
      <w:r w:rsidRPr="00DD675F">
        <w:t xml:space="preserve"> 2009). This recommendation was applied </w:t>
      </w:r>
      <w:r>
        <w:t>in</w:t>
      </w:r>
      <w:r w:rsidRPr="00DD675F">
        <w:t xml:space="preserve"> the ES assessment of Belgium where both regions used the CICES classification and adapted it to the Belgian context. However, both regions carried out the </w:t>
      </w:r>
      <w:r w:rsidRPr="00DD675F">
        <w:lastRenderedPageBreak/>
        <w:t xml:space="preserve">adaptations separately and the aggregation to a national level is now questionable. This experience highlighted the need for </w:t>
      </w:r>
      <w:r>
        <w:t xml:space="preserve">the </w:t>
      </w:r>
      <w:r w:rsidRPr="00DD675F">
        <w:t xml:space="preserve">CICES </w:t>
      </w:r>
      <w:r>
        <w:t>managers to provide guidance on adaptation of</w:t>
      </w:r>
      <w:r w:rsidRPr="00DD675F">
        <w:t xml:space="preserve"> it to the </w:t>
      </w:r>
      <w:r>
        <w:t xml:space="preserve">regional </w:t>
      </w:r>
      <w:r w:rsidRPr="00DD675F">
        <w:t xml:space="preserve">level. </w:t>
      </w:r>
    </w:p>
    <w:p w:rsidR="001C55F3" w:rsidRDefault="001C55F3" w:rsidP="00DD675F">
      <w:pPr>
        <w:spacing w:after="0" w:line="240" w:lineRule="auto"/>
        <w:jc w:val="both"/>
      </w:pPr>
    </w:p>
    <w:p w:rsidR="001C55F3" w:rsidRPr="00DD675F" w:rsidRDefault="001C55F3" w:rsidP="00DD675F">
      <w:pPr>
        <w:spacing w:after="0" w:line="240" w:lineRule="auto"/>
        <w:jc w:val="both"/>
      </w:pPr>
      <w:r w:rsidRPr="00DD675F">
        <w:t>Moreover, there exists a lack of ha</w:t>
      </w:r>
      <w:r>
        <w:t>rmonization between assessments. This observation in the workshop is clearly supported by the material from the Country Case studies.</w:t>
      </w:r>
      <w:r w:rsidRPr="00DD675F">
        <w:t xml:space="preserve"> A broad range of methodologies and approaches are being used to assess and map ES. Methodologies vary according to the aim, the scale, and the resource available of the study. Usually, assessments realized with distinct methodologies show to be incompatible. In addition, due to a lack of knowledge on existing methods, the scientists do not make the best use of the available technologies. These issues formulated at the workshop are mentioned in literature (Kandziora</w:t>
      </w:r>
      <w:r w:rsidRPr="00DD675F">
        <w:rPr>
          <w:i/>
        </w:rPr>
        <w:t>et al.</w:t>
      </w:r>
      <w:r w:rsidRPr="00DD675F">
        <w:t xml:space="preserve"> in press, Burkhard </w:t>
      </w:r>
      <w:r w:rsidRPr="00DD675F">
        <w:rPr>
          <w:i/>
        </w:rPr>
        <w:t>et al.</w:t>
      </w:r>
      <w:r w:rsidRPr="00DD675F">
        <w:t xml:space="preserve"> in press, Crossman </w:t>
      </w:r>
      <w:r w:rsidRPr="00DD675F">
        <w:rPr>
          <w:i/>
        </w:rPr>
        <w:t>et al.</w:t>
      </w:r>
      <w:r w:rsidRPr="00DD675F">
        <w:t xml:space="preserve"> in press, Schägner</w:t>
      </w:r>
      <w:r w:rsidRPr="00DD675F">
        <w:rPr>
          <w:i/>
        </w:rPr>
        <w:t>et al.</w:t>
      </w:r>
      <w:r w:rsidRPr="00DD675F">
        <w:t xml:space="preserve"> in press, Maes </w:t>
      </w:r>
      <w:r w:rsidRPr="00DD675F">
        <w:rPr>
          <w:i/>
        </w:rPr>
        <w:t>et al.</w:t>
      </w:r>
      <w:r w:rsidRPr="00DD675F">
        <w:t xml:space="preserve"> in press, de Groot </w:t>
      </w:r>
      <w:r w:rsidRPr="00DD675F">
        <w:rPr>
          <w:i/>
        </w:rPr>
        <w:t>et al.</w:t>
      </w:r>
      <w:r w:rsidRPr="00DD675F">
        <w:t xml:space="preserve"> 2002). To tackle these issues, it was recommended to enhance the communication between the initiatives. The knowledge on existing methods should be gathered on one common platform which should be available for all. BISE represents such a platform and</w:t>
      </w:r>
      <w:r>
        <w:t xml:space="preserve"> should be developed as the one-stop-access-</w:t>
      </w:r>
      <w:r w:rsidRPr="00DD675F">
        <w:t xml:space="preserve">portal to all ES studies. The existence of this platform should be promoted to the scientific community. Gathering the existing knowledge in one common platform will allow for comparison of the methodologies to identify the gaps and the recommended approaches (Burkhard </w:t>
      </w:r>
      <w:r w:rsidRPr="00DD675F">
        <w:rPr>
          <w:i/>
        </w:rPr>
        <w:t xml:space="preserve">et al. </w:t>
      </w:r>
      <w:r w:rsidRPr="00DD675F">
        <w:t xml:space="preserve">in press, Maes </w:t>
      </w:r>
      <w:r w:rsidRPr="00DD675F">
        <w:rPr>
          <w:i/>
        </w:rPr>
        <w:t>et al.</w:t>
      </w:r>
      <w:r w:rsidRPr="00DD675F">
        <w:t xml:space="preserve"> 2013a). As a first step, experts at the workshop suggested to use the pilot cases and country cases of the MAES project for such comparison. The expert’s advice thus highlighted the need for such research as MESEU.</w:t>
      </w:r>
    </w:p>
    <w:p w:rsidR="001C55F3" w:rsidRPr="00DD675F" w:rsidRDefault="001C55F3" w:rsidP="00DD675F">
      <w:pPr>
        <w:spacing w:after="0" w:line="240" w:lineRule="auto"/>
        <w:jc w:val="both"/>
      </w:pPr>
      <w:r w:rsidRPr="00DD675F">
        <w:t xml:space="preserve">The </w:t>
      </w:r>
      <w:r>
        <w:t>lessons learned</w:t>
      </w:r>
      <w:r w:rsidRPr="00DD675F">
        <w:t xml:space="preserve"> from the comparison of the existing methods should lead to the construction of ‘cook book’ for mapping and assessing ES</w:t>
      </w:r>
      <w:r>
        <w:t xml:space="preserve"> (see for an outline of such a cook book, or Guidance Manual: Chapter 7)</w:t>
      </w:r>
      <w:r w:rsidRPr="00DD675F">
        <w:t xml:space="preserve">. Experts stressed the importance to pass on this new knowledge generated to the young researchers. The importance to transfer ES knowledge to young researcher is the focus of a study carried out by Cramer </w:t>
      </w:r>
      <w:r w:rsidRPr="00DD675F">
        <w:rPr>
          <w:i/>
        </w:rPr>
        <w:t>et al.</w:t>
      </w:r>
      <w:r w:rsidRPr="00DD675F">
        <w:t xml:space="preserve"> (2008). The process was recommended to be kept informal in first instance to encourage a creative environment for innovative approaches and new cooperation. For the mid to long term some form of institutionalization could be developed in order to get ES science into the mainstream of research and policy.</w:t>
      </w:r>
    </w:p>
    <w:p w:rsidR="001C55F3" w:rsidRDefault="001C55F3" w:rsidP="00DD675F">
      <w:pPr>
        <w:spacing w:after="0" w:line="240" w:lineRule="auto"/>
        <w:jc w:val="both"/>
        <w:rPr>
          <w:b/>
          <w:i/>
        </w:rPr>
      </w:pPr>
    </w:p>
    <w:p w:rsidR="001C55F3" w:rsidRPr="00DD675F" w:rsidRDefault="001C55F3" w:rsidP="00DD675F">
      <w:pPr>
        <w:spacing w:after="0" w:line="240" w:lineRule="auto"/>
        <w:jc w:val="both"/>
        <w:rPr>
          <w:b/>
          <w:i/>
        </w:rPr>
      </w:pPr>
      <w:r w:rsidRPr="00DD675F">
        <w:rPr>
          <w:b/>
          <w:i/>
        </w:rPr>
        <w:t>Lack of knowledge on how to integrate certain features</w:t>
      </w:r>
    </w:p>
    <w:p w:rsidR="001C55F3" w:rsidRPr="00DD675F" w:rsidRDefault="001C55F3" w:rsidP="00DD675F">
      <w:pPr>
        <w:spacing w:after="0" w:line="240" w:lineRule="auto"/>
        <w:jc w:val="both"/>
      </w:pPr>
      <w:r w:rsidRPr="00DD675F">
        <w:t>Assessing and mapping ES is a considerable task as it involves many aspects and many disciplines. Several aspects came out at the workshop to represent an obstacle in ES assessments.</w:t>
      </w:r>
    </w:p>
    <w:p w:rsidR="001C55F3" w:rsidRPr="00531C1C" w:rsidRDefault="001C55F3" w:rsidP="00DD675F">
      <w:pPr>
        <w:spacing w:after="0" w:line="240" w:lineRule="auto"/>
        <w:jc w:val="both"/>
        <w:rPr>
          <w:rFonts w:eastAsia="Times New Roman"/>
          <w:color w:val="000000"/>
          <w:lang w:eastAsia="fr-BE"/>
        </w:rPr>
      </w:pPr>
      <w:r w:rsidRPr="00DD675F">
        <w:t>At first, there seem</w:t>
      </w:r>
      <w:r>
        <w:t>s</w:t>
      </w:r>
      <w:r w:rsidRPr="00DD675F">
        <w:t xml:space="preserve"> to be a lack of clarity between </w:t>
      </w:r>
      <w:r w:rsidRPr="00DD675F">
        <w:rPr>
          <w:rFonts w:eastAsia="Times New Roman"/>
          <w:b/>
          <w:bCs/>
          <w:color w:val="000000"/>
          <w:lang w:eastAsia="fr-BE"/>
        </w:rPr>
        <w:t>ecosystemfunction/process and ecosystem services</w:t>
      </w:r>
      <w:r w:rsidRPr="00DD675F">
        <w:rPr>
          <w:rFonts w:eastAsia="Times New Roman"/>
          <w:color w:val="000000"/>
          <w:lang w:eastAsia="fr-BE"/>
        </w:rPr>
        <w:t xml:space="preserve"> and whether these are parallel processes or two stages (de Groot </w:t>
      </w:r>
      <w:r w:rsidRPr="00DD675F">
        <w:rPr>
          <w:rFonts w:eastAsia="Times New Roman"/>
          <w:i/>
          <w:color w:val="000000"/>
          <w:lang w:eastAsia="fr-BE"/>
        </w:rPr>
        <w:t>et al.</w:t>
      </w:r>
      <w:r w:rsidRPr="00DD675F">
        <w:rPr>
          <w:rFonts w:eastAsia="Times New Roman"/>
          <w:color w:val="000000"/>
          <w:lang w:eastAsia="fr-BE"/>
        </w:rPr>
        <w:t xml:space="preserve"> 2002, Wallace </w:t>
      </w:r>
      <w:r w:rsidRPr="00DD675F">
        <w:rPr>
          <w:rFonts w:eastAsia="Times New Roman"/>
          <w:i/>
          <w:color w:val="000000"/>
          <w:lang w:eastAsia="fr-BE"/>
        </w:rPr>
        <w:t>et al.</w:t>
      </w:r>
      <w:r w:rsidRPr="00DD675F">
        <w:rPr>
          <w:rFonts w:eastAsia="Times New Roman"/>
          <w:color w:val="000000"/>
          <w:lang w:eastAsia="fr-BE"/>
        </w:rPr>
        <w:t xml:space="preserve"> 2007, Anton </w:t>
      </w:r>
      <w:r w:rsidRPr="00DD675F">
        <w:rPr>
          <w:rFonts w:eastAsia="Times New Roman"/>
          <w:i/>
          <w:color w:val="000000"/>
          <w:lang w:eastAsia="fr-BE"/>
        </w:rPr>
        <w:t>et al.</w:t>
      </w:r>
      <w:r w:rsidRPr="00DD675F">
        <w:rPr>
          <w:rFonts w:eastAsia="Times New Roman"/>
          <w:color w:val="000000"/>
          <w:lang w:eastAsia="fr-BE"/>
        </w:rPr>
        <w:t xml:space="preserve"> 2010, Götzl</w:t>
      </w:r>
      <w:r w:rsidRPr="00DD675F">
        <w:rPr>
          <w:rFonts w:eastAsia="Times New Roman"/>
          <w:i/>
          <w:color w:val="000000"/>
          <w:lang w:eastAsia="fr-BE"/>
        </w:rPr>
        <w:t>et al.</w:t>
      </w:r>
      <w:r w:rsidRPr="00DD675F">
        <w:rPr>
          <w:rFonts w:eastAsia="Times New Roman"/>
          <w:color w:val="000000"/>
          <w:lang w:eastAsia="fr-BE"/>
        </w:rPr>
        <w:t xml:space="preserve"> 2012). The distinction is however of high relevance (Burkhard </w:t>
      </w:r>
      <w:r w:rsidRPr="00DD675F">
        <w:rPr>
          <w:rFonts w:eastAsia="Times New Roman"/>
          <w:i/>
          <w:color w:val="000000"/>
          <w:lang w:eastAsia="fr-BE"/>
        </w:rPr>
        <w:t>et al.</w:t>
      </w:r>
      <w:r w:rsidRPr="00DD675F">
        <w:rPr>
          <w:rFonts w:eastAsia="Times New Roman"/>
          <w:color w:val="000000"/>
          <w:lang w:eastAsia="fr-BE"/>
        </w:rPr>
        <w:t xml:space="preserve"> 2012, Anton </w:t>
      </w:r>
      <w:r w:rsidRPr="00DD675F">
        <w:rPr>
          <w:rFonts w:eastAsia="Times New Roman"/>
          <w:i/>
          <w:color w:val="000000"/>
          <w:lang w:eastAsia="fr-BE"/>
        </w:rPr>
        <w:t>et al.</w:t>
      </w:r>
      <w:r w:rsidRPr="00DD675F">
        <w:rPr>
          <w:rFonts w:eastAsia="Times New Roman"/>
          <w:color w:val="000000"/>
          <w:lang w:eastAsia="fr-BE"/>
        </w:rPr>
        <w:t xml:space="preserve"> 2010). </w:t>
      </w:r>
      <w:r>
        <w:rPr>
          <w:rFonts w:eastAsia="Times New Roman"/>
          <w:color w:val="000000"/>
          <w:lang w:eastAsia="fr-BE"/>
        </w:rPr>
        <w:t xml:space="preserve">In Braat&amp;DeGroot (2012)this debate is summarised and in fact an evolved version of the so called Cascade model (Haines-Young &amp;Potschin, 2010) is suggested to calrify most of the issue. </w:t>
      </w:r>
      <w:r w:rsidRPr="00DD675F">
        <w:rPr>
          <w:rFonts w:eastAsia="Times New Roman"/>
          <w:color w:val="000000"/>
          <w:lang w:eastAsia="fr-BE"/>
        </w:rPr>
        <w:t>Götzl</w:t>
      </w:r>
      <w:r w:rsidRPr="00DD675F">
        <w:rPr>
          <w:rFonts w:eastAsia="Times New Roman"/>
          <w:i/>
          <w:color w:val="000000"/>
          <w:lang w:eastAsia="fr-BE"/>
        </w:rPr>
        <w:t>et al.</w:t>
      </w:r>
      <w:r w:rsidRPr="00DD675F">
        <w:rPr>
          <w:rFonts w:eastAsia="Times New Roman"/>
          <w:color w:val="000000"/>
          <w:lang w:eastAsia="fr-BE"/>
        </w:rPr>
        <w:t xml:space="preserve"> (2012) provides a compilation of the different terms used in recent literature to define either ecosystem functions or ecosystem services. In general, it is suggested that all assessments should be carried out based on clear definitions (Anton </w:t>
      </w:r>
      <w:r w:rsidRPr="00DD675F">
        <w:rPr>
          <w:rFonts w:eastAsia="Times New Roman"/>
          <w:i/>
          <w:color w:val="000000"/>
          <w:lang w:eastAsia="fr-BE"/>
        </w:rPr>
        <w:t>et al.</w:t>
      </w:r>
      <w:r w:rsidRPr="00DD675F">
        <w:rPr>
          <w:rFonts w:eastAsia="Times New Roman"/>
          <w:color w:val="000000"/>
          <w:lang w:eastAsia="fr-BE"/>
        </w:rPr>
        <w:t xml:space="preserve"> 2010) and a structured framework (</w:t>
      </w:r>
      <w:r w:rsidRPr="00DD675F">
        <w:t xml:space="preserve">Bastian </w:t>
      </w:r>
      <w:r w:rsidRPr="00DD675F">
        <w:rPr>
          <w:i/>
        </w:rPr>
        <w:t>et al.</w:t>
      </w:r>
      <w:r w:rsidRPr="00DD675F">
        <w:t xml:space="preserve">. in press, Wallace </w:t>
      </w:r>
      <w:r w:rsidRPr="00DD675F">
        <w:rPr>
          <w:i/>
        </w:rPr>
        <w:t>et al.</w:t>
      </w:r>
      <w:r w:rsidRPr="00DD675F">
        <w:t xml:space="preserve"> 2007, Fisher </w:t>
      </w:r>
      <w:r w:rsidRPr="00DD675F">
        <w:rPr>
          <w:i/>
        </w:rPr>
        <w:t>et al.</w:t>
      </w:r>
      <w:r w:rsidRPr="00DD675F">
        <w:t xml:space="preserve"> 2009). In a recent study, an extension of the EPPS framework is suggested where five pillars are distinguished: the ecosystem properties, the ecosystem potential the ecosystem services, the benefits and the beneficiaries</w:t>
      </w:r>
      <w:r w:rsidRPr="00DD675F">
        <w:rPr>
          <w:rFonts w:eastAsia="Times New Roman"/>
          <w:color w:val="000000"/>
          <w:lang w:eastAsia="fr-BE"/>
        </w:rPr>
        <w:t xml:space="preserve"> (</w:t>
      </w:r>
      <w:r w:rsidRPr="00DD675F">
        <w:t xml:space="preserve">Bastian </w:t>
      </w:r>
      <w:r w:rsidRPr="00DD675F">
        <w:rPr>
          <w:i/>
        </w:rPr>
        <w:t>et al</w:t>
      </w:r>
      <w:r w:rsidRPr="00DD675F">
        <w:t>. in press). The Driver-Pressure-State-Impact-Response</w:t>
      </w:r>
      <w:r w:rsidRPr="00DD675F">
        <w:rPr>
          <w:b/>
        </w:rPr>
        <w:t xml:space="preserve"> (</w:t>
      </w:r>
      <w:r w:rsidRPr="00DD675F">
        <w:t>DPSIR) framework was suggested at the workshop to organize, for example, MAES information.</w:t>
      </w:r>
    </w:p>
    <w:p w:rsidR="001C55F3" w:rsidRDefault="001C55F3" w:rsidP="00DD675F">
      <w:pPr>
        <w:spacing w:after="0" w:line="240" w:lineRule="auto"/>
        <w:jc w:val="both"/>
      </w:pPr>
    </w:p>
    <w:p w:rsidR="001C55F3" w:rsidRPr="00DD675F" w:rsidRDefault="001C55F3" w:rsidP="00DD675F">
      <w:pPr>
        <w:spacing w:after="0" w:line="240" w:lineRule="auto"/>
        <w:jc w:val="both"/>
        <w:rPr>
          <w:u w:val="single"/>
        </w:rPr>
      </w:pPr>
      <w:r w:rsidRPr="00DD675F">
        <w:t>The second aspect discussed at the workshop as being problematic is the implementation of the</w:t>
      </w:r>
      <w:r w:rsidRPr="00DD675F">
        <w:rPr>
          <w:b/>
        </w:rPr>
        <w:t xml:space="preserve"> ES demand</w:t>
      </w:r>
      <w:r w:rsidRPr="00DD675F">
        <w:t xml:space="preserve">. While incorporating the demand to the assessment is rarely achieved (Burkhard </w:t>
      </w:r>
      <w:r w:rsidRPr="00DD675F">
        <w:rPr>
          <w:i/>
        </w:rPr>
        <w:t>et al.</w:t>
      </w:r>
      <w:r w:rsidRPr="00DD675F">
        <w:t xml:space="preserve"> 2012) it is important in order to reach a sustainable natural resource management strategy (Garcia-Nieto </w:t>
      </w:r>
      <w:r w:rsidRPr="00DD675F">
        <w:rPr>
          <w:i/>
        </w:rPr>
        <w:t>et al.</w:t>
      </w:r>
      <w:r w:rsidRPr="00DD675F">
        <w:t xml:space="preserve"> in press, Anton </w:t>
      </w:r>
      <w:r w:rsidRPr="00DD675F">
        <w:rPr>
          <w:i/>
        </w:rPr>
        <w:t>et al.</w:t>
      </w:r>
      <w:r w:rsidRPr="00DD675F">
        <w:t xml:space="preserve"> 2010, Maes </w:t>
      </w:r>
      <w:r w:rsidRPr="00DD675F">
        <w:rPr>
          <w:i/>
        </w:rPr>
        <w:t>et al.</w:t>
      </w:r>
      <w:r w:rsidRPr="00DD675F">
        <w:t xml:space="preserve"> 2011). Experts advised to follow the idea of Burkhard </w:t>
      </w:r>
      <w:r w:rsidRPr="00DD675F">
        <w:rPr>
          <w:i/>
        </w:rPr>
        <w:t>et al.</w:t>
      </w:r>
      <w:r w:rsidRPr="00DD675F">
        <w:t xml:space="preserve">. (2012) and use of the population density as a proxy. This was indeed implemented efficiently in the </w:t>
      </w:r>
      <w:r w:rsidRPr="00DD675F">
        <w:lastRenderedPageBreak/>
        <w:t xml:space="preserve">assessment of Switzerland (global) (A. Grêt-Ramey </w:t>
      </w:r>
      <w:r w:rsidRPr="00DD675F">
        <w:rPr>
          <w:i/>
        </w:rPr>
        <w:t>et al.</w:t>
      </w:r>
      <w:r w:rsidRPr="00DD675F">
        <w:t xml:space="preserve"> 2012). This solution offers a fast an easily implementable way of assessing the demand by relying on the assumption that an area will low population density will result in a low ES demand and vice versa.</w:t>
      </w:r>
    </w:p>
    <w:p w:rsidR="001C55F3" w:rsidRDefault="001C55F3" w:rsidP="00DD675F">
      <w:pPr>
        <w:spacing w:after="0" w:line="240" w:lineRule="auto"/>
        <w:jc w:val="both"/>
      </w:pPr>
    </w:p>
    <w:p w:rsidR="001C55F3" w:rsidRPr="00DD675F" w:rsidRDefault="001C55F3" w:rsidP="00DD675F">
      <w:pPr>
        <w:spacing w:after="0" w:line="240" w:lineRule="auto"/>
        <w:jc w:val="both"/>
      </w:pPr>
      <w:r w:rsidRPr="00DD675F">
        <w:t xml:space="preserve">Another point that often creates difficulties is the difference in </w:t>
      </w:r>
      <w:r w:rsidRPr="00DD675F">
        <w:rPr>
          <w:b/>
        </w:rPr>
        <w:t>geographical scales</w:t>
      </w:r>
      <w:r w:rsidRPr="00DD675F">
        <w:t xml:space="preserve"> among the studies making them incompatible (Anton </w:t>
      </w:r>
      <w:r w:rsidRPr="00DD675F">
        <w:rPr>
          <w:i/>
        </w:rPr>
        <w:t>et al.</w:t>
      </w:r>
      <w:r>
        <w:t xml:space="preserve"> 2010). Experts advis</w:t>
      </w:r>
      <w:r w:rsidRPr="00DD675F">
        <w:t xml:space="preserve">ed the use of a distinct method for each scale to reach more accurate assessments. For European assessments, the use of scale 1:1.000.000. or </w:t>
      </w:r>
      <w:r>
        <w:t>smaller</w:t>
      </w:r>
      <w:r w:rsidRPr="00DD675F">
        <w:t xml:space="preserve"> is recommended (Malak</w:t>
      </w:r>
      <w:r w:rsidRPr="00DD675F">
        <w:rPr>
          <w:i/>
        </w:rPr>
        <w:t>et al.</w:t>
      </w:r>
      <w:r w:rsidRPr="00DD675F">
        <w:t xml:space="preserve"> 2012). The most appropriate method for each scale should be determined by comparing studies working on the same scale. Such comparison would be facilitated by the gathering of all existing methods on a common platform as mentioned earlier. On the very local scale, experts expressed the possibility to rely on the local knowledge by means of crowdsourcing (Anton </w:t>
      </w:r>
      <w:r w:rsidRPr="00DD675F">
        <w:rPr>
          <w:i/>
        </w:rPr>
        <w:t>et al.</w:t>
      </w:r>
      <w:r w:rsidRPr="00DD675F">
        <w:t xml:space="preserve"> 2010). This </w:t>
      </w:r>
      <w:r>
        <w:t>c</w:t>
      </w:r>
      <w:r w:rsidRPr="00DD675F">
        <w:t xml:space="preserve">ould </w:t>
      </w:r>
      <w:r>
        <w:t>possiblyincrease</w:t>
      </w:r>
      <w:r w:rsidRPr="00DD675F">
        <w:t xml:space="preserve"> social fairness (Hermann </w:t>
      </w:r>
      <w:r w:rsidRPr="00DD675F">
        <w:rPr>
          <w:i/>
        </w:rPr>
        <w:t>et al.</w:t>
      </w:r>
      <w:r w:rsidRPr="00DD675F">
        <w:t xml:space="preserve"> 2011). The ES assessment of Switzerland (local) relied on such an approach and confirmed its reliability. On the other hand, remote sensing is an appropriate method for large area mapping (Kandziora</w:t>
      </w:r>
      <w:r w:rsidRPr="00DD675F">
        <w:rPr>
          <w:i/>
        </w:rPr>
        <w:t>et al.</w:t>
      </w:r>
      <w:r w:rsidRPr="00DD675F">
        <w:t xml:space="preserve"> in press</w:t>
      </w:r>
      <w:r>
        <w:t>, B</w:t>
      </w:r>
      <w:r w:rsidRPr="00DD675F">
        <w:t xml:space="preserve">urkhard </w:t>
      </w:r>
      <w:r w:rsidRPr="00DD675F">
        <w:rPr>
          <w:i/>
        </w:rPr>
        <w:t>et al.</w:t>
      </w:r>
      <w:r w:rsidRPr="00DD675F">
        <w:t xml:space="preserve"> in press) although it remains underused due to its high technical aspect. For comparability across scales, Anton </w:t>
      </w:r>
      <w:r w:rsidRPr="00DD675F">
        <w:rPr>
          <w:i/>
        </w:rPr>
        <w:t>et al.</w:t>
      </w:r>
      <w:r w:rsidRPr="00DD675F">
        <w:t xml:space="preserve"> (2010) underline the need to develop an indicator framework to linking small scale indicato</w:t>
      </w:r>
      <w:r>
        <w:t>rs to landscape indicators. To e</w:t>
      </w:r>
      <w:r w:rsidRPr="00DD675F">
        <w:t xml:space="preserve">nable such linking between small and large scale indicators, Maes </w:t>
      </w:r>
      <w:r w:rsidRPr="00DD675F">
        <w:rPr>
          <w:i/>
        </w:rPr>
        <w:t>et al.</w:t>
      </w:r>
      <w:r w:rsidRPr="00DD675F">
        <w:t xml:space="preserve"> (2011) suggest to rely on indicators expressed per unit area. This would allow up- and down-scaling, although they recognize that for some ES, such indicators are not available.</w:t>
      </w:r>
    </w:p>
    <w:p w:rsidR="001C55F3" w:rsidRDefault="001C55F3" w:rsidP="00DD675F">
      <w:pPr>
        <w:spacing w:after="0" w:line="240" w:lineRule="auto"/>
        <w:jc w:val="both"/>
      </w:pPr>
    </w:p>
    <w:p w:rsidR="001C55F3" w:rsidRPr="00DD675F" w:rsidRDefault="001C55F3" w:rsidP="00DD675F">
      <w:pPr>
        <w:spacing w:after="0" w:line="240" w:lineRule="auto"/>
        <w:jc w:val="both"/>
      </w:pPr>
      <w:r w:rsidRPr="00DD675F">
        <w:t xml:space="preserve">ES are </w:t>
      </w:r>
      <w:r w:rsidRPr="00DD675F">
        <w:rPr>
          <w:b/>
        </w:rPr>
        <w:t>multidimensional</w:t>
      </w:r>
      <w:r w:rsidRPr="00DD675F">
        <w:t xml:space="preserve"> and their representation on a two-dimension map represents a simplification. Maps disregard the third spatial dimension which has a specific importance for mountainous and marine ecosystems. The fourth dimension of time is also often bypassed (Anton </w:t>
      </w:r>
      <w:r w:rsidRPr="00DD675F">
        <w:rPr>
          <w:i/>
        </w:rPr>
        <w:t>et al.</w:t>
      </w:r>
      <w:r w:rsidRPr="00DD675F">
        <w:t xml:space="preserve"> 2010) although it is acknowledged to be of high importance (Malak</w:t>
      </w:r>
      <w:r w:rsidRPr="00DD675F">
        <w:rPr>
          <w:i/>
        </w:rPr>
        <w:t>et al.</w:t>
      </w:r>
      <w:r w:rsidRPr="00DD675F">
        <w:t xml:space="preserve"> 2012). In order to clarify this multidimensionality, experts stated that time and scale should be defined per ecosystem type for each ES assessment. This is supported by Bastian </w:t>
      </w:r>
      <w:r w:rsidRPr="00DD675F">
        <w:rPr>
          <w:i/>
        </w:rPr>
        <w:t>et al.</w:t>
      </w:r>
      <w:r w:rsidRPr="00DD675F">
        <w:t>. (in press) who declared that ‘all five pillars should be analyzed and differentiated in terms of space and time’. The advantage of incorporating the time into the study is made clear in case of economic analysis: it allows highlighting the potential benefits to be generated in the future from sustainable investments. Moreover, it allows testing the policy decision efficiency (Kandziora</w:t>
      </w:r>
      <w:r w:rsidRPr="00DD675F">
        <w:rPr>
          <w:i/>
        </w:rPr>
        <w:t>et al.</w:t>
      </w:r>
      <w:r w:rsidRPr="00DD675F">
        <w:t xml:space="preserve"> in press).</w:t>
      </w:r>
    </w:p>
    <w:p w:rsidR="001C55F3" w:rsidRDefault="001C55F3" w:rsidP="00DD675F">
      <w:pPr>
        <w:spacing w:after="0" w:line="240" w:lineRule="auto"/>
        <w:jc w:val="both"/>
      </w:pPr>
    </w:p>
    <w:p w:rsidR="001C55F3" w:rsidRPr="00DD675F" w:rsidRDefault="001C55F3" w:rsidP="00DD675F">
      <w:pPr>
        <w:spacing w:after="0" w:line="240" w:lineRule="auto"/>
        <w:jc w:val="both"/>
      </w:pPr>
      <w:r w:rsidRPr="00DD675F">
        <w:t xml:space="preserve">A further important trait to incorporate into ES assessment is the </w:t>
      </w:r>
      <w:r w:rsidRPr="00DD675F">
        <w:rPr>
          <w:b/>
        </w:rPr>
        <w:t>multidisciplinary of ES</w:t>
      </w:r>
      <w:r w:rsidRPr="00DD675F">
        <w:t xml:space="preserve">. Assessing ES requires the expertise of scientific from different fields and of experts in distinct disciplines. Three broad disciplines are implicated: ecology, economy and applied social sciences (Burkhard </w:t>
      </w:r>
      <w:r w:rsidRPr="00DD675F">
        <w:rPr>
          <w:i/>
        </w:rPr>
        <w:t>et al.</w:t>
      </w:r>
      <w:r w:rsidRPr="00DD675F">
        <w:t xml:space="preserve"> 2010). Currently, most assessments are carried out separately for the different research fields and disciplines, each trying to attain different goals and using distinct definitions (Hermann </w:t>
      </w:r>
      <w:r w:rsidRPr="00DD675F">
        <w:rPr>
          <w:i/>
        </w:rPr>
        <w:t>et al.</w:t>
      </w:r>
      <w:r w:rsidRPr="00DD675F">
        <w:t xml:space="preserve"> 2011). This is undeniably a major cause of the incompatibility and incomparability of the ES assessments mentioned above. Moreover, it is believed that the division among the ecological and economic discipline is a major hindrance to sustainable natural resource management (Aronson </w:t>
      </w:r>
      <w:r w:rsidRPr="00DD675F">
        <w:rPr>
          <w:i/>
        </w:rPr>
        <w:t>et al.</w:t>
      </w:r>
      <w:r w:rsidRPr="00DD675F">
        <w:t xml:space="preserve"> 2010). Encouraging cooperation between the fields and the disciplines would lead to more accurate results and to comparable studies (Haines-Young and Potschin 2010, Anton </w:t>
      </w:r>
      <w:r w:rsidRPr="00DD675F">
        <w:rPr>
          <w:i/>
        </w:rPr>
        <w:t>et al.</w:t>
      </w:r>
      <w:r>
        <w:t xml:space="preserve"> 2010). Experts emphasiz</w:t>
      </w:r>
      <w:r w:rsidRPr="00DD675F">
        <w:t xml:space="preserve">e the need to involve various experts from the research proposal elaboration step of the process. </w:t>
      </w:r>
    </w:p>
    <w:p w:rsidR="001C55F3" w:rsidRDefault="001C55F3" w:rsidP="00DD675F">
      <w:pPr>
        <w:spacing w:after="0" w:line="240" w:lineRule="auto"/>
        <w:jc w:val="both"/>
      </w:pPr>
      <w:r>
        <w:t>Finally</w:t>
      </w:r>
      <w:r w:rsidRPr="00DD675F">
        <w:t xml:space="preserve">, the </w:t>
      </w:r>
      <w:r w:rsidRPr="00DD675F">
        <w:rPr>
          <w:b/>
        </w:rPr>
        <w:t>thresholds</w:t>
      </w:r>
      <w:r w:rsidRPr="00DD675F">
        <w:t xml:space="preserve"> of ecosystem resilience are weakly documented and should be the focus of future studies. Thresholds at which assessments are biased can be assessed by means of uncertainties studies. Despite the general recognition of the usefulness of uncertainty analysis (Burkhard </w:t>
      </w:r>
      <w:r w:rsidRPr="00DD675F">
        <w:rPr>
          <w:i/>
        </w:rPr>
        <w:t>et al.</w:t>
      </w:r>
      <w:r w:rsidRPr="00DD675F">
        <w:t xml:space="preserve"> in press), </w:t>
      </w:r>
      <w:r>
        <w:t>few studies offer</w:t>
      </w:r>
      <w:r w:rsidRPr="00DD675F">
        <w:t xml:space="preserve"> such investigation</w:t>
      </w:r>
      <w:r>
        <w:t>s</w:t>
      </w:r>
      <w:r w:rsidRPr="00DD675F">
        <w:t xml:space="preserve"> (Anton </w:t>
      </w:r>
      <w:r w:rsidRPr="00DD675F">
        <w:rPr>
          <w:i/>
        </w:rPr>
        <w:t>et al.</w:t>
      </w:r>
      <w:r w:rsidRPr="00DD675F">
        <w:t xml:space="preserve"> 2010). Further studies should also focus on </w:t>
      </w:r>
      <w:r w:rsidRPr="00DD675F">
        <w:rPr>
          <w:b/>
        </w:rPr>
        <w:t>conservation prioritization</w:t>
      </w:r>
      <w:r w:rsidRPr="00DD675F">
        <w:t xml:space="preserve"> to agree on criteria to rely on. This lack of knowledge on prioritization is due to the dearth of interdisciplinary engagement mentioned above (Nicholson </w:t>
      </w:r>
      <w:r w:rsidRPr="00DD675F">
        <w:rPr>
          <w:i/>
        </w:rPr>
        <w:t>et al.</w:t>
      </w:r>
      <w:r w:rsidRPr="00DD675F">
        <w:t xml:space="preserve"> 2009).</w:t>
      </w:r>
    </w:p>
    <w:p w:rsidR="001C55F3" w:rsidRPr="00DD675F" w:rsidRDefault="001C55F3" w:rsidP="00DD675F">
      <w:pPr>
        <w:spacing w:after="0" w:line="240" w:lineRule="auto"/>
        <w:jc w:val="both"/>
      </w:pPr>
    </w:p>
    <w:p w:rsidR="001C55F3" w:rsidRPr="004D4053" w:rsidRDefault="001C55F3" w:rsidP="00622218">
      <w:pPr>
        <w:pStyle w:val="Titre3"/>
        <w:keepLines/>
        <w:numPr>
          <w:ilvl w:val="2"/>
          <w:numId w:val="20"/>
        </w:numPr>
        <w:spacing w:before="0" w:after="0"/>
        <w:ind w:left="709" w:hanging="709"/>
        <w:jc w:val="left"/>
        <w:rPr>
          <w:rFonts w:asciiTheme="minorHAnsi" w:hAnsiTheme="minorHAnsi"/>
          <w:i w:val="0"/>
          <w:sz w:val="22"/>
          <w:szCs w:val="22"/>
        </w:rPr>
      </w:pPr>
      <w:r w:rsidRPr="004D4053">
        <w:rPr>
          <w:rFonts w:asciiTheme="minorHAnsi" w:hAnsiTheme="minorHAnsi"/>
          <w:i w:val="0"/>
          <w:sz w:val="22"/>
          <w:szCs w:val="22"/>
        </w:rPr>
        <w:lastRenderedPageBreak/>
        <w:t>Data</w:t>
      </w:r>
    </w:p>
    <w:p w:rsidR="001C55F3" w:rsidRDefault="001C55F3" w:rsidP="00DD675F">
      <w:pPr>
        <w:spacing w:after="0" w:line="240" w:lineRule="auto"/>
        <w:jc w:val="both"/>
        <w:rPr>
          <w:b/>
          <w:i/>
        </w:rPr>
      </w:pPr>
    </w:p>
    <w:p w:rsidR="001C55F3" w:rsidRPr="00DD675F" w:rsidRDefault="001C55F3" w:rsidP="00DD675F">
      <w:pPr>
        <w:spacing w:after="0" w:line="240" w:lineRule="auto"/>
        <w:jc w:val="both"/>
        <w:rPr>
          <w:b/>
          <w:i/>
        </w:rPr>
      </w:pPr>
      <w:r w:rsidRPr="00DD675F">
        <w:rPr>
          <w:b/>
          <w:i/>
        </w:rPr>
        <w:t>General issues regarding data compatibility, existence and accessibility</w:t>
      </w:r>
    </w:p>
    <w:p w:rsidR="001C55F3" w:rsidRPr="00DD675F" w:rsidRDefault="001C55F3" w:rsidP="00DD675F">
      <w:pPr>
        <w:spacing w:after="0" w:line="240" w:lineRule="auto"/>
        <w:jc w:val="both"/>
      </w:pPr>
      <w:r w:rsidRPr="00DD675F">
        <w:t xml:space="preserve">Data from distinct assessments show the tendency to be incompatible (Anton </w:t>
      </w:r>
      <w:r w:rsidRPr="00DD675F">
        <w:rPr>
          <w:i/>
        </w:rPr>
        <w:t>et al.</w:t>
      </w:r>
      <w:r w:rsidRPr="00DD675F">
        <w:t xml:space="preserve"> 2010). This is due to the different aims of the study, the distinct scales, the different data-collection’s times and distinct quality level among the assessments. As for the methodologies, the use of an international sharing platform was highly recommended. This would moreover structure the existing data which would lead to a more efficient use of the available data. </w:t>
      </w:r>
    </w:p>
    <w:p w:rsidR="001C55F3" w:rsidRPr="00DD675F" w:rsidRDefault="001C55F3" w:rsidP="00DD675F">
      <w:pPr>
        <w:spacing w:after="0" w:line="240" w:lineRule="auto"/>
        <w:jc w:val="both"/>
      </w:pPr>
      <w:r w:rsidRPr="00DD675F">
        <w:t xml:space="preserve">A main barrier mentioned in several country cases is the </w:t>
      </w:r>
      <w:r w:rsidRPr="00BE4D88">
        <w:rPr>
          <w:b/>
        </w:rPr>
        <w:t>lack of data</w:t>
      </w:r>
      <w:r w:rsidRPr="00DD675F">
        <w:t>. Many countries in the Balkan mentioned this issue, but also more developed countries such as Austria. In recent publications, this issue has been identified as the main obstacle to ES assessments (Eigenbord</w:t>
      </w:r>
      <w:r w:rsidRPr="00DD675F">
        <w:rPr>
          <w:i/>
        </w:rPr>
        <w:t>et al.</w:t>
      </w:r>
      <w:r w:rsidRPr="00DD675F">
        <w:t xml:space="preserve"> 2010, Götzl</w:t>
      </w:r>
      <w:r w:rsidRPr="00DD675F">
        <w:rPr>
          <w:i/>
        </w:rPr>
        <w:t>et al.</w:t>
      </w:r>
      <w:r w:rsidRPr="00DD675F">
        <w:t xml:space="preserve"> 2012, Egoh </w:t>
      </w:r>
      <w:r w:rsidRPr="00DD675F">
        <w:rPr>
          <w:i/>
        </w:rPr>
        <w:t>et al.</w:t>
      </w:r>
      <w:r w:rsidRPr="00DD675F">
        <w:t xml:space="preserve"> 2012). Having an international sharing platform would increase the data availability, although this would only be possible when data is compatible. Maes </w:t>
      </w:r>
      <w:r w:rsidRPr="00DD675F">
        <w:rPr>
          <w:i/>
        </w:rPr>
        <w:t>et al.</w:t>
      </w:r>
      <w:r w:rsidRPr="00DD675F">
        <w:t xml:space="preserve"> (2011) suggest an organizational framework aiming at such task. In this framework, MS are requested to store their data on an </w:t>
      </w:r>
      <w:r>
        <w:t>central and accessible</w:t>
      </w:r>
      <w:r w:rsidRPr="00DD675F">
        <w:t xml:space="preserve"> server. This data is then validated and aggregated to produce harmonized European datasets. A state of the art of the available data at the European scale has been carried out by Malak</w:t>
      </w:r>
      <w:r w:rsidRPr="00DD675F">
        <w:rPr>
          <w:i/>
        </w:rPr>
        <w:t>et al.</w:t>
      </w:r>
      <w:r w:rsidRPr="00DD675F">
        <w:t xml:space="preserve"> (2012) and it is highly recommended to refer to before starting any European scale assessments. Furthermore, to increase the body of data, two relevant sources of data, which have already been mentioned when addressing the distinct geographical scale, are believed to represent a huge potential: remote sensing data and data from tacit knowledge. The knowledge shared by the local is being more and more acknowledged and is believed to be an important source of data for local assessments (Herman </w:t>
      </w:r>
      <w:r w:rsidRPr="00DD675F">
        <w:rPr>
          <w:i/>
        </w:rPr>
        <w:t>et al.</w:t>
      </w:r>
      <w:r w:rsidRPr="00DD675F">
        <w:t xml:space="preserve"> 2011, Anton </w:t>
      </w:r>
      <w:r w:rsidRPr="00DD675F">
        <w:rPr>
          <w:i/>
        </w:rPr>
        <w:t>et al.</w:t>
      </w:r>
      <w:r w:rsidRPr="00DD675F">
        <w:t xml:space="preserve"> 2010). Experts suggested the gathering of local knowledge or ‘crowdsourcing’ to be achieved through tools such as Geowiki.org or the development of smartphones’ applications. However, the methodology used should not restrict the type of data; relying on informatics may reject the input some people such retired people who have knowledge over a longer period of time.</w:t>
      </w:r>
    </w:p>
    <w:p w:rsidR="001C55F3" w:rsidRPr="00DD675F" w:rsidRDefault="001C55F3" w:rsidP="00DD675F">
      <w:pPr>
        <w:spacing w:after="0" w:line="240" w:lineRule="auto"/>
        <w:jc w:val="both"/>
      </w:pPr>
      <w:r w:rsidRPr="00DD675F">
        <w:t xml:space="preserve">Yet, when data exists it is not always </w:t>
      </w:r>
      <w:r w:rsidRPr="00BE4D88">
        <w:rPr>
          <w:b/>
        </w:rPr>
        <w:t>accessible</w:t>
      </w:r>
      <w:r w:rsidRPr="00DD675F">
        <w:t xml:space="preserve">. Again, the Balkan countries often mentioned the barrier of obtaining data from governmental institutions. Data kept at the policy level, it being from national of European level, also show difficulties to be obtained. This stresses once more the need for a better cooperation between the policy and science side. The same applies for the lack of trust between scientists as already discussed, which is unquestionably hampering data availability. Some scientists do not agree to share their information because they are scared that the concept ‘ES’ could be taken against biodiversity. </w:t>
      </w:r>
    </w:p>
    <w:p w:rsidR="001C55F3" w:rsidRDefault="001C55F3" w:rsidP="00DD675F">
      <w:pPr>
        <w:pStyle w:val="Sansinterligne"/>
        <w:jc w:val="both"/>
        <w:rPr>
          <w:rFonts w:asciiTheme="minorHAnsi" w:hAnsiTheme="minorHAnsi"/>
          <w:b/>
          <w:i/>
          <w:lang w:val="en-US"/>
        </w:rPr>
      </w:pPr>
    </w:p>
    <w:p w:rsidR="001C55F3" w:rsidRPr="00DD675F" w:rsidRDefault="001C55F3" w:rsidP="00DD675F">
      <w:pPr>
        <w:pStyle w:val="Sansinterligne"/>
        <w:jc w:val="both"/>
        <w:rPr>
          <w:rFonts w:asciiTheme="minorHAnsi" w:hAnsiTheme="minorHAnsi"/>
          <w:b/>
          <w:i/>
          <w:lang w:val="en-US"/>
        </w:rPr>
      </w:pPr>
      <w:r w:rsidRPr="00DD675F">
        <w:rPr>
          <w:rFonts w:asciiTheme="minorHAnsi" w:hAnsiTheme="minorHAnsi"/>
          <w:b/>
          <w:i/>
          <w:lang w:val="en-US"/>
        </w:rPr>
        <w:t>Data types and their limitations</w:t>
      </w:r>
    </w:p>
    <w:p w:rsidR="001C55F3" w:rsidRPr="00DD675F" w:rsidRDefault="001C55F3" w:rsidP="00DD675F">
      <w:pPr>
        <w:pStyle w:val="Sansinterligne"/>
        <w:jc w:val="both"/>
        <w:rPr>
          <w:rFonts w:asciiTheme="minorHAnsi" w:hAnsiTheme="minorHAnsi"/>
          <w:lang w:val="en-US"/>
        </w:rPr>
      </w:pPr>
      <w:r w:rsidRPr="00DD675F">
        <w:rPr>
          <w:rFonts w:asciiTheme="minorHAnsi" w:hAnsiTheme="minorHAnsi"/>
          <w:lang w:val="en-US"/>
        </w:rPr>
        <w:t xml:space="preserve">Several types of data have been identified that can serve to assess ES often used as indicators. For each category, limitations were highlighted. Before starting any assessment, one should refer to the existing panacea of indicators which has been assessed by Egoh </w:t>
      </w:r>
      <w:r w:rsidRPr="00DD675F">
        <w:rPr>
          <w:rFonts w:asciiTheme="minorHAnsi" w:hAnsiTheme="minorHAnsi"/>
          <w:i/>
          <w:lang w:val="en-US"/>
        </w:rPr>
        <w:t>et al.</w:t>
      </w:r>
      <w:r w:rsidRPr="00DD675F">
        <w:rPr>
          <w:rFonts w:asciiTheme="minorHAnsi" w:hAnsiTheme="minorHAnsi"/>
          <w:lang w:val="en-US"/>
        </w:rPr>
        <w:t xml:space="preserve"> (2012).</w:t>
      </w:r>
    </w:p>
    <w:p w:rsidR="001C55F3" w:rsidRPr="00DD675F" w:rsidRDefault="001C55F3" w:rsidP="00DD675F">
      <w:pPr>
        <w:spacing w:after="0" w:line="240" w:lineRule="auto"/>
        <w:jc w:val="both"/>
      </w:pPr>
      <w:r w:rsidRPr="00DD675F">
        <w:t xml:space="preserve">To begin with, </w:t>
      </w:r>
      <w:r w:rsidRPr="00DD675F">
        <w:rPr>
          <w:b/>
        </w:rPr>
        <w:t xml:space="preserve">biodiversity </w:t>
      </w:r>
      <w:r w:rsidRPr="00DD675F">
        <w:t xml:space="preserve">is believed to be correlated to ES and could therefore be used as an ES indicator. Three main limitations were identified to this statement. At first, </w:t>
      </w:r>
      <w:r>
        <w:t xml:space="preserve">most </w:t>
      </w:r>
      <w:r w:rsidRPr="00DD675F">
        <w:t>biodiversity</w:t>
      </w:r>
      <w:r>
        <w:t xml:space="preserve"> data are </w:t>
      </w:r>
      <w:r w:rsidRPr="00DD675F">
        <w:t xml:space="preserve"> not a spatial </w:t>
      </w:r>
      <w:r>
        <w:t xml:space="preserve">coverage </w:t>
      </w:r>
      <w:r w:rsidRPr="00DD675F">
        <w:t xml:space="preserve">data, but point </w:t>
      </w:r>
      <w:r>
        <w:t xml:space="preserve">location </w:t>
      </w:r>
      <w:r w:rsidRPr="00DD675F">
        <w:t>data. Secondly, the relationship between biodiversity and ES is not clear and many interpretations exist. Despite that it is widely acknowledged that a higher biodiversity is likely to lead to a higher ES delivery, the correlation is by far not linear</w:t>
      </w:r>
      <w:r>
        <w:t>,</w:t>
      </w:r>
      <w:r w:rsidRPr="00DD675F">
        <w:t xml:space="preserve"> limiting its reliability as indicator (Broecks</w:t>
      </w:r>
      <w:r w:rsidRPr="00DD675F">
        <w:rPr>
          <w:i/>
        </w:rPr>
        <w:t>et al.</w:t>
      </w:r>
      <w:r w:rsidRPr="00DD675F">
        <w:t xml:space="preserve"> 2013, Maes </w:t>
      </w:r>
      <w:r w:rsidRPr="00DD675F">
        <w:rPr>
          <w:i/>
        </w:rPr>
        <w:t>et al.</w:t>
      </w:r>
      <w:r w:rsidRPr="00DD675F">
        <w:t xml:space="preserve"> 2011). At last, biodiversity monitoring is too narrow to represent ES which is a broad concept.</w:t>
      </w:r>
    </w:p>
    <w:p w:rsidR="001C55F3" w:rsidRPr="00DD675F" w:rsidRDefault="001C55F3" w:rsidP="00DD675F">
      <w:pPr>
        <w:spacing w:after="0" w:line="240" w:lineRule="auto"/>
        <w:jc w:val="both"/>
      </w:pPr>
      <w:r w:rsidRPr="00DD675F">
        <w:t xml:space="preserve">Recommendations towards that point </w:t>
      </w:r>
      <w:r>
        <w:t xml:space="preserve">are </w:t>
      </w:r>
      <w:r w:rsidRPr="00DD675F">
        <w:t xml:space="preserve">headed in two directions. On the one hand, there is a need for clarification in the link between biodiversity and ES. Information should be used on how the level of biodiversity (existing biodiversity data, field data) affects the functioning of the system and the habitat quality. According to experts, this could be done by using case studies or by mapping through modeling.On the other hand, as biodiversity is believed to be insufficient to assess ES, other parameters should be taken into account. These include information from integrated environmental monitoring, information on ecosystem functions and structure. The survey of Anton </w:t>
      </w:r>
      <w:r w:rsidRPr="00DD675F">
        <w:rPr>
          <w:i/>
        </w:rPr>
        <w:t>et al.</w:t>
      </w:r>
      <w:r w:rsidRPr="00DD675F">
        <w:t xml:space="preserve"> (2010) </w:t>
      </w:r>
      <w:r w:rsidRPr="00DD675F">
        <w:lastRenderedPageBreak/>
        <w:t>concluded to the same conclusion where ES should be assessed according to their traits, rather than their taxonomy.Other initiatives have relied on f</w:t>
      </w:r>
      <w:r w:rsidRPr="00DD675F">
        <w:rPr>
          <w:b/>
        </w:rPr>
        <w:t>lagship species monitoring</w:t>
      </w:r>
      <w:r w:rsidRPr="00DD675F">
        <w:t xml:space="preserve"> (e.g. RED-list species, Bird Directive). Experts have however stated that these are not representative of ES. It has been proved that non-protected species ‘provide’ the most ES (Anton </w:t>
      </w:r>
      <w:r w:rsidRPr="00DD675F">
        <w:rPr>
          <w:i/>
        </w:rPr>
        <w:t>et al.</w:t>
      </w:r>
      <w:r w:rsidRPr="00DD675F">
        <w:t xml:space="preserve"> 2010).</w:t>
      </w:r>
    </w:p>
    <w:p w:rsidR="001C55F3" w:rsidRPr="00DD675F" w:rsidRDefault="001C55F3" w:rsidP="00DD675F">
      <w:pPr>
        <w:pStyle w:val="Sansinterligne"/>
        <w:jc w:val="both"/>
        <w:rPr>
          <w:rFonts w:asciiTheme="minorHAnsi" w:hAnsiTheme="minorHAnsi"/>
          <w:b/>
          <w:lang w:val="en-US"/>
        </w:rPr>
      </w:pPr>
    </w:p>
    <w:p w:rsidR="001C55F3" w:rsidRPr="00DD675F" w:rsidRDefault="001C55F3" w:rsidP="00DD675F">
      <w:pPr>
        <w:pStyle w:val="Sansinterligne"/>
        <w:jc w:val="both"/>
        <w:rPr>
          <w:rFonts w:asciiTheme="minorHAnsi" w:hAnsiTheme="minorHAnsi"/>
          <w:lang w:val="en-US"/>
        </w:rPr>
      </w:pPr>
      <w:r w:rsidRPr="00DD675F">
        <w:rPr>
          <w:rFonts w:asciiTheme="minorHAnsi" w:hAnsiTheme="minorHAnsi"/>
          <w:b/>
          <w:lang w:val="en-US"/>
        </w:rPr>
        <w:t xml:space="preserve">Habitat </w:t>
      </w:r>
      <w:r w:rsidRPr="00DD675F">
        <w:rPr>
          <w:rFonts w:asciiTheme="minorHAnsi" w:hAnsiTheme="minorHAnsi"/>
          <w:lang w:val="en-US"/>
        </w:rPr>
        <w:t xml:space="preserve">was mentioned at the workshop as being a base to certain ES assessments, but experts underlined that little knowledge is shared on their link to ES. Despite this lack of evidence it should not be disregarded as it may be easier to link habitat with ES than </w:t>
      </w:r>
      <w:r>
        <w:rPr>
          <w:rFonts w:asciiTheme="minorHAnsi" w:hAnsiTheme="minorHAnsi"/>
          <w:lang w:val="en-US"/>
        </w:rPr>
        <w:t xml:space="preserve">species </w:t>
      </w:r>
      <w:r w:rsidRPr="00DD675F">
        <w:rPr>
          <w:rFonts w:asciiTheme="minorHAnsi" w:hAnsiTheme="minorHAnsi"/>
          <w:lang w:val="en-US"/>
        </w:rPr>
        <w:t xml:space="preserve">biodiversity. Alternatively to ‘habitat’, ‘habitat structure’ could be relied on as more is known on the landscape patterns. This meets with the recommendation of Anton </w:t>
      </w:r>
      <w:r w:rsidRPr="00DD675F">
        <w:rPr>
          <w:rFonts w:asciiTheme="minorHAnsi" w:hAnsiTheme="minorHAnsi"/>
          <w:i/>
          <w:lang w:val="en-US"/>
        </w:rPr>
        <w:t>et al.</w:t>
      </w:r>
      <w:r w:rsidRPr="00DD675F">
        <w:rPr>
          <w:rFonts w:asciiTheme="minorHAnsi" w:hAnsiTheme="minorHAnsi"/>
          <w:lang w:val="en-US"/>
        </w:rPr>
        <w:t xml:space="preserve"> (2010) to use ecosystem traits and functions. According to the same author, indicators of the ecosystem function and structure should be developed when they are related to ES (Anton </w:t>
      </w:r>
      <w:r w:rsidRPr="00DD675F">
        <w:rPr>
          <w:rFonts w:asciiTheme="minorHAnsi" w:hAnsiTheme="minorHAnsi"/>
          <w:i/>
          <w:lang w:val="en-US"/>
        </w:rPr>
        <w:t>et al.</w:t>
      </w:r>
      <w:r w:rsidRPr="00DD675F">
        <w:rPr>
          <w:rFonts w:asciiTheme="minorHAnsi" w:hAnsiTheme="minorHAnsi"/>
          <w:lang w:val="en-US"/>
        </w:rPr>
        <w:t xml:space="preserve"> 2010). At last, the assessment should  not be restricted to the Natura 2000 network nor to the Habitat Directive as these are believed to be weakly representative of ES (Anton </w:t>
      </w:r>
      <w:r w:rsidRPr="00DD675F">
        <w:rPr>
          <w:rFonts w:asciiTheme="minorHAnsi" w:hAnsiTheme="minorHAnsi"/>
          <w:i/>
          <w:lang w:val="en-US"/>
        </w:rPr>
        <w:t>et al.</w:t>
      </w:r>
      <w:r w:rsidRPr="00DD675F">
        <w:rPr>
          <w:rFonts w:asciiTheme="minorHAnsi" w:hAnsiTheme="minorHAnsi"/>
          <w:lang w:val="en-US"/>
        </w:rPr>
        <w:t xml:space="preserve"> 2010).</w:t>
      </w:r>
    </w:p>
    <w:p w:rsidR="001C55F3" w:rsidRDefault="001C55F3" w:rsidP="00DD675F">
      <w:pPr>
        <w:pStyle w:val="Sansinterligne"/>
        <w:jc w:val="both"/>
        <w:rPr>
          <w:rFonts w:asciiTheme="minorHAnsi" w:hAnsiTheme="minorHAnsi"/>
          <w:lang w:val="en-US"/>
        </w:rPr>
      </w:pPr>
    </w:p>
    <w:p w:rsidR="001C55F3" w:rsidRPr="00DD675F" w:rsidRDefault="001C55F3" w:rsidP="00DD675F">
      <w:pPr>
        <w:pStyle w:val="Sansinterligne"/>
        <w:jc w:val="both"/>
        <w:rPr>
          <w:rFonts w:asciiTheme="minorHAnsi" w:hAnsiTheme="minorHAnsi"/>
        </w:rPr>
      </w:pPr>
      <w:r w:rsidRPr="00DD675F">
        <w:rPr>
          <w:rFonts w:asciiTheme="minorHAnsi" w:hAnsiTheme="minorHAnsi"/>
          <w:lang w:val="en-US"/>
        </w:rPr>
        <w:t xml:space="preserve">As illustrated by the country cases, several assessment rely on </w:t>
      </w:r>
      <w:r w:rsidRPr="00DD675F">
        <w:rPr>
          <w:rFonts w:asciiTheme="minorHAnsi" w:hAnsiTheme="minorHAnsi"/>
          <w:b/>
          <w:lang w:val="en-US"/>
        </w:rPr>
        <w:t xml:space="preserve">land cover/use </w:t>
      </w:r>
      <w:r w:rsidRPr="00DD675F">
        <w:rPr>
          <w:rFonts w:asciiTheme="minorHAnsi" w:hAnsiTheme="minorHAnsi"/>
          <w:lang w:val="en-US"/>
        </w:rPr>
        <w:t>as indicator. As discussed earlier, this approach presents considerable drawbacks. Such</w:t>
      </w:r>
      <w:r>
        <w:rPr>
          <w:rFonts w:asciiTheme="minorHAnsi" w:hAnsiTheme="minorHAnsi"/>
          <w:lang w:val="en-US"/>
        </w:rPr>
        <w:t xml:space="preserve"> an</w:t>
      </w:r>
      <w:r w:rsidRPr="00DD675F">
        <w:rPr>
          <w:rFonts w:asciiTheme="minorHAnsi" w:hAnsiTheme="minorHAnsi"/>
          <w:lang w:val="en-US"/>
        </w:rPr>
        <w:t xml:space="preserve"> indicator is a rough proxy if used alone and often co-used with qualitative judgments which has the disadvantage to be subjective and lack transparency (Eigenbrod</w:t>
      </w:r>
      <w:r w:rsidRPr="00DD675F">
        <w:rPr>
          <w:rFonts w:asciiTheme="minorHAnsi" w:hAnsiTheme="minorHAnsi"/>
          <w:i/>
          <w:lang w:val="en-US"/>
        </w:rPr>
        <w:t>et al.</w:t>
      </w:r>
      <w:r w:rsidRPr="00DD675F">
        <w:rPr>
          <w:rFonts w:asciiTheme="minorHAnsi" w:hAnsiTheme="minorHAnsi"/>
          <w:lang w:val="en-US"/>
        </w:rPr>
        <w:t xml:space="preserve"> 2010). To enhance the quality of such assessments experts referred to two recommendations: (i) </w:t>
      </w:r>
      <w:r w:rsidRPr="00DD675F">
        <w:rPr>
          <w:rFonts w:asciiTheme="minorHAnsi" w:hAnsiTheme="minorHAnsi"/>
        </w:rPr>
        <w:t>Link land use to ecosystem services through ecosystem change (this is not applicable at the marine environment) and (ii)  adapt the assessment unit, when mapping, to the ecosystem function or land use.</w:t>
      </w:r>
    </w:p>
    <w:p w:rsidR="001C55F3" w:rsidRDefault="001C55F3">
      <w:pPr>
        <w:rPr>
          <w:rFonts w:asciiTheme="majorHAnsi" w:eastAsiaTheme="majorEastAsia" w:hAnsiTheme="majorHAnsi" w:cstheme="majorBidi"/>
          <w:b/>
          <w:bCs/>
          <w:color w:val="365F91" w:themeColor="accent1" w:themeShade="BF"/>
          <w:sz w:val="36"/>
          <w:szCs w:val="36"/>
          <w:lang w:eastAsia="en-GB"/>
        </w:rPr>
      </w:pPr>
      <w:r>
        <w:rPr>
          <w:sz w:val="36"/>
          <w:szCs w:val="36"/>
          <w:lang w:eastAsia="en-GB"/>
        </w:rPr>
        <w:br w:type="page"/>
      </w:r>
    </w:p>
    <w:p w:rsidR="001C55F3" w:rsidRPr="006F24D4" w:rsidRDefault="001C55F3" w:rsidP="001C55F3">
      <w:pPr>
        <w:pStyle w:val="Titre1"/>
        <w:rPr>
          <w:sz w:val="36"/>
          <w:szCs w:val="36"/>
        </w:rPr>
      </w:pPr>
      <w:r w:rsidRPr="006F24D4">
        <w:rPr>
          <w:sz w:val="36"/>
          <w:szCs w:val="36"/>
          <w:lang w:eastAsia="en-GB"/>
        </w:rPr>
        <w:lastRenderedPageBreak/>
        <w:t>3.</w:t>
      </w:r>
      <w:r w:rsidRPr="006F24D4">
        <w:rPr>
          <w:sz w:val="36"/>
          <w:szCs w:val="36"/>
          <w:lang w:eastAsia="en-GB"/>
        </w:rPr>
        <w:tab/>
        <w:t>GAPS IDENTIFIED IN THE COUNTRY CASE STUDIES</w:t>
      </w:r>
    </w:p>
    <w:p w:rsidR="001C55F3" w:rsidRDefault="001C55F3" w:rsidP="003A6524">
      <w:pPr>
        <w:spacing w:line="240" w:lineRule="auto"/>
        <w:rPr>
          <w:b/>
          <w:sz w:val="24"/>
          <w:szCs w:val="24"/>
          <w:lang w:eastAsia="en-GB"/>
        </w:rPr>
      </w:pPr>
    </w:p>
    <w:p w:rsidR="001C55F3" w:rsidRPr="003716EF" w:rsidRDefault="001C55F3" w:rsidP="001C55F3">
      <w:pPr>
        <w:pStyle w:val="Titre2"/>
        <w:rPr>
          <w:lang w:eastAsia="en-GB"/>
        </w:rPr>
      </w:pPr>
      <w:r>
        <w:rPr>
          <w:lang w:eastAsia="en-GB"/>
        </w:rPr>
        <w:t>3</w:t>
      </w:r>
      <w:r w:rsidRPr="003716EF">
        <w:rPr>
          <w:lang w:eastAsia="en-GB"/>
        </w:rPr>
        <w:t xml:space="preserve">.1 </w:t>
      </w:r>
      <w:r>
        <w:rPr>
          <w:lang w:eastAsia="en-GB"/>
        </w:rPr>
        <w:tab/>
      </w:r>
      <w:r w:rsidRPr="003716EF">
        <w:rPr>
          <w:lang w:eastAsia="en-GB"/>
        </w:rPr>
        <w:t>Summary across the Fact Sheet categories</w:t>
      </w:r>
    </w:p>
    <w:p w:rsidR="001C55F3" w:rsidRDefault="001C55F3" w:rsidP="001C55F3">
      <w:pPr>
        <w:spacing w:after="0" w:line="240" w:lineRule="auto"/>
        <w:rPr>
          <w:b/>
          <w:i/>
          <w:lang w:eastAsia="en-GB"/>
        </w:rPr>
      </w:pPr>
    </w:p>
    <w:p w:rsidR="001C55F3" w:rsidRPr="003716EF" w:rsidRDefault="001C55F3" w:rsidP="001C55F3">
      <w:pPr>
        <w:spacing w:after="0" w:line="240" w:lineRule="auto"/>
        <w:rPr>
          <w:b/>
          <w:i/>
          <w:lang w:eastAsia="en-GB"/>
        </w:rPr>
      </w:pPr>
      <w:r w:rsidRPr="003716EF">
        <w:rPr>
          <w:b/>
          <w:i/>
          <w:lang w:eastAsia="en-GB"/>
        </w:rPr>
        <w:t>Group 1 items: Policy and Process</w:t>
      </w:r>
    </w:p>
    <w:p w:rsidR="001C55F3" w:rsidRPr="003716EF" w:rsidRDefault="001C55F3" w:rsidP="003A6524">
      <w:pPr>
        <w:spacing w:line="240" w:lineRule="auto"/>
        <w:rPr>
          <w:lang w:eastAsia="en-GB"/>
        </w:rPr>
      </w:pPr>
      <w:r w:rsidRPr="003716EF">
        <w:rPr>
          <w:lang w:eastAsia="en-GB"/>
        </w:rPr>
        <w:t xml:space="preserve">The selection of Country Cases represent different stages in the development of Maps and Assessments of Ecosystem and their Services across Europe.Overall, the actual involvement of the National Governments in the UK and Spanish cases was considerable, although only a small section of the National Government was involved (DEFRA and the Ministry  of Food agriculture and Environment. The regional cases in Belgium and Austria, and the Balkan cases had little or no involvement of National governments and were not directly synchronised with the EU Biodiversity Strategy. In Flanders the process has started to report on Action 5 as part of the bi-annual report of INBO to the Flemish Government. Switzerland has a national Biodiversity Strategy </w:t>
      </w:r>
      <w:r w:rsidRPr="003716EF">
        <w:rPr>
          <w:rFonts w:ascii="Calibri" w:hAnsi="Calibri" w:cs="Calibri"/>
          <w:color w:val="000000"/>
          <w:sz w:val="20"/>
          <w:szCs w:val="20"/>
        </w:rPr>
        <w:t xml:space="preserve">being detailed until 2014 (parallel to MAES). It has not yet been decided which of the presented methods will be used. </w:t>
      </w:r>
      <w:r w:rsidRPr="003716EF">
        <w:t xml:space="preserve">Swiss: are doing studies for local and regional governments on a high scientific level but not purely for academic purpose. </w:t>
      </w:r>
    </w:p>
    <w:p w:rsidR="001C55F3" w:rsidRPr="003716EF" w:rsidRDefault="001C55F3" w:rsidP="001C55F3">
      <w:pPr>
        <w:spacing w:after="0" w:line="240" w:lineRule="auto"/>
        <w:rPr>
          <w:b/>
          <w:i/>
          <w:lang w:eastAsia="en-GB"/>
        </w:rPr>
      </w:pPr>
      <w:r w:rsidRPr="003716EF">
        <w:rPr>
          <w:b/>
          <w:i/>
          <w:lang w:eastAsia="en-GB"/>
        </w:rPr>
        <w:t>Group 2 items: Science and Methodology</w:t>
      </w:r>
    </w:p>
    <w:p w:rsidR="001C55F3" w:rsidRPr="003716EF" w:rsidRDefault="001C55F3" w:rsidP="003A6524">
      <w:pPr>
        <w:spacing w:line="240" w:lineRule="auto"/>
        <w:rPr>
          <w:lang w:eastAsia="en-GB"/>
        </w:rPr>
      </w:pPr>
      <w:r w:rsidRPr="003716EF">
        <w:rPr>
          <w:lang w:eastAsia="en-GB"/>
        </w:rPr>
        <w:t>Overall the methodologies in the cases studies reflect the different stages of development. Choices of classifications of ecosystems and ecosystem services are far from standardised or even harmonised. Beyond the surface, much of the work appears to be in such a format that harmonisation is certainly feasible. The choices of indicators, one of the hardest challenges in the process deserves great attention. SEBI2010 was not mentioned, and a European guideline on preferred indicators per ecosystem – service combination (the cells in the RUBICODE matrix) is absolutely a gap in the Action 5 process. The choices in the case studies show that local/regional circumstances and accidental knowledge often determine the choices.</w:t>
      </w:r>
    </w:p>
    <w:p w:rsidR="001C55F3" w:rsidRPr="003716EF" w:rsidRDefault="001C55F3" w:rsidP="001C55F3">
      <w:pPr>
        <w:spacing w:after="0" w:line="240" w:lineRule="auto"/>
        <w:rPr>
          <w:b/>
          <w:i/>
          <w:lang w:eastAsia="en-GB"/>
        </w:rPr>
      </w:pPr>
      <w:r w:rsidRPr="003716EF">
        <w:rPr>
          <w:b/>
          <w:i/>
          <w:lang w:eastAsia="en-GB"/>
        </w:rPr>
        <w:t>Group 3 items: Techniques and Data</w:t>
      </w:r>
    </w:p>
    <w:p w:rsidR="001C55F3" w:rsidRDefault="001C55F3" w:rsidP="003A6524">
      <w:pPr>
        <w:spacing w:line="240" w:lineRule="auto"/>
        <w:rPr>
          <w:lang w:eastAsia="en-GB"/>
        </w:rPr>
      </w:pPr>
      <w:r w:rsidRPr="003716EF">
        <w:rPr>
          <w:lang w:eastAsia="en-GB"/>
        </w:rPr>
        <w:t>The accessibility to data sources is not always considered ideal but researchers are creative and combine data  sets and scale up or down to quantify and model. Many different datasets show up in the case studies, ranging from EU level (Corine) to local adaptations of literature and statistics data.  There seems to be no problem in the technology area of the mapping efforts, all cases use similar GIS approaches.Resolution of the maps is again (like indicators) a matter of creative manipulation of available data and choice of “presentation” format. There are no guidelines for logical resolutions to map particular ecosystems and services. A search of the professional literature on this aspect might be useful.</w:t>
      </w:r>
    </w:p>
    <w:p w:rsidR="001C55F3" w:rsidRPr="00453988" w:rsidRDefault="001C55F3" w:rsidP="00622218">
      <w:pPr>
        <w:pStyle w:val="Paragraphedeliste"/>
        <w:numPr>
          <w:ilvl w:val="1"/>
          <w:numId w:val="115"/>
        </w:numPr>
        <w:rPr>
          <w:b/>
          <w:color w:val="4F81BD" w:themeColor="accent1"/>
          <w:sz w:val="28"/>
          <w:szCs w:val="28"/>
        </w:rPr>
      </w:pPr>
      <w:r>
        <w:rPr>
          <w:b/>
          <w:color w:val="4F81BD" w:themeColor="accent1"/>
          <w:sz w:val="28"/>
          <w:szCs w:val="28"/>
        </w:rPr>
        <w:tab/>
      </w:r>
      <w:r w:rsidRPr="00453988">
        <w:rPr>
          <w:b/>
          <w:color w:val="4F81BD" w:themeColor="accent1"/>
          <w:sz w:val="28"/>
          <w:szCs w:val="28"/>
        </w:rPr>
        <w:t>Conclusions</w:t>
      </w:r>
    </w:p>
    <w:p w:rsidR="001C55F3" w:rsidRPr="005F2CEB" w:rsidRDefault="001C55F3" w:rsidP="005F2CEB">
      <w:pPr>
        <w:spacing w:line="240" w:lineRule="auto"/>
      </w:pPr>
      <w:r w:rsidRPr="005F2CEB">
        <w:t xml:space="preserve">It is necessary but not easy to set priorities in dealing with the gaps and selecting between the recommendations. Obviously different groups of “professionals” need to deal with different types of gaps / recommendations. </w:t>
      </w:r>
    </w:p>
    <w:p w:rsidR="001C55F3" w:rsidRDefault="001C55F3" w:rsidP="001C55F3">
      <w:pPr>
        <w:spacing w:line="240" w:lineRule="auto"/>
        <w:rPr>
          <w:b/>
        </w:rPr>
      </w:pPr>
      <w:r w:rsidRPr="005F2CEB">
        <w:t>Much of the work currently undertaken under the umbrella of the Working Group Maes is in fact addressing these issues. Especially the policy and process aspects are recurring agenda items in the WG MAES. The MAES thematic pilots are now concentrating on data issues, of which the table in 6.2 illustrates many. The methodological issues are the domain of scientists, and both the current contract and the EEA and JRC spend energy on developing a harmonised methodology for mapping across Europe.</w:t>
      </w:r>
      <w:r>
        <w:rPr>
          <w:b/>
        </w:rPr>
        <w:t xml:space="preserve"> In the next chapter we outline a structured approach to such a methodology, in which we shall address all of the gaps and recommendations that seem relevant in the process.</w:t>
      </w:r>
    </w:p>
    <w:p w:rsidR="001C55F3" w:rsidRPr="00C47D28" w:rsidRDefault="001C55F3" w:rsidP="001C55F3">
      <w:pPr>
        <w:pStyle w:val="Titre1"/>
        <w:rPr>
          <w:sz w:val="36"/>
          <w:szCs w:val="36"/>
        </w:rPr>
      </w:pPr>
      <w:r w:rsidRPr="00C47D28">
        <w:rPr>
          <w:sz w:val="36"/>
          <w:szCs w:val="36"/>
        </w:rPr>
        <w:lastRenderedPageBreak/>
        <w:t>4.</w:t>
      </w:r>
      <w:r w:rsidRPr="00C47D28">
        <w:rPr>
          <w:sz w:val="36"/>
          <w:szCs w:val="36"/>
        </w:rPr>
        <w:tab/>
        <w:t>GAPS AND RECOMMENDATIONSBASED ON TASK 2</w:t>
      </w:r>
    </w:p>
    <w:p w:rsidR="001C55F3" w:rsidRPr="00D71804" w:rsidRDefault="001C55F3" w:rsidP="001C55F3">
      <w:pPr>
        <w:spacing w:line="240" w:lineRule="auto"/>
      </w:pPr>
    </w:p>
    <w:p w:rsidR="001C55F3" w:rsidRPr="00D71804" w:rsidRDefault="001C55F3" w:rsidP="001C55F3">
      <w:pPr>
        <w:pStyle w:val="Titre2"/>
      </w:pPr>
      <w:r>
        <w:t>4.1</w:t>
      </w:r>
      <w:r>
        <w:tab/>
      </w:r>
      <w:r w:rsidRPr="00D71804">
        <w:t>Countries in the case studies</w:t>
      </w:r>
    </w:p>
    <w:p w:rsidR="001C55F3" w:rsidRPr="00D71804" w:rsidRDefault="001C55F3" w:rsidP="001C55F3">
      <w:pPr>
        <w:pStyle w:val="Paragraphedeliste"/>
        <w:spacing w:line="240" w:lineRule="auto"/>
      </w:pPr>
    </w:p>
    <w:p w:rsidR="001C55F3" w:rsidRPr="00011F78" w:rsidRDefault="001C55F3" w:rsidP="001C55F3">
      <w:pPr>
        <w:pStyle w:val="Paragraphedeliste"/>
        <w:spacing w:line="240" w:lineRule="auto"/>
        <w:ind w:left="0"/>
        <w:rPr>
          <w:b/>
          <w:szCs w:val="20"/>
        </w:rPr>
      </w:pPr>
      <w:r w:rsidRPr="00011F78">
        <w:rPr>
          <w:b/>
          <w:szCs w:val="20"/>
        </w:rPr>
        <w:t>The Netherlands</w:t>
      </w:r>
    </w:p>
    <w:p w:rsidR="001C55F3" w:rsidRPr="002B505C" w:rsidRDefault="001C55F3" w:rsidP="00622218">
      <w:pPr>
        <w:pStyle w:val="Paragraphedeliste"/>
        <w:numPr>
          <w:ilvl w:val="0"/>
          <w:numId w:val="50"/>
        </w:numPr>
        <w:shd w:val="clear" w:color="auto" w:fill="FFFFFF" w:themeFill="background1"/>
        <w:spacing w:after="0" w:line="240" w:lineRule="auto"/>
        <w:rPr>
          <w:szCs w:val="20"/>
        </w:rPr>
      </w:pPr>
      <w:r w:rsidRPr="002B505C">
        <w:rPr>
          <w:szCs w:val="20"/>
        </w:rPr>
        <w:t xml:space="preserve">The </w:t>
      </w:r>
      <w:r w:rsidRPr="002B505C">
        <w:rPr>
          <w:b/>
          <w:szCs w:val="20"/>
        </w:rPr>
        <w:t xml:space="preserve">overlap between indicator species used for national assessments </w:t>
      </w:r>
      <w:r>
        <w:rPr>
          <w:b/>
          <w:szCs w:val="20"/>
        </w:rPr>
        <w:t xml:space="preserve">of the state of ecosystems </w:t>
      </w:r>
      <w:r w:rsidRPr="002B505C">
        <w:rPr>
          <w:b/>
          <w:szCs w:val="20"/>
        </w:rPr>
        <w:t xml:space="preserve">and EU reporting is low ( </w:t>
      </w:r>
      <w:r>
        <w:rPr>
          <w:szCs w:val="20"/>
        </w:rPr>
        <w:t>as</w:t>
      </w:r>
      <w:r w:rsidRPr="002B505C">
        <w:rPr>
          <w:szCs w:val="20"/>
        </w:rPr>
        <w:t xml:space="preserve"> a low number of </w:t>
      </w:r>
      <w:r>
        <w:rPr>
          <w:szCs w:val="20"/>
        </w:rPr>
        <w:t xml:space="preserve">Dutch </w:t>
      </w:r>
      <w:r w:rsidRPr="002B505C">
        <w:rPr>
          <w:szCs w:val="20"/>
        </w:rPr>
        <w:t xml:space="preserve">butterflies and plants </w:t>
      </w:r>
      <w:r>
        <w:rPr>
          <w:szCs w:val="20"/>
        </w:rPr>
        <w:t xml:space="preserve">are </w:t>
      </w:r>
      <w:r w:rsidRPr="002B505C">
        <w:rPr>
          <w:szCs w:val="20"/>
        </w:rPr>
        <w:t xml:space="preserve">listed on Habitats </w:t>
      </w:r>
      <w:r>
        <w:rPr>
          <w:szCs w:val="20"/>
        </w:rPr>
        <w:t>D</w:t>
      </w:r>
      <w:r w:rsidRPr="002B505C">
        <w:rPr>
          <w:szCs w:val="20"/>
        </w:rPr>
        <w:t>irective</w:t>
      </w:r>
      <w:r>
        <w:rPr>
          <w:szCs w:val="20"/>
        </w:rPr>
        <w:t xml:space="preserve"> and</w:t>
      </w:r>
      <w:r w:rsidRPr="002B505C">
        <w:rPr>
          <w:szCs w:val="20"/>
        </w:rPr>
        <w:t xml:space="preserve"> use of different species groups in the national monitoring network (NEM), </w:t>
      </w:r>
      <w:r>
        <w:rPr>
          <w:szCs w:val="20"/>
        </w:rPr>
        <w:t>monitored for the WFD and MSFD)</w:t>
      </w:r>
    </w:p>
    <w:p w:rsidR="001C55F3" w:rsidRPr="001808E4" w:rsidRDefault="001C55F3" w:rsidP="001C55F3">
      <w:pPr>
        <w:pStyle w:val="Paragraphedeliste"/>
        <w:shd w:val="clear" w:color="auto" w:fill="FFFFFF" w:themeFill="background1"/>
        <w:spacing w:after="0" w:line="240" w:lineRule="auto"/>
        <w:ind w:left="1440"/>
        <w:rPr>
          <w:szCs w:val="20"/>
        </w:rPr>
      </w:pPr>
    </w:p>
    <w:p w:rsidR="001C55F3" w:rsidRPr="00011F78" w:rsidRDefault="001C55F3" w:rsidP="001C55F3">
      <w:pPr>
        <w:spacing w:after="0" w:line="240" w:lineRule="auto"/>
        <w:rPr>
          <w:b/>
        </w:rPr>
      </w:pPr>
      <w:r w:rsidRPr="00011F78">
        <w:rPr>
          <w:b/>
        </w:rPr>
        <w:t>Flanders</w:t>
      </w:r>
    </w:p>
    <w:p w:rsidR="001C55F3" w:rsidRDefault="001C55F3" w:rsidP="00622218">
      <w:pPr>
        <w:pStyle w:val="Paragraphedeliste"/>
        <w:numPr>
          <w:ilvl w:val="0"/>
          <w:numId w:val="45"/>
        </w:numPr>
        <w:spacing w:line="240" w:lineRule="auto"/>
        <w:rPr>
          <w:szCs w:val="20"/>
        </w:rPr>
      </w:pPr>
      <w:r>
        <w:rPr>
          <w:szCs w:val="20"/>
        </w:rPr>
        <w:t>In Flanders, f</w:t>
      </w:r>
      <w:r w:rsidRPr="008C476A">
        <w:rPr>
          <w:szCs w:val="20"/>
        </w:rPr>
        <w:t xml:space="preserve">or the Habitats Directive, </w:t>
      </w:r>
      <w:r w:rsidRPr="003B748E">
        <w:rPr>
          <w:b/>
          <w:szCs w:val="20"/>
        </w:rPr>
        <w:t xml:space="preserve">reporting is </w:t>
      </w:r>
      <w:r>
        <w:rPr>
          <w:b/>
          <w:szCs w:val="20"/>
        </w:rPr>
        <w:t xml:space="preserve">under development. It is </w:t>
      </w:r>
      <w:r w:rsidRPr="003B748E">
        <w:rPr>
          <w:b/>
          <w:szCs w:val="20"/>
        </w:rPr>
        <w:t>mainly based on</w:t>
      </w:r>
      <w:r w:rsidRPr="008C476A">
        <w:rPr>
          <w:szCs w:val="20"/>
        </w:rPr>
        <w:t xml:space="preserve"> Biological Valu</w:t>
      </w:r>
      <w:r>
        <w:rPr>
          <w:szCs w:val="20"/>
        </w:rPr>
        <w:t>a</w:t>
      </w:r>
      <w:r w:rsidRPr="008C476A">
        <w:rPr>
          <w:szCs w:val="20"/>
        </w:rPr>
        <w:t xml:space="preserve">tion map for habitats </w:t>
      </w:r>
      <w:r>
        <w:rPr>
          <w:szCs w:val="20"/>
        </w:rPr>
        <w:t>for a</w:t>
      </w:r>
      <w:r w:rsidRPr="003B748E">
        <w:rPr>
          <w:b/>
          <w:szCs w:val="20"/>
        </w:rPr>
        <w:t xml:space="preserve"> limited number of species</w:t>
      </w:r>
      <w:r>
        <w:rPr>
          <w:b/>
          <w:szCs w:val="20"/>
        </w:rPr>
        <w:t xml:space="preserve"> and speciesgroupsmonitoring occurs</w:t>
      </w:r>
      <w:r w:rsidRPr="008C476A">
        <w:rPr>
          <w:szCs w:val="20"/>
        </w:rPr>
        <w:t xml:space="preserve"> in a structured way. </w:t>
      </w:r>
    </w:p>
    <w:p w:rsidR="001C55F3" w:rsidRDefault="001C55F3" w:rsidP="00622218">
      <w:pPr>
        <w:pStyle w:val="Paragraphedeliste"/>
        <w:numPr>
          <w:ilvl w:val="0"/>
          <w:numId w:val="45"/>
        </w:numPr>
        <w:spacing w:line="240" w:lineRule="auto"/>
        <w:rPr>
          <w:szCs w:val="20"/>
        </w:rPr>
      </w:pPr>
      <w:r>
        <w:rPr>
          <w:b/>
          <w:szCs w:val="20"/>
        </w:rPr>
        <w:t>A</w:t>
      </w:r>
      <w:r w:rsidRPr="003B748E">
        <w:rPr>
          <w:b/>
          <w:szCs w:val="20"/>
        </w:rPr>
        <w:t>lmost none of the indicators</w:t>
      </w:r>
      <w:r w:rsidRPr="003B748E">
        <w:rPr>
          <w:szCs w:val="20"/>
        </w:rPr>
        <w:t xml:space="preserve"> in the DPSIR chain </w:t>
      </w:r>
      <w:r w:rsidRPr="003B748E">
        <w:rPr>
          <w:b/>
          <w:szCs w:val="20"/>
        </w:rPr>
        <w:t>can be directly linked</w:t>
      </w:r>
      <w:r w:rsidRPr="003B748E">
        <w:rPr>
          <w:szCs w:val="20"/>
        </w:rPr>
        <w:t xml:space="preserve"> in a dose-response relationship. </w:t>
      </w:r>
    </w:p>
    <w:p w:rsidR="001C55F3" w:rsidRPr="001557EA" w:rsidRDefault="001C55F3" w:rsidP="00622218">
      <w:pPr>
        <w:pStyle w:val="Paragraphedeliste"/>
        <w:numPr>
          <w:ilvl w:val="0"/>
          <w:numId w:val="45"/>
        </w:numPr>
        <w:spacing w:line="240" w:lineRule="auto"/>
        <w:rPr>
          <w:szCs w:val="20"/>
        </w:rPr>
      </w:pPr>
      <w:r w:rsidRPr="001557EA">
        <w:rPr>
          <w:szCs w:val="20"/>
        </w:rPr>
        <w:t xml:space="preserve">One of the main bottlenecks is that the species and habitats reported on for the Directives are not fully representative for the biodiversity in the Flemish region. </w:t>
      </w:r>
      <w:r w:rsidRPr="001557EA">
        <w:rPr>
          <w:b/>
          <w:szCs w:val="20"/>
        </w:rPr>
        <w:t>Not all policy relevant semi-natural habitats are included</w:t>
      </w:r>
      <w:r w:rsidRPr="001557EA">
        <w:rPr>
          <w:szCs w:val="20"/>
        </w:rPr>
        <w:t xml:space="preserve"> in the EU HBD, and </w:t>
      </w:r>
      <w:r>
        <w:rPr>
          <w:szCs w:val="20"/>
        </w:rPr>
        <w:t>t</w:t>
      </w:r>
      <w:r w:rsidRPr="001557EA">
        <w:rPr>
          <w:szCs w:val="20"/>
        </w:rPr>
        <w:t xml:space="preserve">here is a bias for some species groups. </w:t>
      </w:r>
    </w:p>
    <w:p w:rsidR="001C55F3" w:rsidRPr="00011F78" w:rsidRDefault="001C55F3" w:rsidP="001C55F3">
      <w:pPr>
        <w:spacing w:after="0" w:line="240" w:lineRule="auto"/>
        <w:rPr>
          <w:b/>
          <w:szCs w:val="20"/>
        </w:rPr>
      </w:pPr>
      <w:r w:rsidRPr="00011F78">
        <w:rPr>
          <w:b/>
          <w:szCs w:val="20"/>
        </w:rPr>
        <w:t>Spain</w:t>
      </w:r>
    </w:p>
    <w:p w:rsidR="001C55F3" w:rsidRPr="002B505C" w:rsidRDefault="001C55F3" w:rsidP="00622218">
      <w:pPr>
        <w:pStyle w:val="Paragraphedeliste"/>
        <w:numPr>
          <w:ilvl w:val="0"/>
          <w:numId w:val="52"/>
        </w:numPr>
        <w:spacing w:line="240" w:lineRule="auto"/>
        <w:rPr>
          <w:szCs w:val="20"/>
          <w:lang w:val="en-US"/>
        </w:rPr>
      </w:pPr>
      <w:r w:rsidRPr="002B505C">
        <w:rPr>
          <w:szCs w:val="20"/>
        </w:rPr>
        <w:t>S</w:t>
      </w:r>
      <w:r w:rsidRPr="002B505C">
        <w:rPr>
          <w:szCs w:val="20"/>
          <w:lang w:val="en-US"/>
        </w:rPr>
        <w:t xml:space="preserve">ystematic national assessments of the threatened species have been carried out for </w:t>
      </w:r>
      <w:r w:rsidRPr="002B505C">
        <w:rPr>
          <w:b/>
          <w:szCs w:val="20"/>
          <w:lang w:val="en-US"/>
        </w:rPr>
        <w:t>only a few</w:t>
      </w:r>
      <w:r w:rsidRPr="002B505C">
        <w:rPr>
          <w:szCs w:val="20"/>
          <w:lang w:val="en-US"/>
        </w:rPr>
        <w:t xml:space="preserve"> taxonomic groups in recent years, such as vertebrates and plants. </w:t>
      </w:r>
    </w:p>
    <w:p w:rsidR="001C55F3" w:rsidRPr="002B505C" w:rsidRDefault="001C55F3" w:rsidP="00622218">
      <w:pPr>
        <w:pStyle w:val="Paragraphedeliste"/>
        <w:numPr>
          <w:ilvl w:val="0"/>
          <w:numId w:val="52"/>
        </w:numPr>
        <w:spacing w:line="240" w:lineRule="auto"/>
        <w:rPr>
          <w:szCs w:val="20"/>
          <w:lang w:val="en-US"/>
        </w:rPr>
      </w:pPr>
      <w:r w:rsidRPr="002B505C">
        <w:rPr>
          <w:szCs w:val="20"/>
          <w:lang w:val="en-US"/>
        </w:rPr>
        <w:t xml:space="preserve">Biodiversity information available in the Spanish Inventory of Natural Heritage and Biodiversity </w:t>
      </w:r>
      <w:r w:rsidRPr="002B505C">
        <w:rPr>
          <w:b/>
          <w:szCs w:val="20"/>
          <w:lang w:val="en-US"/>
        </w:rPr>
        <w:t>cannot provide</w:t>
      </w:r>
      <w:r w:rsidRPr="002B505C">
        <w:rPr>
          <w:szCs w:val="20"/>
          <w:lang w:val="en-US"/>
        </w:rPr>
        <w:t xml:space="preserve"> information about trends, causes and impacts</w:t>
      </w:r>
      <w:r>
        <w:rPr>
          <w:szCs w:val="20"/>
          <w:lang w:val="en-US"/>
        </w:rPr>
        <w:t xml:space="preserve"> for the majority of species groups</w:t>
      </w:r>
    </w:p>
    <w:p w:rsidR="001C55F3" w:rsidRPr="002B505C" w:rsidRDefault="001C55F3" w:rsidP="00622218">
      <w:pPr>
        <w:pStyle w:val="Paragraphedeliste"/>
        <w:numPr>
          <w:ilvl w:val="0"/>
          <w:numId w:val="52"/>
        </w:numPr>
        <w:spacing w:line="240" w:lineRule="auto"/>
        <w:rPr>
          <w:szCs w:val="20"/>
          <w:lang w:val="en-US"/>
        </w:rPr>
      </w:pPr>
      <w:r w:rsidRPr="002B505C">
        <w:rPr>
          <w:szCs w:val="20"/>
          <w:lang w:val="en-US"/>
        </w:rPr>
        <w:t xml:space="preserve">The </w:t>
      </w:r>
      <w:r w:rsidRPr="002B505C">
        <w:rPr>
          <w:b/>
          <w:szCs w:val="20"/>
          <w:lang w:val="en-US"/>
        </w:rPr>
        <w:t>taxonomic bias</w:t>
      </w:r>
      <w:r w:rsidRPr="002B505C">
        <w:rPr>
          <w:szCs w:val="20"/>
          <w:lang w:val="en-US"/>
        </w:rPr>
        <w:t xml:space="preserve"> in official national information (</w:t>
      </w:r>
      <w:r w:rsidRPr="002B505C">
        <w:rPr>
          <w:b/>
          <w:szCs w:val="20"/>
          <w:lang w:val="en-US"/>
        </w:rPr>
        <w:t>prevents the NEA</w:t>
      </w:r>
      <w:r w:rsidRPr="002B505C">
        <w:rPr>
          <w:szCs w:val="20"/>
          <w:lang w:val="en-US"/>
        </w:rPr>
        <w:t xml:space="preserve"> from making an assessment of the specific role of the different components of biodiversity in relation to the delivery of ecosystem services). </w:t>
      </w:r>
    </w:p>
    <w:p w:rsidR="001C55F3" w:rsidRPr="002B505C" w:rsidRDefault="001C55F3" w:rsidP="00622218">
      <w:pPr>
        <w:pStyle w:val="Paragraphedeliste"/>
        <w:numPr>
          <w:ilvl w:val="0"/>
          <w:numId w:val="52"/>
        </w:numPr>
        <w:spacing w:line="240" w:lineRule="auto"/>
        <w:rPr>
          <w:szCs w:val="20"/>
          <w:lang w:val="en-US"/>
        </w:rPr>
      </w:pPr>
      <w:r w:rsidRPr="002B505C">
        <w:rPr>
          <w:szCs w:val="20"/>
          <w:lang w:val="en-US"/>
        </w:rPr>
        <w:t>Not enough research on the less well known taxonomic groups and the functional role of biodiversity</w:t>
      </w:r>
    </w:p>
    <w:p w:rsidR="001C55F3" w:rsidRPr="002B505C" w:rsidRDefault="001C55F3" w:rsidP="00622218">
      <w:pPr>
        <w:pStyle w:val="Paragraphedeliste"/>
        <w:numPr>
          <w:ilvl w:val="0"/>
          <w:numId w:val="52"/>
        </w:numPr>
        <w:spacing w:line="240" w:lineRule="auto"/>
        <w:rPr>
          <w:szCs w:val="20"/>
          <w:lang w:val="en-US"/>
        </w:rPr>
      </w:pPr>
      <w:r>
        <w:rPr>
          <w:szCs w:val="20"/>
          <w:lang w:val="en-US"/>
        </w:rPr>
        <w:t>N</w:t>
      </w:r>
      <w:r w:rsidRPr="002B505C">
        <w:rPr>
          <w:szCs w:val="20"/>
          <w:lang w:val="en-US"/>
        </w:rPr>
        <w:t>eed to improve the Spanish monitoring system in order to incorporate the components of biodiversity with high capability to supply ecosystem services.</w:t>
      </w:r>
    </w:p>
    <w:p w:rsidR="001C55F3" w:rsidRPr="00011F78" w:rsidRDefault="001C55F3" w:rsidP="001C55F3">
      <w:pPr>
        <w:spacing w:after="0" w:line="240" w:lineRule="auto"/>
        <w:rPr>
          <w:b/>
          <w:szCs w:val="20"/>
          <w:lang w:val="en-US"/>
        </w:rPr>
      </w:pPr>
      <w:r w:rsidRPr="00011F78">
        <w:rPr>
          <w:b/>
          <w:szCs w:val="20"/>
          <w:lang w:val="en-US"/>
        </w:rPr>
        <w:t>Austria</w:t>
      </w:r>
    </w:p>
    <w:p w:rsidR="001C55F3" w:rsidRPr="00753951" w:rsidRDefault="001C55F3" w:rsidP="00622218">
      <w:pPr>
        <w:pStyle w:val="Paragraphedeliste"/>
        <w:numPr>
          <w:ilvl w:val="0"/>
          <w:numId w:val="51"/>
        </w:numPr>
        <w:spacing w:line="240" w:lineRule="auto"/>
        <w:rPr>
          <w:szCs w:val="20"/>
        </w:rPr>
      </w:pPr>
      <w:r w:rsidRPr="00753951">
        <w:rPr>
          <w:b/>
          <w:szCs w:val="20"/>
        </w:rPr>
        <w:t>No regular national assessments or monitoring schemesbesides the required EU reporting obligations are  operational</w:t>
      </w:r>
    </w:p>
    <w:p w:rsidR="001C55F3" w:rsidRPr="00753951" w:rsidRDefault="001C55F3" w:rsidP="00622218">
      <w:pPr>
        <w:pStyle w:val="Paragraphedeliste"/>
        <w:numPr>
          <w:ilvl w:val="0"/>
          <w:numId w:val="51"/>
        </w:numPr>
        <w:spacing w:line="240" w:lineRule="auto"/>
        <w:rPr>
          <w:szCs w:val="20"/>
        </w:rPr>
      </w:pPr>
      <w:r w:rsidRPr="00753951">
        <w:rPr>
          <w:szCs w:val="20"/>
        </w:rPr>
        <w:t xml:space="preserve">The </w:t>
      </w:r>
      <w:r w:rsidRPr="00D60B40">
        <w:rPr>
          <w:b/>
          <w:szCs w:val="20"/>
        </w:rPr>
        <w:t>review of the red list</w:t>
      </w:r>
      <w:r w:rsidRPr="00753951">
        <w:rPr>
          <w:szCs w:val="20"/>
        </w:rPr>
        <w:t xml:space="preserve"> does provide some additional insights but they are </w:t>
      </w:r>
      <w:r w:rsidRPr="00D60B40">
        <w:rPr>
          <w:b/>
          <w:szCs w:val="20"/>
        </w:rPr>
        <w:t>only infrequently updated</w:t>
      </w:r>
      <w:r w:rsidRPr="00753951">
        <w:rPr>
          <w:szCs w:val="20"/>
        </w:rPr>
        <w:t xml:space="preserve">. </w:t>
      </w:r>
    </w:p>
    <w:p w:rsidR="001C55F3" w:rsidRPr="001557EA" w:rsidRDefault="001C55F3" w:rsidP="00622218">
      <w:pPr>
        <w:pStyle w:val="Paragraphedeliste"/>
        <w:numPr>
          <w:ilvl w:val="0"/>
          <w:numId w:val="51"/>
        </w:numPr>
        <w:spacing w:line="240" w:lineRule="auto"/>
        <w:rPr>
          <w:szCs w:val="20"/>
        </w:rPr>
      </w:pPr>
      <w:r w:rsidRPr="001557EA">
        <w:rPr>
          <w:szCs w:val="20"/>
        </w:rPr>
        <w:t xml:space="preserve">The </w:t>
      </w:r>
      <w:r w:rsidRPr="001557EA">
        <w:rPr>
          <w:b/>
          <w:szCs w:val="20"/>
        </w:rPr>
        <w:t>main bottlenecks</w:t>
      </w:r>
      <w:r w:rsidRPr="001557EA">
        <w:rPr>
          <w:szCs w:val="20"/>
        </w:rPr>
        <w:t xml:space="preserve"> for developing an elaborate system of national assessments in Austria </w:t>
      </w:r>
      <w:r w:rsidRPr="001557EA">
        <w:rPr>
          <w:b/>
          <w:szCs w:val="20"/>
        </w:rPr>
        <w:t>are partly financial and partly organisational</w:t>
      </w:r>
      <w:r w:rsidRPr="001557EA">
        <w:rPr>
          <w:szCs w:val="20"/>
        </w:rPr>
        <w:t xml:space="preserve">. </w:t>
      </w:r>
      <w:r>
        <w:rPr>
          <w:szCs w:val="20"/>
        </w:rPr>
        <w:t>e.g</w:t>
      </w:r>
      <w:r w:rsidRPr="001557EA">
        <w:rPr>
          <w:szCs w:val="20"/>
        </w:rPr>
        <w:t xml:space="preserve"> the </w:t>
      </w:r>
      <w:r w:rsidRPr="001557EA">
        <w:rPr>
          <w:b/>
          <w:szCs w:val="20"/>
        </w:rPr>
        <w:t xml:space="preserve">responsibility for nature conservation and policy is allocated at the </w:t>
      </w:r>
      <w:r>
        <w:rPr>
          <w:b/>
          <w:szCs w:val="20"/>
        </w:rPr>
        <w:t xml:space="preserve">level of the Bundesländer (regional level) </w:t>
      </w:r>
    </w:p>
    <w:p w:rsidR="001C55F3" w:rsidRPr="00215901" w:rsidRDefault="001C55F3" w:rsidP="001C55F3">
      <w:pPr>
        <w:pStyle w:val="Paragraphedeliste"/>
        <w:spacing w:line="240" w:lineRule="auto"/>
        <w:rPr>
          <w:szCs w:val="20"/>
        </w:rPr>
      </w:pPr>
    </w:p>
    <w:p w:rsidR="001C55F3" w:rsidRDefault="001C55F3" w:rsidP="001C55F3">
      <w:pPr>
        <w:pStyle w:val="Titre2"/>
      </w:pPr>
      <w:r>
        <w:t>4.2</w:t>
      </w:r>
      <w:r>
        <w:tab/>
      </w:r>
      <w:r w:rsidRPr="00D71804">
        <w:t>General</w:t>
      </w:r>
    </w:p>
    <w:p w:rsidR="001C55F3" w:rsidRPr="00F86BCD" w:rsidRDefault="001C55F3" w:rsidP="001C55F3"/>
    <w:p w:rsidR="001C55F3" w:rsidRPr="00D71804" w:rsidRDefault="001C55F3" w:rsidP="00622218">
      <w:pPr>
        <w:pStyle w:val="Paragraphedeliste"/>
        <w:numPr>
          <w:ilvl w:val="0"/>
          <w:numId w:val="47"/>
        </w:numPr>
        <w:spacing w:line="240" w:lineRule="auto"/>
      </w:pPr>
      <w:r w:rsidRPr="00D71804">
        <w:lastRenderedPageBreak/>
        <w:t xml:space="preserve">In the framework of the obligatory monitoring of habitats under the Habitats Directive </w:t>
      </w:r>
      <w:r w:rsidRPr="00D71804">
        <w:rPr>
          <w:b/>
        </w:rPr>
        <w:t>only Flanders has a running program which provides information on the occurrence of habitats in the entire region</w:t>
      </w:r>
      <w:r w:rsidRPr="00D71804">
        <w:t xml:space="preserve">. However </w:t>
      </w:r>
      <w:r w:rsidRPr="00D71804">
        <w:rPr>
          <w:b/>
        </w:rPr>
        <w:t>in the future this program will focus on specific areas</w:t>
      </w:r>
      <w:r w:rsidRPr="00D71804">
        <w:t>.</w:t>
      </w:r>
    </w:p>
    <w:p w:rsidR="001C55F3" w:rsidRPr="00D71804" w:rsidRDefault="001C55F3" w:rsidP="00622218">
      <w:pPr>
        <w:pStyle w:val="Paragraphedeliste"/>
        <w:numPr>
          <w:ilvl w:val="0"/>
          <w:numId w:val="47"/>
        </w:numPr>
        <w:spacing w:line="240" w:lineRule="auto"/>
      </w:pPr>
      <w:r w:rsidRPr="00D71804">
        <w:t xml:space="preserve">In Austria </w:t>
      </w:r>
      <w:r w:rsidRPr="00D71804">
        <w:rPr>
          <w:b/>
        </w:rPr>
        <w:t>information is (only) available</w:t>
      </w:r>
      <w:r w:rsidRPr="00D71804">
        <w:t xml:space="preserve"> for the most important biotopes. </w:t>
      </w:r>
    </w:p>
    <w:p w:rsidR="001C55F3" w:rsidRPr="00D71804" w:rsidRDefault="001C55F3" w:rsidP="00622218">
      <w:pPr>
        <w:pStyle w:val="Paragraphedeliste"/>
        <w:numPr>
          <w:ilvl w:val="0"/>
          <w:numId w:val="47"/>
        </w:numPr>
        <w:spacing w:line="240" w:lineRule="auto"/>
      </w:pPr>
      <w:r w:rsidRPr="00D71804">
        <w:t xml:space="preserve">In Spain and the Netherlands the system is currently under development. </w:t>
      </w:r>
    </w:p>
    <w:p w:rsidR="001C55F3" w:rsidRPr="00D71804" w:rsidRDefault="001C55F3" w:rsidP="00622218">
      <w:pPr>
        <w:pStyle w:val="Paragraphedeliste"/>
        <w:numPr>
          <w:ilvl w:val="0"/>
          <w:numId w:val="47"/>
        </w:numPr>
        <w:spacing w:line="240" w:lineRule="auto"/>
      </w:pPr>
      <w:r w:rsidRPr="00D71804">
        <w:t xml:space="preserve">The </w:t>
      </w:r>
      <w:r w:rsidRPr="00D71804">
        <w:rPr>
          <w:b/>
        </w:rPr>
        <w:t>state of ecosystems</w:t>
      </w:r>
      <w:r w:rsidRPr="00D71804">
        <w:t xml:space="preserve"> at the national level is </w:t>
      </w:r>
      <w:r w:rsidRPr="00D71804">
        <w:rPr>
          <w:b/>
        </w:rPr>
        <w:t>not determined in the framework of national assessments</w:t>
      </w:r>
      <w:r w:rsidRPr="00D71804">
        <w:t xml:space="preserve"> (Austria and Flanders)</w:t>
      </w:r>
    </w:p>
    <w:p w:rsidR="001C55F3" w:rsidRPr="00D71804" w:rsidRDefault="001C55F3" w:rsidP="00622218">
      <w:pPr>
        <w:pStyle w:val="Paragraphedeliste"/>
        <w:numPr>
          <w:ilvl w:val="0"/>
          <w:numId w:val="47"/>
        </w:numPr>
        <w:spacing w:line="240" w:lineRule="auto"/>
      </w:pPr>
      <w:r w:rsidRPr="00D71804">
        <w:rPr>
          <w:b/>
        </w:rPr>
        <w:t xml:space="preserve">May be based on the abundance or presence </w:t>
      </w:r>
      <w:r w:rsidRPr="00D71804">
        <w:t xml:space="preserve">of indicator species (Netherlands). </w:t>
      </w:r>
    </w:p>
    <w:p w:rsidR="001C55F3" w:rsidRPr="00D71804" w:rsidRDefault="001C55F3" w:rsidP="00622218">
      <w:pPr>
        <w:pStyle w:val="Paragraphedeliste"/>
        <w:numPr>
          <w:ilvl w:val="0"/>
          <w:numId w:val="47"/>
        </w:numPr>
        <w:spacing w:line="240" w:lineRule="auto"/>
        <w:rPr>
          <w:b/>
        </w:rPr>
      </w:pPr>
      <w:r w:rsidRPr="00D71804">
        <w:t xml:space="preserve">Both in national and EU assessment, the </w:t>
      </w:r>
      <w:r w:rsidRPr="00D71804">
        <w:rPr>
          <w:b/>
        </w:rPr>
        <w:t>coverage is</w:t>
      </w:r>
      <w:r w:rsidRPr="00D71804">
        <w:t xml:space="preserve"> relatively good for vertebrates and </w:t>
      </w:r>
      <w:r w:rsidRPr="00D71804">
        <w:rPr>
          <w:b/>
        </w:rPr>
        <w:t xml:space="preserve">poor to negligible for invertebrates, plants and other species groups. </w:t>
      </w:r>
    </w:p>
    <w:p w:rsidR="001C55F3" w:rsidRPr="00D71804" w:rsidRDefault="001C55F3" w:rsidP="00622218">
      <w:pPr>
        <w:pStyle w:val="Paragraphedeliste"/>
        <w:numPr>
          <w:ilvl w:val="0"/>
          <w:numId w:val="47"/>
        </w:numPr>
        <w:spacing w:line="240" w:lineRule="auto"/>
        <w:rPr>
          <w:b/>
        </w:rPr>
      </w:pPr>
      <w:r w:rsidRPr="00D71804">
        <w:rPr>
          <w:b/>
        </w:rPr>
        <w:t>As the aims of assessment are different, the methodology and parameters developed for indicator species vary considerably.</w:t>
      </w:r>
    </w:p>
    <w:p w:rsidR="001C55F3" w:rsidRPr="00D71804" w:rsidRDefault="001C55F3" w:rsidP="001C55F3">
      <w:pPr>
        <w:spacing w:after="0" w:line="240" w:lineRule="auto"/>
      </w:pPr>
      <w:r w:rsidRPr="00D71804">
        <w:t xml:space="preserve">The four countries, examined in the case studies, primarily use parameters reflecting trends in abundance of specific groups (Austria, Flanders, Netherlands)  or red list species (Austria, Flanders, Netherlands) or species richness of specific groups / red listed species (Spain). In the EU reporting, a much broader range of parameters is used that also </w:t>
      </w:r>
      <w:r w:rsidRPr="00D71804">
        <w:rPr>
          <w:shd w:val="clear" w:color="auto" w:fill="FFFFFF" w:themeFill="background1"/>
        </w:rPr>
        <w:t xml:space="preserve">consider range, habitat for the species, population and future prospects,  composition, abundance, presence and even species characteristics. This difference in methodological approach might find its origin in the stage of development of the national monitoring system. </w:t>
      </w:r>
    </w:p>
    <w:p w:rsidR="001C55F3" w:rsidRPr="00D71804" w:rsidRDefault="001C55F3" w:rsidP="00622218">
      <w:pPr>
        <w:pStyle w:val="Paragraphedeliste"/>
        <w:numPr>
          <w:ilvl w:val="0"/>
          <w:numId w:val="46"/>
        </w:numPr>
        <w:spacing w:after="0" w:line="240" w:lineRule="auto"/>
      </w:pPr>
      <w:r w:rsidRPr="00D71804">
        <w:rPr>
          <w:shd w:val="clear" w:color="auto" w:fill="FFFFFF" w:themeFill="background1"/>
        </w:rPr>
        <w:t xml:space="preserve">For countries with an elaborate monitoring system and a short reporting cycle, trends in abundance of species are a better source of information for national assessments. </w:t>
      </w:r>
      <w:r w:rsidRPr="00D71804">
        <w:rPr>
          <w:b/>
        </w:rPr>
        <w:t>Information on range and presence is less used</w:t>
      </w:r>
      <w:r w:rsidRPr="00D71804">
        <w:t xml:space="preserve">.  </w:t>
      </w:r>
    </w:p>
    <w:p w:rsidR="001C55F3" w:rsidRPr="00D71804" w:rsidRDefault="001C55F3" w:rsidP="00622218">
      <w:pPr>
        <w:pStyle w:val="Paragraphedeliste"/>
        <w:numPr>
          <w:ilvl w:val="0"/>
          <w:numId w:val="46"/>
        </w:numPr>
        <w:spacing w:after="0" w:line="240" w:lineRule="auto"/>
      </w:pPr>
      <w:r w:rsidRPr="00D71804">
        <w:t>For countries where data availability is limited species richness and  number of red list species are often important sources of information</w:t>
      </w:r>
      <w:r w:rsidRPr="00D71804">
        <w:rPr>
          <w:b/>
        </w:rPr>
        <w:t>; trends in abundance can often not be assessed</w:t>
      </w:r>
      <w:r w:rsidRPr="00D71804">
        <w:t xml:space="preserve"> due to lack of data. </w:t>
      </w:r>
    </w:p>
    <w:p w:rsidR="001C55F3" w:rsidRPr="00D71804" w:rsidRDefault="001C55F3" w:rsidP="001C55F3">
      <w:pPr>
        <w:spacing w:after="0" w:line="240" w:lineRule="auto"/>
      </w:pPr>
    </w:p>
    <w:p w:rsidR="001C55F3" w:rsidRPr="00D71804" w:rsidRDefault="001C55F3" w:rsidP="001C55F3">
      <w:pPr>
        <w:spacing w:after="0" w:line="240" w:lineRule="auto"/>
      </w:pPr>
      <w:r w:rsidRPr="00D71804">
        <w:t xml:space="preserve">The  MAES working group developed a conceptual framework. If we look at the three dimensions indicated in the framework (‘ wings of the butterfly’) we can conclude that </w:t>
      </w:r>
    </w:p>
    <w:p w:rsidR="001C55F3" w:rsidRPr="00D71804" w:rsidRDefault="001C55F3" w:rsidP="00622218">
      <w:pPr>
        <w:pStyle w:val="Paragraphedeliste"/>
        <w:numPr>
          <w:ilvl w:val="0"/>
          <w:numId w:val="53"/>
        </w:numPr>
        <w:spacing w:line="240" w:lineRule="auto"/>
      </w:pPr>
      <w:r w:rsidRPr="00D71804">
        <w:t xml:space="preserve">some national assessments use species richness in their assessments of the state but </w:t>
      </w:r>
    </w:p>
    <w:p w:rsidR="001C55F3" w:rsidRPr="00D71804" w:rsidRDefault="001C55F3" w:rsidP="00622218">
      <w:pPr>
        <w:pStyle w:val="Paragraphedeliste"/>
        <w:numPr>
          <w:ilvl w:val="0"/>
          <w:numId w:val="53"/>
        </w:numPr>
        <w:spacing w:line="240" w:lineRule="auto"/>
      </w:pPr>
      <w:r w:rsidRPr="00D71804">
        <w:t xml:space="preserve">others uses trends in abundance of specific groups or information on number of threatened species. </w:t>
      </w:r>
    </w:p>
    <w:p w:rsidR="001C55F3" w:rsidRPr="00D71804" w:rsidRDefault="001C55F3" w:rsidP="00622218">
      <w:pPr>
        <w:pStyle w:val="Paragraphedeliste"/>
        <w:numPr>
          <w:ilvl w:val="0"/>
          <w:numId w:val="53"/>
        </w:numPr>
        <w:spacing w:after="0" w:line="240" w:lineRule="auto"/>
      </w:pPr>
      <w:r w:rsidRPr="00D71804">
        <w:t xml:space="preserve">The monitoring for the WFD also uses indicators based on functional traits.  </w:t>
      </w:r>
    </w:p>
    <w:p w:rsidR="001C55F3" w:rsidRPr="00D71804" w:rsidRDefault="001C55F3" w:rsidP="001C55F3">
      <w:pPr>
        <w:spacing w:line="240" w:lineRule="auto"/>
        <w:rPr>
          <w:b/>
          <w:i/>
        </w:rPr>
      </w:pPr>
      <w:r w:rsidRPr="00D71804">
        <w:rPr>
          <w:b/>
          <w:i/>
        </w:rPr>
        <w:t xml:space="preserve">Although it is not the focus of this report, it is worth recording here that the spatial detail of the data on biodiversity shows much variation. </w:t>
      </w:r>
    </w:p>
    <w:p w:rsidR="001C55F3" w:rsidRPr="00D71804" w:rsidRDefault="001C55F3" w:rsidP="001C55F3">
      <w:pPr>
        <w:spacing w:line="240" w:lineRule="auto"/>
        <w:rPr>
          <w:b/>
        </w:rPr>
      </w:pPr>
      <w:r w:rsidRPr="00D71804">
        <w:t>Based on the four reviewed cases we expect that</w:t>
      </w:r>
      <w:r w:rsidRPr="00D71804">
        <w:rPr>
          <w:b/>
        </w:rPr>
        <w:t xml:space="preserve"> only limited information on habitats will be available at the national level to complement the information gathered in the framework of EU reporting. </w:t>
      </w:r>
    </w:p>
    <w:p w:rsidR="001C55F3" w:rsidRPr="00D71804" w:rsidRDefault="001C55F3" w:rsidP="001C55F3">
      <w:pPr>
        <w:pStyle w:val="Titre2"/>
      </w:pPr>
      <w:r>
        <w:t>4.3</w:t>
      </w:r>
      <w:r>
        <w:tab/>
      </w:r>
      <w:r w:rsidRPr="00D71804">
        <w:t>Representativeness of indicator species for ecosystems</w:t>
      </w:r>
    </w:p>
    <w:p w:rsidR="001C55F3" w:rsidRPr="00D71804" w:rsidRDefault="001C55F3" w:rsidP="001C55F3">
      <w:pPr>
        <w:pStyle w:val="Paragraphedeliste"/>
        <w:spacing w:after="0" w:line="240" w:lineRule="auto"/>
        <w:rPr>
          <w:b/>
        </w:rPr>
      </w:pPr>
    </w:p>
    <w:p w:rsidR="001C55F3" w:rsidRDefault="001C55F3" w:rsidP="00622218">
      <w:pPr>
        <w:pStyle w:val="Paragraphedeliste"/>
        <w:numPr>
          <w:ilvl w:val="0"/>
          <w:numId w:val="48"/>
        </w:numPr>
        <w:spacing w:line="240" w:lineRule="auto"/>
        <w:rPr>
          <w:szCs w:val="20"/>
        </w:rPr>
      </w:pPr>
      <w:r w:rsidRPr="002A06CD">
        <w:rPr>
          <w:b/>
          <w:szCs w:val="20"/>
        </w:rPr>
        <w:t>No information could be found</w:t>
      </w:r>
      <w:r>
        <w:rPr>
          <w:szCs w:val="20"/>
        </w:rPr>
        <w:t>on</w:t>
      </w:r>
      <w:r w:rsidRPr="002A06CD">
        <w:rPr>
          <w:szCs w:val="20"/>
        </w:rPr>
        <w:t xml:space="preserve"> the relationship between the species on the red lists of Spain, Austria and Flanders and the allocation to various ecosystems. </w:t>
      </w:r>
    </w:p>
    <w:p w:rsidR="001C55F3" w:rsidRDefault="001C55F3" w:rsidP="00622218">
      <w:pPr>
        <w:pStyle w:val="Paragraphedeliste"/>
        <w:numPr>
          <w:ilvl w:val="0"/>
          <w:numId w:val="48"/>
        </w:numPr>
        <w:spacing w:line="240" w:lineRule="auto"/>
        <w:rPr>
          <w:b/>
          <w:szCs w:val="20"/>
        </w:rPr>
      </w:pPr>
      <w:r w:rsidRPr="002A06CD">
        <w:rPr>
          <w:b/>
          <w:szCs w:val="20"/>
        </w:rPr>
        <w:t>If and how well these species groups represent the various ecosystems is therefore not yet known.</w:t>
      </w:r>
    </w:p>
    <w:p w:rsidR="001C55F3" w:rsidRPr="002A06CD" w:rsidRDefault="001C55F3" w:rsidP="00622218">
      <w:pPr>
        <w:pStyle w:val="Paragraphedeliste"/>
        <w:numPr>
          <w:ilvl w:val="0"/>
          <w:numId w:val="48"/>
        </w:numPr>
        <w:spacing w:line="240" w:lineRule="auto"/>
        <w:rPr>
          <w:b/>
          <w:szCs w:val="20"/>
        </w:rPr>
      </w:pPr>
      <w:r w:rsidRPr="002A06CD">
        <w:rPr>
          <w:szCs w:val="20"/>
        </w:rPr>
        <w:t xml:space="preserve">Of the species listed in Annex II and IV of the Habitats Directive the majority are linked to wetland and grassland ecosystems. </w:t>
      </w:r>
      <w:r w:rsidRPr="002A06CD">
        <w:rPr>
          <w:b/>
          <w:szCs w:val="20"/>
        </w:rPr>
        <w:t>Marine ecosystems and agro-ecosystems are less well covered.</w:t>
      </w:r>
    </w:p>
    <w:p w:rsidR="001C55F3" w:rsidRPr="002A06CD" w:rsidRDefault="001C55F3" w:rsidP="00622218">
      <w:pPr>
        <w:pStyle w:val="Paragraphedeliste"/>
        <w:numPr>
          <w:ilvl w:val="0"/>
          <w:numId w:val="48"/>
        </w:numPr>
        <w:spacing w:line="240" w:lineRule="auto"/>
        <w:rPr>
          <w:b/>
          <w:szCs w:val="20"/>
        </w:rPr>
      </w:pPr>
      <w:r w:rsidRPr="002A06CD">
        <w:rPr>
          <w:szCs w:val="20"/>
        </w:rPr>
        <w:t xml:space="preserve">A broad range of indicator species has been identified under the WFD and MSFD reporting  providing information on the state of the marine and aquatic environments - however </w:t>
      </w:r>
      <w:r w:rsidRPr="002A06CD">
        <w:rPr>
          <w:b/>
          <w:szCs w:val="20"/>
        </w:rPr>
        <w:t xml:space="preserve">no EU overview of indicator species used </w:t>
      </w:r>
      <w:r>
        <w:rPr>
          <w:b/>
          <w:szCs w:val="20"/>
        </w:rPr>
        <w:t xml:space="preserve">under these Directives </w:t>
      </w:r>
      <w:r w:rsidRPr="002A06CD">
        <w:rPr>
          <w:b/>
          <w:szCs w:val="20"/>
        </w:rPr>
        <w:t>is presently available.</w:t>
      </w:r>
    </w:p>
    <w:p w:rsidR="001C55F3" w:rsidRPr="002A06CD" w:rsidRDefault="001C55F3" w:rsidP="00622218">
      <w:pPr>
        <w:pStyle w:val="Paragraphedeliste"/>
        <w:numPr>
          <w:ilvl w:val="0"/>
          <w:numId w:val="48"/>
        </w:numPr>
        <w:spacing w:line="240" w:lineRule="auto"/>
        <w:rPr>
          <w:b/>
          <w:szCs w:val="20"/>
        </w:rPr>
      </w:pPr>
      <w:r>
        <w:rPr>
          <w:szCs w:val="20"/>
        </w:rPr>
        <w:lastRenderedPageBreak/>
        <w:t>It is</w:t>
      </w:r>
      <w:r w:rsidRPr="002A06CD">
        <w:rPr>
          <w:szCs w:val="20"/>
        </w:rPr>
        <w:t xml:space="preserve"> not know</w:t>
      </w:r>
      <w:r>
        <w:rPr>
          <w:szCs w:val="20"/>
        </w:rPr>
        <w:t>n</w:t>
      </w:r>
      <w:r w:rsidRPr="002A06CD">
        <w:rPr>
          <w:szCs w:val="20"/>
        </w:rPr>
        <w:t xml:space="preserve"> how many indicator species are required in order to assess the ecosystem state. </w:t>
      </w:r>
    </w:p>
    <w:p w:rsidR="001C55F3" w:rsidRPr="002A06CD" w:rsidRDefault="001C55F3" w:rsidP="00622218">
      <w:pPr>
        <w:pStyle w:val="Paragraphedeliste"/>
        <w:numPr>
          <w:ilvl w:val="0"/>
          <w:numId w:val="48"/>
        </w:numPr>
        <w:spacing w:line="240" w:lineRule="auto"/>
        <w:rPr>
          <w:b/>
          <w:szCs w:val="20"/>
        </w:rPr>
      </w:pPr>
      <w:r>
        <w:rPr>
          <w:szCs w:val="20"/>
        </w:rPr>
        <w:t>T</w:t>
      </w:r>
      <w:r w:rsidRPr="002A06CD">
        <w:rPr>
          <w:szCs w:val="20"/>
        </w:rPr>
        <w:t xml:space="preserve">he available overviews for the Bird and Habitat Directive presented in chapter 3 show the preference of species for specific ecosystems but </w:t>
      </w:r>
      <w:r w:rsidRPr="002A06CD">
        <w:rPr>
          <w:b/>
          <w:szCs w:val="20"/>
        </w:rPr>
        <w:t>no detailed assessment has been made of their indicator value for these ecosystems</w:t>
      </w:r>
      <w:r w:rsidRPr="002A06CD">
        <w:rPr>
          <w:szCs w:val="20"/>
        </w:rPr>
        <w:t>.</w:t>
      </w:r>
    </w:p>
    <w:p w:rsidR="001C55F3" w:rsidRDefault="001C55F3" w:rsidP="00622218">
      <w:pPr>
        <w:pStyle w:val="Paragraphedeliste"/>
        <w:numPr>
          <w:ilvl w:val="0"/>
          <w:numId w:val="48"/>
        </w:numPr>
        <w:spacing w:line="240" w:lineRule="auto"/>
        <w:rPr>
          <w:b/>
          <w:szCs w:val="20"/>
        </w:rPr>
      </w:pPr>
      <w:r w:rsidRPr="002A06CD">
        <w:rPr>
          <w:szCs w:val="20"/>
        </w:rPr>
        <w:t xml:space="preserve">In one of the reviewed countries (e.g. the Netherlands) the data availability is much better than required for the EU reporting (timespan, number of species covered, spatial detail). As a result the national assessments are relying on these better data for their assessments. In the three other countries the data available for national assessments is less elaborate, and is not providing the detail required by the EU reporting (often only presence, time span too long) and additional systems are needed.  Often in these countries </w:t>
      </w:r>
      <w:r w:rsidRPr="002A06CD">
        <w:rPr>
          <w:b/>
          <w:szCs w:val="20"/>
        </w:rPr>
        <w:t>the resources are lacking to develop more elaborate monitoring and reporting systems.</w:t>
      </w:r>
    </w:p>
    <w:p w:rsidR="001C55F3" w:rsidRPr="002A06CD" w:rsidRDefault="001C55F3" w:rsidP="00622218">
      <w:pPr>
        <w:pStyle w:val="Paragraphedeliste"/>
        <w:numPr>
          <w:ilvl w:val="0"/>
          <w:numId w:val="48"/>
        </w:numPr>
        <w:spacing w:line="240" w:lineRule="auto"/>
        <w:rPr>
          <w:b/>
          <w:szCs w:val="20"/>
        </w:rPr>
      </w:pPr>
      <w:r w:rsidRPr="002A06CD">
        <w:rPr>
          <w:szCs w:val="20"/>
        </w:rPr>
        <w:t xml:space="preserve">In addition national policies also focus on </w:t>
      </w:r>
      <w:r w:rsidRPr="002A06CD">
        <w:rPr>
          <w:b/>
          <w:szCs w:val="20"/>
        </w:rPr>
        <w:t>other species or habitats than those of European importance</w:t>
      </w:r>
      <w:r w:rsidRPr="002A06CD">
        <w:rPr>
          <w:szCs w:val="20"/>
        </w:rPr>
        <w:t xml:space="preserve">. In all four countries red lists exist that feature species that are the target of national policies. </w:t>
      </w:r>
      <w:r>
        <w:rPr>
          <w:szCs w:val="20"/>
        </w:rPr>
        <w:t>T</w:t>
      </w:r>
      <w:r w:rsidRPr="002A06CD">
        <w:rPr>
          <w:szCs w:val="20"/>
        </w:rPr>
        <w:t xml:space="preserve">he </w:t>
      </w:r>
      <w:r w:rsidRPr="002A06CD">
        <w:rPr>
          <w:b/>
          <w:szCs w:val="20"/>
        </w:rPr>
        <w:t>overlap for several of the species groups on the red lists is rather low</w:t>
      </w:r>
      <w:r w:rsidRPr="002A06CD">
        <w:rPr>
          <w:szCs w:val="20"/>
        </w:rPr>
        <w:t>. The same situation occurs in Austria and in Flanders where at the national level additional habitat types are distinguished.</w:t>
      </w:r>
    </w:p>
    <w:p w:rsidR="001C55F3" w:rsidRPr="002A06CD" w:rsidRDefault="001C55F3" w:rsidP="00622218">
      <w:pPr>
        <w:pStyle w:val="Paragraphedeliste"/>
        <w:numPr>
          <w:ilvl w:val="0"/>
          <w:numId w:val="48"/>
        </w:numPr>
        <w:spacing w:line="240" w:lineRule="auto"/>
        <w:rPr>
          <w:b/>
          <w:szCs w:val="20"/>
        </w:rPr>
      </w:pPr>
      <w:r w:rsidRPr="002A06CD">
        <w:rPr>
          <w:szCs w:val="20"/>
        </w:rPr>
        <w:t xml:space="preserve">Additionally in the reporting for the WFD and MSFD </w:t>
      </w:r>
      <w:r w:rsidRPr="002A06CD">
        <w:rPr>
          <w:b/>
          <w:szCs w:val="20"/>
        </w:rPr>
        <w:t>species groups are used</w:t>
      </w:r>
      <w:r w:rsidRPr="002A06CD">
        <w:rPr>
          <w:szCs w:val="20"/>
        </w:rPr>
        <w:t xml:space="preserve"> (e.g. benthic invertebrates and phytoplankton) </w:t>
      </w:r>
      <w:r w:rsidRPr="002A06CD">
        <w:rPr>
          <w:b/>
          <w:szCs w:val="20"/>
        </w:rPr>
        <w:t>that are not target species for national policies</w:t>
      </w:r>
      <w:r w:rsidRPr="002A06CD">
        <w:rPr>
          <w:szCs w:val="20"/>
        </w:rPr>
        <w:t xml:space="preserve">. </w:t>
      </w:r>
    </w:p>
    <w:p w:rsidR="001C55F3" w:rsidRPr="00997B9D" w:rsidRDefault="001C55F3" w:rsidP="00622218">
      <w:pPr>
        <w:pStyle w:val="Paragraphedeliste"/>
        <w:numPr>
          <w:ilvl w:val="0"/>
          <w:numId w:val="48"/>
        </w:numPr>
        <w:spacing w:line="240" w:lineRule="auto"/>
        <w:rPr>
          <w:b/>
          <w:szCs w:val="20"/>
        </w:rPr>
      </w:pPr>
      <w:r>
        <w:rPr>
          <w:szCs w:val="20"/>
        </w:rPr>
        <w:t xml:space="preserve">Often the </w:t>
      </w:r>
      <w:r w:rsidRPr="005A5EEC">
        <w:rPr>
          <w:b/>
          <w:szCs w:val="20"/>
        </w:rPr>
        <w:t>methods used in the terrestrial and aquatic environment are very different as well as the organisations involved in the research</w:t>
      </w:r>
      <w:r>
        <w:rPr>
          <w:szCs w:val="20"/>
        </w:rPr>
        <w:t>.</w:t>
      </w:r>
    </w:p>
    <w:p w:rsidR="001C55F3" w:rsidRPr="00815EB6" w:rsidRDefault="001C55F3" w:rsidP="00622218">
      <w:pPr>
        <w:pStyle w:val="Paragraphedeliste"/>
        <w:numPr>
          <w:ilvl w:val="0"/>
          <w:numId w:val="48"/>
        </w:numPr>
        <w:spacing w:line="240" w:lineRule="auto"/>
        <w:rPr>
          <w:szCs w:val="20"/>
        </w:rPr>
      </w:pPr>
      <w:r w:rsidRPr="00997B9D">
        <w:rPr>
          <w:szCs w:val="20"/>
        </w:rPr>
        <w:t>The report does not review how the reporting under the CBD links to the reporting under the four Directives as well as national reporting schemes. Therefore it is unclear whether this process might provi</w:t>
      </w:r>
      <w:r>
        <w:rPr>
          <w:szCs w:val="20"/>
        </w:rPr>
        <w:t>de additional information.</w:t>
      </w:r>
    </w:p>
    <w:p w:rsidR="001C55F3" w:rsidRDefault="001C55F3" w:rsidP="001C55F3">
      <w:pPr>
        <w:pStyle w:val="Titre2"/>
      </w:pPr>
      <w:r>
        <w:t>4.4</w:t>
      </w:r>
      <w:r>
        <w:tab/>
      </w:r>
      <w:r w:rsidRPr="00D71804">
        <w:t>Recommendations</w:t>
      </w:r>
    </w:p>
    <w:p w:rsidR="001C55F3" w:rsidRPr="00F86BCD" w:rsidRDefault="001C55F3" w:rsidP="001C55F3"/>
    <w:p w:rsidR="001C55F3" w:rsidRPr="00D71804" w:rsidRDefault="001C55F3" w:rsidP="00622218">
      <w:pPr>
        <w:pStyle w:val="Paragraphedeliste"/>
        <w:numPr>
          <w:ilvl w:val="0"/>
          <w:numId w:val="49"/>
        </w:numPr>
        <w:spacing w:line="240" w:lineRule="auto"/>
      </w:pPr>
      <w:r w:rsidRPr="00D71804">
        <w:t xml:space="preserve">The relationship between the indicator species, indicator habitats and the state of ecosystems clearly has the </w:t>
      </w:r>
      <w:r w:rsidRPr="00D71804">
        <w:rPr>
          <w:b/>
        </w:rPr>
        <w:t>potential for further elaboration</w:t>
      </w:r>
      <w:r w:rsidRPr="00D71804">
        <w:t xml:space="preserve">. The approach developed </w:t>
      </w:r>
      <w:r w:rsidRPr="00D71804">
        <w:rPr>
          <w:b/>
        </w:rPr>
        <w:t>might give an insight</w:t>
      </w:r>
      <w:r w:rsidRPr="00D71804">
        <w:t xml:space="preserve"> into how far indicators of the ecosystem state might be able to explain the delivery of ecosystem services. The question is whether specific species and habitats indicators are also good indicators for specific processes or specific ecosystems services.</w:t>
      </w:r>
    </w:p>
    <w:p w:rsidR="001C55F3" w:rsidRPr="00D71804" w:rsidRDefault="001C55F3" w:rsidP="00622218">
      <w:pPr>
        <w:pStyle w:val="Paragraphedeliste"/>
        <w:numPr>
          <w:ilvl w:val="0"/>
          <w:numId w:val="49"/>
        </w:numPr>
        <w:spacing w:line="240" w:lineRule="auto"/>
      </w:pPr>
      <w:r w:rsidRPr="00D71804">
        <w:t xml:space="preserve">The mismatch or lack of overlap (in both directions) of species used at national and European levels suggests the need, in discussion with ETC-BD and the EEA, to </w:t>
      </w:r>
      <w:r w:rsidRPr="00D71804">
        <w:rPr>
          <w:b/>
        </w:rPr>
        <w:t>further review the representativeness of species listed on the Habitats Directive</w:t>
      </w:r>
      <w:r w:rsidRPr="00D71804">
        <w:t>; for example, in Tucker &amp; Evans (1997) a specific approach was developed for the Birds directive – this might also be applied to the Habitats Directive species and might need to be extended for EU27.</w:t>
      </w:r>
    </w:p>
    <w:p w:rsidR="001C55F3" w:rsidRPr="00D71804" w:rsidRDefault="001C55F3" w:rsidP="00622218">
      <w:pPr>
        <w:pStyle w:val="Paragraphedeliste"/>
        <w:numPr>
          <w:ilvl w:val="0"/>
          <w:numId w:val="49"/>
        </w:numPr>
        <w:spacing w:line="240" w:lineRule="auto"/>
      </w:pPr>
      <w:r w:rsidRPr="00D71804">
        <w:t xml:space="preserve">The variability, country by country, of data availability suggests that </w:t>
      </w:r>
      <w:r w:rsidRPr="00D71804">
        <w:rPr>
          <w:b/>
        </w:rPr>
        <w:t xml:space="preserve">minimum standards for data collection could be proposed at European level based on a feasibility assessment </w:t>
      </w:r>
      <w:r w:rsidRPr="00D71804">
        <w:t>(of what is realistic but which will still meet the required standard).</w:t>
      </w:r>
    </w:p>
    <w:p w:rsidR="001C55F3" w:rsidRPr="00D71804" w:rsidRDefault="001C55F3" w:rsidP="00622218">
      <w:pPr>
        <w:pStyle w:val="Paragraphedeliste"/>
        <w:numPr>
          <w:ilvl w:val="0"/>
          <w:numId w:val="49"/>
        </w:numPr>
        <w:spacing w:line="240" w:lineRule="auto"/>
      </w:pPr>
      <w:r w:rsidRPr="00D71804">
        <w:t xml:space="preserve">The current review only presents the situation in 4 Member states </w:t>
      </w:r>
      <w:r w:rsidRPr="00D71804">
        <w:rPr>
          <w:b/>
        </w:rPr>
        <w:t xml:space="preserve">– a quick European-wide scan might provide an overview of the situation in the remaining 23 Member States, </w:t>
      </w:r>
      <w:r w:rsidRPr="00D71804">
        <w:t>with a  focus on the assessment and monitoring of red list species and of the species groups identified as likely groups for which information might be present.</w:t>
      </w:r>
    </w:p>
    <w:p w:rsidR="001C55F3" w:rsidRPr="00D71804" w:rsidRDefault="001C55F3" w:rsidP="00622218">
      <w:pPr>
        <w:pStyle w:val="Paragraphedeliste"/>
        <w:numPr>
          <w:ilvl w:val="0"/>
          <w:numId w:val="49"/>
        </w:numPr>
        <w:spacing w:line="240" w:lineRule="auto"/>
      </w:pPr>
      <w:r w:rsidRPr="00D71804">
        <w:t xml:space="preserve">In order to increase the usefulness of this research </w:t>
      </w:r>
      <w:r w:rsidRPr="00D71804">
        <w:rPr>
          <w:b/>
        </w:rPr>
        <w:t>the relationship between the indicator species, indicator habitats and the state of ecosystems needs to be further elaborated.</w:t>
      </w:r>
    </w:p>
    <w:p w:rsidR="001C55F3" w:rsidRDefault="001C55F3" w:rsidP="00622218">
      <w:pPr>
        <w:pStyle w:val="Paragraphedeliste"/>
        <w:numPr>
          <w:ilvl w:val="0"/>
          <w:numId w:val="49"/>
        </w:numPr>
        <w:spacing w:line="240" w:lineRule="auto"/>
      </w:pPr>
      <w:r w:rsidRPr="00D71804">
        <w:t xml:space="preserve">Given the current level of information both at the level of the EU as well as in the country case studies </w:t>
      </w:r>
      <w:r w:rsidRPr="00D71804">
        <w:rPr>
          <w:b/>
        </w:rPr>
        <w:t>the use of indicator species</w:t>
      </w:r>
      <w:r w:rsidRPr="00D71804">
        <w:t xml:space="preserve"> in order to assess the state of terrestrial ecosystems </w:t>
      </w:r>
      <w:r w:rsidRPr="00D71804">
        <w:rPr>
          <w:b/>
        </w:rPr>
        <w:t>belonging to the following species groupscould be feasible</w:t>
      </w:r>
      <w:r w:rsidRPr="00D71804">
        <w:t xml:space="preserve">: birds, butterflies, mammals, reptiles and amphibians. For the first three groups national assessments can complement the list of species reported on under the EU directives. </w:t>
      </w:r>
    </w:p>
    <w:p w:rsidR="001C55F3" w:rsidRPr="002E60E8" w:rsidRDefault="001C55F3" w:rsidP="001C55F3">
      <w:pPr>
        <w:spacing w:line="240" w:lineRule="auto"/>
        <w:rPr>
          <w:b/>
          <w:color w:val="1F497D" w:themeColor="text2"/>
          <w:sz w:val="36"/>
          <w:szCs w:val="36"/>
        </w:rPr>
      </w:pPr>
      <w:r w:rsidRPr="002E60E8">
        <w:rPr>
          <w:b/>
          <w:color w:val="1F497D" w:themeColor="text2"/>
          <w:sz w:val="36"/>
          <w:szCs w:val="36"/>
        </w:rPr>
        <w:lastRenderedPageBreak/>
        <w:t>REFERENCES</w:t>
      </w:r>
    </w:p>
    <w:p w:rsidR="001C55F3" w:rsidRPr="002173A7" w:rsidRDefault="001C55F3" w:rsidP="001C55F3">
      <w:pPr>
        <w:pStyle w:val="NormalWeb"/>
        <w:spacing w:line="276" w:lineRule="auto"/>
        <w:ind w:left="502" w:hanging="502"/>
        <w:jc w:val="both"/>
        <w:rPr>
          <w:sz w:val="22"/>
          <w:szCs w:val="22"/>
          <w:lang w:val="en-US"/>
        </w:rPr>
      </w:pPr>
      <w:r w:rsidRPr="002173A7">
        <w:rPr>
          <w:sz w:val="22"/>
          <w:szCs w:val="22"/>
          <w:lang w:val="en-US"/>
        </w:rPr>
        <w:t xml:space="preserve">Anton, C., Young, J., Harrison, P.A., Musche, M., Bela, G., Feld, C.K., Harrington, R., Haslett, J.R., Pataki, G., Rounsevell, M.D.A., Skourtos, M., Sousa, J.P., Sykes, M.T., Tinch, R., Vandewalle, M., Watt, A. &amp;Settele, J. </w:t>
      </w:r>
      <w:r>
        <w:rPr>
          <w:sz w:val="22"/>
          <w:szCs w:val="22"/>
          <w:lang w:val="en-US"/>
        </w:rPr>
        <w:t>(</w:t>
      </w:r>
      <w:r w:rsidRPr="002173A7">
        <w:rPr>
          <w:sz w:val="22"/>
          <w:szCs w:val="22"/>
          <w:lang w:val="en-US"/>
        </w:rPr>
        <w:t>2010</w:t>
      </w:r>
      <w:r>
        <w:rPr>
          <w:sz w:val="22"/>
          <w:szCs w:val="22"/>
          <w:lang w:val="en-US"/>
        </w:rPr>
        <w:t>)</w:t>
      </w:r>
      <w:r w:rsidRPr="002173A7">
        <w:rPr>
          <w:sz w:val="22"/>
          <w:szCs w:val="22"/>
          <w:lang w:val="en-US"/>
        </w:rPr>
        <w:t xml:space="preserve"> "Research needs for incorporating the ecosystem service approach into EU biodiversity conservation policy", </w:t>
      </w:r>
      <w:r w:rsidRPr="002173A7">
        <w:rPr>
          <w:i/>
          <w:iCs/>
          <w:sz w:val="22"/>
          <w:szCs w:val="22"/>
          <w:lang w:val="en-US"/>
        </w:rPr>
        <w:t xml:space="preserve">Biodiversity and Conservation, </w:t>
      </w:r>
      <w:r w:rsidRPr="002173A7">
        <w:rPr>
          <w:sz w:val="22"/>
          <w:szCs w:val="22"/>
          <w:lang w:val="en-US"/>
        </w:rPr>
        <w:t xml:space="preserve">vol. 19, no. 10, pp. 2979-2994. </w:t>
      </w:r>
    </w:p>
    <w:p w:rsidR="001C55F3" w:rsidRPr="002173A7" w:rsidRDefault="001C55F3" w:rsidP="001C55F3">
      <w:pPr>
        <w:pStyle w:val="NormalWeb"/>
        <w:spacing w:line="276" w:lineRule="auto"/>
        <w:ind w:left="502" w:hanging="502"/>
        <w:jc w:val="both"/>
        <w:rPr>
          <w:sz w:val="22"/>
          <w:szCs w:val="22"/>
          <w:lang w:val="en-US"/>
        </w:rPr>
      </w:pPr>
      <w:r w:rsidRPr="002173A7">
        <w:rPr>
          <w:sz w:val="22"/>
          <w:szCs w:val="22"/>
          <w:lang w:val="en-US"/>
        </w:rPr>
        <w:t xml:space="preserve">Barbier, E. </w:t>
      </w:r>
      <w:r>
        <w:rPr>
          <w:sz w:val="22"/>
          <w:szCs w:val="22"/>
          <w:lang w:val="en-US"/>
        </w:rPr>
        <w:t>(</w:t>
      </w:r>
      <w:r w:rsidRPr="002173A7">
        <w:rPr>
          <w:sz w:val="22"/>
          <w:szCs w:val="22"/>
          <w:lang w:val="en-US"/>
        </w:rPr>
        <w:t>2011</w:t>
      </w:r>
      <w:r>
        <w:rPr>
          <w:sz w:val="22"/>
          <w:szCs w:val="22"/>
          <w:lang w:val="en-US"/>
        </w:rPr>
        <w:t>)</w:t>
      </w:r>
      <w:r w:rsidRPr="002173A7">
        <w:rPr>
          <w:sz w:val="22"/>
          <w:szCs w:val="22"/>
          <w:lang w:val="en-US"/>
        </w:rPr>
        <w:t xml:space="preserve">, "The policy challenges for green economy and sustainable economic development", </w:t>
      </w:r>
      <w:r w:rsidRPr="002173A7">
        <w:rPr>
          <w:i/>
          <w:iCs/>
          <w:sz w:val="22"/>
          <w:szCs w:val="22"/>
          <w:lang w:val="en-US"/>
        </w:rPr>
        <w:t xml:space="preserve">Natural Resources Forum, </w:t>
      </w:r>
      <w:r w:rsidRPr="002173A7">
        <w:rPr>
          <w:sz w:val="22"/>
          <w:szCs w:val="22"/>
          <w:lang w:val="en-US"/>
        </w:rPr>
        <w:t xml:space="preserve">vol. 35, no. 3, pp. 233-245. </w:t>
      </w:r>
    </w:p>
    <w:p w:rsidR="001C55F3" w:rsidRPr="00663045" w:rsidRDefault="001C55F3" w:rsidP="001C55F3">
      <w:pPr>
        <w:pStyle w:val="NormalWeb"/>
        <w:ind w:left="502" w:hanging="502"/>
        <w:jc w:val="both"/>
        <w:rPr>
          <w:sz w:val="22"/>
          <w:szCs w:val="22"/>
        </w:rPr>
      </w:pPr>
      <w:r w:rsidRPr="00663045">
        <w:rPr>
          <w:sz w:val="22"/>
          <w:szCs w:val="22"/>
        </w:rPr>
        <w:t>Bastian, O., Syrbe, R.-U., Rosenberg, M., Rahe, D., Grunewald, K., 2013 (</w:t>
      </w:r>
      <w:r>
        <w:rPr>
          <w:sz w:val="22"/>
          <w:szCs w:val="22"/>
        </w:rPr>
        <w:t>2013</w:t>
      </w:r>
      <w:r w:rsidRPr="00663045">
        <w:rPr>
          <w:sz w:val="22"/>
          <w:szCs w:val="22"/>
        </w:rPr>
        <w:t xml:space="preserve">), “The Five Pillar EPPS Framework for Quantifying, Mapping and Managing Ecosystem Services”, </w:t>
      </w:r>
      <w:r w:rsidRPr="00E427DB">
        <w:rPr>
          <w:i/>
          <w:sz w:val="22"/>
          <w:szCs w:val="22"/>
          <w:lang w:val="en-US"/>
        </w:rPr>
        <w:t>Ecosystem Services Special Issue: Mapping and Modelling ESS</w:t>
      </w:r>
      <w:r>
        <w:rPr>
          <w:i/>
          <w:sz w:val="22"/>
          <w:szCs w:val="22"/>
          <w:lang w:val="en-US"/>
        </w:rPr>
        <w:t>.</w:t>
      </w:r>
    </w:p>
    <w:p w:rsidR="001C55F3" w:rsidRDefault="001C55F3" w:rsidP="001C55F3">
      <w:pPr>
        <w:pStyle w:val="NormalWeb"/>
        <w:spacing w:line="276" w:lineRule="auto"/>
        <w:ind w:left="502" w:hanging="502"/>
        <w:jc w:val="both"/>
        <w:rPr>
          <w:sz w:val="22"/>
          <w:szCs w:val="22"/>
          <w:lang w:val="en-US"/>
        </w:rPr>
      </w:pPr>
      <w:r>
        <w:rPr>
          <w:sz w:val="22"/>
          <w:szCs w:val="22"/>
          <w:lang w:val="en-US"/>
        </w:rPr>
        <w:t xml:space="preserve">Braat, L. &amp; R. de Groot 2012, “The ecosystem services agenda bridging the worlds of natural sciences to economics </w:t>
      </w:r>
      <w:r w:rsidRPr="00197615">
        <w:rPr>
          <w:sz w:val="22"/>
          <w:szCs w:val="22"/>
          <w:lang w:val="en-US"/>
        </w:rPr>
        <w:t>conservation and development, and public and private policy</w:t>
      </w:r>
      <w:r>
        <w:rPr>
          <w:sz w:val="22"/>
          <w:szCs w:val="22"/>
          <w:lang w:val="en-US"/>
        </w:rPr>
        <w:t xml:space="preserve">”, </w:t>
      </w:r>
      <w:r w:rsidRPr="00197615">
        <w:rPr>
          <w:i/>
          <w:sz w:val="22"/>
          <w:szCs w:val="22"/>
          <w:lang w:val="en-US"/>
        </w:rPr>
        <w:t>Ecosystem Services</w:t>
      </w:r>
      <w:r>
        <w:rPr>
          <w:i/>
          <w:sz w:val="22"/>
          <w:szCs w:val="22"/>
          <w:lang w:val="en-US"/>
        </w:rPr>
        <w:t>,</w:t>
      </w:r>
      <w:r>
        <w:rPr>
          <w:sz w:val="22"/>
          <w:szCs w:val="22"/>
          <w:lang w:val="en-US"/>
        </w:rPr>
        <w:t>vol. 1, pp</w:t>
      </w:r>
      <w:r w:rsidRPr="00197615">
        <w:rPr>
          <w:sz w:val="22"/>
          <w:szCs w:val="22"/>
          <w:lang w:val="en-US"/>
        </w:rPr>
        <w:t>4–15</w:t>
      </w:r>
    </w:p>
    <w:p w:rsidR="001C55F3" w:rsidRPr="00663045" w:rsidRDefault="001C55F3" w:rsidP="001C55F3">
      <w:pPr>
        <w:pStyle w:val="NormalWeb"/>
        <w:spacing w:line="276" w:lineRule="auto"/>
        <w:ind w:left="502" w:hanging="502"/>
        <w:jc w:val="both"/>
        <w:rPr>
          <w:sz w:val="22"/>
          <w:szCs w:val="22"/>
          <w:lang w:val="nl-NL"/>
        </w:rPr>
      </w:pPr>
      <w:r w:rsidRPr="00663045">
        <w:rPr>
          <w:sz w:val="22"/>
          <w:szCs w:val="22"/>
          <w:lang w:val="nl-NL"/>
        </w:rPr>
        <w:t xml:space="preserve">Broekx, S., De Nocker, L., Poelmans, L., Staes, J., Van der Biest, K., Jacobs, S., Verheyen, K. 2013, “Raming van de baten geleverd door het Vlaamse NATURA 2000”, </w:t>
      </w:r>
      <w:r w:rsidRPr="00663045">
        <w:rPr>
          <w:i/>
          <w:sz w:val="22"/>
          <w:szCs w:val="22"/>
          <w:lang w:val="nl-NL"/>
        </w:rPr>
        <w:t>Agentschap Natuur en Bos (ANB/IHD/11/03)</w:t>
      </w:r>
      <w:r w:rsidRPr="00663045">
        <w:rPr>
          <w:sz w:val="22"/>
          <w:szCs w:val="22"/>
          <w:lang w:val="nl-NL"/>
        </w:rPr>
        <w:t>, Eindraport, pp 1-202</w:t>
      </w:r>
    </w:p>
    <w:p w:rsidR="001C55F3" w:rsidRDefault="001C55F3" w:rsidP="001C55F3">
      <w:pPr>
        <w:pStyle w:val="NormalWeb"/>
        <w:spacing w:line="276" w:lineRule="auto"/>
        <w:ind w:left="502" w:hanging="502"/>
        <w:jc w:val="both"/>
        <w:rPr>
          <w:sz w:val="22"/>
          <w:szCs w:val="22"/>
          <w:lang w:val="en-US"/>
        </w:rPr>
      </w:pPr>
      <w:r w:rsidRPr="002173A7">
        <w:rPr>
          <w:sz w:val="22"/>
          <w:szCs w:val="22"/>
          <w:lang w:val="en-US"/>
        </w:rPr>
        <w:t xml:space="preserve">Burkhard, B., Petrosillo, I. &amp; Costanza, R. 2010, "Ecosystem services – Bridging ecology, economy and social sciences", </w:t>
      </w:r>
      <w:r w:rsidRPr="002173A7">
        <w:rPr>
          <w:i/>
          <w:iCs/>
          <w:sz w:val="22"/>
          <w:szCs w:val="22"/>
          <w:lang w:val="en-US"/>
        </w:rPr>
        <w:t xml:space="preserve">Ecological Complexity, </w:t>
      </w:r>
      <w:r w:rsidRPr="002173A7">
        <w:rPr>
          <w:sz w:val="22"/>
          <w:szCs w:val="22"/>
          <w:lang w:val="en-US"/>
        </w:rPr>
        <w:t xml:space="preserve">vol. 7, no. 3, pp. 257-259. </w:t>
      </w:r>
    </w:p>
    <w:p w:rsidR="001C55F3" w:rsidRPr="002173A7" w:rsidRDefault="001C55F3" w:rsidP="001C55F3">
      <w:pPr>
        <w:pStyle w:val="NormalWeb"/>
        <w:ind w:left="502" w:hanging="502"/>
        <w:jc w:val="both"/>
        <w:rPr>
          <w:sz w:val="22"/>
          <w:szCs w:val="22"/>
          <w:lang w:val="en-US"/>
        </w:rPr>
      </w:pPr>
      <w:r>
        <w:rPr>
          <w:sz w:val="22"/>
          <w:szCs w:val="22"/>
          <w:lang w:val="en-US"/>
        </w:rPr>
        <w:t xml:space="preserve">Burkhard, B., </w:t>
      </w:r>
      <w:r w:rsidRPr="0030247E">
        <w:rPr>
          <w:sz w:val="22"/>
          <w:szCs w:val="22"/>
          <w:lang w:val="en-US"/>
        </w:rPr>
        <w:t>Kroll</w:t>
      </w:r>
      <w:r>
        <w:rPr>
          <w:sz w:val="22"/>
          <w:szCs w:val="22"/>
          <w:lang w:val="en-US"/>
        </w:rPr>
        <w:t xml:space="preserve">, F., </w:t>
      </w:r>
      <w:r w:rsidRPr="0030247E">
        <w:rPr>
          <w:sz w:val="22"/>
          <w:szCs w:val="22"/>
          <w:lang w:val="en-US"/>
        </w:rPr>
        <w:t>Nedkovb</w:t>
      </w:r>
      <w:r>
        <w:rPr>
          <w:sz w:val="22"/>
          <w:szCs w:val="22"/>
          <w:lang w:val="en-US"/>
        </w:rPr>
        <w:t>, S.,</w:t>
      </w:r>
      <w:r w:rsidRPr="0030247E">
        <w:rPr>
          <w:sz w:val="22"/>
          <w:szCs w:val="22"/>
          <w:lang w:val="en-US"/>
        </w:rPr>
        <w:t xml:space="preserve"> Müller</w:t>
      </w:r>
      <w:r>
        <w:rPr>
          <w:sz w:val="22"/>
          <w:szCs w:val="22"/>
          <w:lang w:val="en-US"/>
        </w:rPr>
        <w:t>, F. 2012, “Mapping</w:t>
      </w:r>
      <w:r w:rsidRPr="0030247E">
        <w:rPr>
          <w:sz w:val="22"/>
          <w:szCs w:val="22"/>
          <w:lang w:val="en-US"/>
        </w:rPr>
        <w:t xml:space="preserve"> ecosystem</w:t>
      </w:r>
      <w:r>
        <w:rPr>
          <w:sz w:val="22"/>
          <w:szCs w:val="22"/>
          <w:lang w:val="en-US"/>
        </w:rPr>
        <w:t xml:space="preserve"> service supply, demand and</w:t>
      </w:r>
      <w:r w:rsidRPr="0030247E">
        <w:rPr>
          <w:sz w:val="22"/>
          <w:szCs w:val="22"/>
          <w:lang w:val="en-US"/>
        </w:rPr>
        <w:t xml:space="preserve"> budgets</w:t>
      </w:r>
      <w:r>
        <w:rPr>
          <w:sz w:val="22"/>
          <w:szCs w:val="22"/>
          <w:lang w:val="en-US"/>
        </w:rPr>
        <w:t xml:space="preserve">”, </w:t>
      </w:r>
      <w:r w:rsidRPr="00FB4AD4">
        <w:rPr>
          <w:i/>
          <w:sz w:val="22"/>
          <w:szCs w:val="22"/>
          <w:lang w:val="en-US"/>
        </w:rPr>
        <w:t>Ecological  Indicators</w:t>
      </w:r>
      <w:r>
        <w:rPr>
          <w:sz w:val="22"/>
          <w:szCs w:val="22"/>
          <w:lang w:val="en-US"/>
        </w:rPr>
        <w:t>, vol. 21, pp</w:t>
      </w:r>
      <w:r w:rsidRPr="00FB4AD4">
        <w:rPr>
          <w:sz w:val="22"/>
          <w:szCs w:val="22"/>
          <w:lang w:val="en-US"/>
        </w:rPr>
        <w:t xml:space="preserve"> 17–29</w:t>
      </w:r>
      <w:r>
        <w:rPr>
          <w:sz w:val="22"/>
          <w:szCs w:val="22"/>
          <w:lang w:val="en-US"/>
        </w:rPr>
        <w:t>.</w:t>
      </w:r>
    </w:p>
    <w:p w:rsidR="001C55F3" w:rsidRDefault="001C55F3" w:rsidP="001C55F3">
      <w:pPr>
        <w:pStyle w:val="NormalWeb"/>
        <w:spacing w:line="276" w:lineRule="auto"/>
        <w:ind w:left="502" w:hanging="502"/>
        <w:jc w:val="both"/>
        <w:rPr>
          <w:sz w:val="22"/>
          <w:szCs w:val="22"/>
          <w:lang w:val="en-US"/>
        </w:rPr>
      </w:pPr>
      <w:r>
        <w:rPr>
          <w:sz w:val="22"/>
          <w:szCs w:val="22"/>
          <w:lang w:val="en-US"/>
        </w:rPr>
        <w:t xml:space="preserve">Burkhard, B., Crossman, N., Nedkov, S., Petz, K., Alkemade, R. (2013), “Mapping and Modelling ecosystem services for science, policy and practive”, </w:t>
      </w:r>
      <w:r w:rsidRPr="00E427DB">
        <w:rPr>
          <w:i/>
          <w:sz w:val="22"/>
          <w:szCs w:val="22"/>
          <w:lang w:val="en-US"/>
        </w:rPr>
        <w:t>Ecosystem Services Special Issue: Mapping and Modelling ESS</w:t>
      </w:r>
      <w:r>
        <w:rPr>
          <w:i/>
          <w:sz w:val="22"/>
          <w:szCs w:val="22"/>
          <w:lang w:val="en-US"/>
        </w:rPr>
        <w:t>.</w:t>
      </w:r>
    </w:p>
    <w:p w:rsidR="001C55F3" w:rsidRPr="002173A7" w:rsidRDefault="001C55F3" w:rsidP="001C55F3">
      <w:pPr>
        <w:pStyle w:val="NormalWeb"/>
        <w:spacing w:line="276" w:lineRule="auto"/>
        <w:ind w:left="502" w:hanging="502"/>
        <w:jc w:val="both"/>
        <w:rPr>
          <w:sz w:val="22"/>
          <w:szCs w:val="22"/>
          <w:lang w:val="en-US"/>
        </w:rPr>
      </w:pPr>
      <w:r w:rsidRPr="002173A7">
        <w:rPr>
          <w:sz w:val="22"/>
          <w:szCs w:val="22"/>
          <w:lang w:val="en-US"/>
        </w:rPr>
        <w:t xml:space="preserve">Chee, Y.E. 2004, "An ecological perspective on the valuation of ecosystem services", </w:t>
      </w:r>
      <w:r w:rsidRPr="002173A7">
        <w:rPr>
          <w:i/>
          <w:iCs/>
          <w:sz w:val="22"/>
          <w:szCs w:val="22"/>
          <w:lang w:val="en-US"/>
        </w:rPr>
        <w:t xml:space="preserve">Biological Conservation, </w:t>
      </w:r>
      <w:r w:rsidRPr="002173A7">
        <w:rPr>
          <w:sz w:val="22"/>
          <w:szCs w:val="22"/>
          <w:lang w:val="en-US"/>
        </w:rPr>
        <w:t xml:space="preserve">vol. 120, no. 4, pp. 549-565. </w:t>
      </w:r>
    </w:p>
    <w:p w:rsidR="001C55F3" w:rsidRPr="002173A7" w:rsidRDefault="001C55F3" w:rsidP="001C55F3">
      <w:pPr>
        <w:pStyle w:val="NormalWeb"/>
        <w:spacing w:line="276" w:lineRule="auto"/>
        <w:ind w:left="502" w:hanging="502"/>
        <w:jc w:val="both"/>
        <w:rPr>
          <w:sz w:val="22"/>
          <w:szCs w:val="22"/>
          <w:lang w:val="en-US"/>
        </w:rPr>
      </w:pPr>
      <w:r w:rsidRPr="002173A7">
        <w:rPr>
          <w:sz w:val="22"/>
          <w:szCs w:val="22"/>
          <w:lang w:val="en-US"/>
        </w:rPr>
        <w:t xml:space="preserve">Cramer, W., Fritsch, U., Leemans, R., Luetkemeier, S., Schroeter, D. &amp; Watt, A. 2008, "Training future experts in "biodiversity and ecosystem services": a progress report", </w:t>
      </w:r>
      <w:r w:rsidRPr="002173A7">
        <w:rPr>
          <w:i/>
          <w:iCs/>
          <w:sz w:val="22"/>
          <w:szCs w:val="22"/>
          <w:lang w:val="en-US"/>
        </w:rPr>
        <w:t xml:space="preserve">Regional Environmental Change, </w:t>
      </w:r>
      <w:r w:rsidRPr="002173A7">
        <w:rPr>
          <w:sz w:val="22"/>
          <w:szCs w:val="22"/>
          <w:lang w:val="en-US"/>
        </w:rPr>
        <w:t xml:space="preserve">vol. 8, no. 3, pp. 125-134. </w:t>
      </w:r>
    </w:p>
    <w:p w:rsidR="001C55F3" w:rsidRPr="00614756" w:rsidRDefault="001C55F3" w:rsidP="001C55F3">
      <w:pPr>
        <w:pStyle w:val="NormalWeb"/>
        <w:ind w:left="502" w:hanging="502"/>
        <w:jc w:val="both"/>
        <w:rPr>
          <w:sz w:val="22"/>
          <w:szCs w:val="22"/>
          <w:lang w:val="en-US"/>
        </w:rPr>
      </w:pPr>
      <w:r w:rsidRPr="00E427DB">
        <w:rPr>
          <w:sz w:val="22"/>
          <w:szCs w:val="22"/>
          <w:lang w:val="en-US"/>
        </w:rPr>
        <w:t>Crossman,</w:t>
      </w:r>
      <w:r>
        <w:rPr>
          <w:sz w:val="22"/>
          <w:szCs w:val="22"/>
          <w:lang w:val="en-US"/>
        </w:rPr>
        <w:t xml:space="preserve"> N. D., Bur</w:t>
      </w:r>
      <w:r w:rsidRPr="00E427DB">
        <w:rPr>
          <w:sz w:val="22"/>
          <w:szCs w:val="22"/>
          <w:lang w:val="en-US"/>
        </w:rPr>
        <w:t>khard</w:t>
      </w:r>
      <w:r>
        <w:rPr>
          <w:sz w:val="22"/>
          <w:szCs w:val="22"/>
          <w:lang w:val="en-US"/>
        </w:rPr>
        <w:t xml:space="preserve">, B., </w:t>
      </w:r>
      <w:r w:rsidRPr="00E427DB">
        <w:rPr>
          <w:sz w:val="22"/>
          <w:szCs w:val="22"/>
          <w:lang w:val="en-US"/>
        </w:rPr>
        <w:t>Nedkov</w:t>
      </w:r>
      <w:r>
        <w:rPr>
          <w:sz w:val="22"/>
          <w:szCs w:val="22"/>
          <w:lang w:val="en-US"/>
        </w:rPr>
        <w:t xml:space="preserve">, S., </w:t>
      </w:r>
      <w:r w:rsidRPr="00E427DB">
        <w:rPr>
          <w:sz w:val="22"/>
          <w:szCs w:val="22"/>
          <w:lang w:val="en-US"/>
        </w:rPr>
        <w:t>Willemen</w:t>
      </w:r>
      <w:r>
        <w:rPr>
          <w:sz w:val="22"/>
          <w:szCs w:val="22"/>
          <w:lang w:val="en-US"/>
        </w:rPr>
        <w:t>, L.,</w:t>
      </w:r>
      <w:r w:rsidRPr="00E427DB">
        <w:rPr>
          <w:sz w:val="22"/>
          <w:szCs w:val="22"/>
          <w:lang w:val="en-US"/>
        </w:rPr>
        <w:t xml:space="preserve"> Petz</w:t>
      </w:r>
      <w:r>
        <w:rPr>
          <w:sz w:val="22"/>
          <w:szCs w:val="22"/>
          <w:lang w:val="en-US"/>
        </w:rPr>
        <w:t>, K..,</w:t>
      </w:r>
      <w:r w:rsidRPr="00E427DB">
        <w:rPr>
          <w:sz w:val="22"/>
          <w:szCs w:val="22"/>
          <w:lang w:val="en-US"/>
        </w:rPr>
        <w:t xml:space="preserve"> Palomo</w:t>
      </w:r>
      <w:r>
        <w:rPr>
          <w:sz w:val="22"/>
          <w:szCs w:val="22"/>
          <w:lang w:val="en-US"/>
        </w:rPr>
        <w:t>, I.,</w:t>
      </w:r>
      <w:r w:rsidRPr="00E427DB">
        <w:rPr>
          <w:sz w:val="22"/>
          <w:szCs w:val="22"/>
          <w:lang w:val="en-US"/>
        </w:rPr>
        <w:t xml:space="preserve"> Drakou</w:t>
      </w:r>
      <w:r>
        <w:rPr>
          <w:sz w:val="22"/>
          <w:szCs w:val="22"/>
          <w:lang w:val="en-US"/>
        </w:rPr>
        <w:t>, E.,</w:t>
      </w:r>
      <w:r w:rsidRPr="00E427DB">
        <w:rPr>
          <w:sz w:val="22"/>
          <w:szCs w:val="22"/>
          <w:lang w:val="en-US"/>
        </w:rPr>
        <w:t xml:space="preserve"> Martin-Lopez</w:t>
      </w:r>
      <w:r>
        <w:rPr>
          <w:sz w:val="22"/>
          <w:szCs w:val="22"/>
          <w:lang w:val="en-US"/>
        </w:rPr>
        <w:t xml:space="preserve">, B., </w:t>
      </w:r>
      <w:r w:rsidRPr="00E427DB">
        <w:rPr>
          <w:sz w:val="22"/>
          <w:szCs w:val="22"/>
          <w:lang w:val="en-US"/>
        </w:rPr>
        <w:t>McPhearson</w:t>
      </w:r>
      <w:r>
        <w:rPr>
          <w:sz w:val="22"/>
          <w:szCs w:val="22"/>
          <w:lang w:val="en-US"/>
        </w:rPr>
        <w:t xml:space="preserve">, T., </w:t>
      </w:r>
      <w:r w:rsidRPr="00E427DB">
        <w:rPr>
          <w:sz w:val="22"/>
          <w:szCs w:val="22"/>
          <w:lang w:val="en-US"/>
        </w:rPr>
        <w:t>Boyanova</w:t>
      </w:r>
      <w:r>
        <w:rPr>
          <w:sz w:val="22"/>
          <w:szCs w:val="22"/>
          <w:lang w:val="en-US"/>
        </w:rPr>
        <w:t>, K..,</w:t>
      </w:r>
      <w:r w:rsidRPr="00E427DB">
        <w:rPr>
          <w:sz w:val="22"/>
          <w:szCs w:val="22"/>
          <w:lang w:val="en-US"/>
        </w:rPr>
        <w:t xml:space="preserve"> Alkemade</w:t>
      </w:r>
      <w:r>
        <w:rPr>
          <w:sz w:val="22"/>
          <w:szCs w:val="22"/>
          <w:lang w:val="en-US"/>
        </w:rPr>
        <w:t>, R.,</w:t>
      </w:r>
      <w:r w:rsidRPr="00E427DB">
        <w:rPr>
          <w:sz w:val="22"/>
          <w:szCs w:val="22"/>
          <w:lang w:val="en-US"/>
        </w:rPr>
        <w:t xml:space="preserve"> Egoh</w:t>
      </w:r>
      <w:r>
        <w:rPr>
          <w:sz w:val="22"/>
          <w:szCs w:val="22"/>
          <w:lang w:val="en-US"/>
        </w:rPr>
        <w:t xml:space="preserve">, E., </w:t>
      </w:r>
      <w:r w:rsidRPr="00E427DB">
        <w:rPr>
          <w:sz w:val="22"/>
          <w:szCs w:val="22"/>
          <w:lang w:val="en-US"/>
        </w:rPr>
        <w:t>Dunbar</w:t>
      </w:r>
      <w:r>
        <w:rPr>
          <w:sz w:val="22"/>
          <w:szCs w:val="22"/>
          <w:lang w:val="en-US"/>
        </w:rPr>
        <w:t>, M. B.,</w:t>
      </w:r>
      <w:r w:rsidRPr="00E427DB">
        <w:rPr>
          <w:sz w:val="22"/>
          <w:szCs w:val="22"/>
          <w:lang w:val="en-US"/>
        </w:rPr>
        <w:t xml:space="preserve"> Maes</w:t>
      </w:r>
      <w:r>
        <w:rPr>
          <w:sz w:val="22"/>
          <w:szCs w:val="22"/>
          <w:lang w:val="en-US"/>
        </w:rPr>
        <w:t>, J., (2013), “</w:t>
      </w:r>
      <w:r w:rsidRPr="00E427DB">
        <w:rPr>
          <w:sz w:val="22"/>
          <w:szCs w:val="22"/>
          <w:lang w:val="en-US"/>
        </w:rPr>
        <w:t>A blueprint for mapping and modelling ecosystem services</w:t>
      </w:r>
      <w:r>
        <w:rPr>
          <w:sz w:val="22"/>
          <w:szCs w:val="22"/>
          <w:lang w:val="en-US"/>
        </w:rPr>
        <w:t xml:space="preserve">”, </w:t>
      </w:r>
      <w:r w:rsidRPr="00E427DB">
        <w:rPr>
          <w:i/>
          <w:sz w:val="22"/>
          <w:szCs w:val="22"/>
          <w:lang w:val="en-US"/>
        </w:rPr>
        <w:t>Ecosystem Services Special Issue: Mapping and Modelling ESS</w:t>
      </w:r>
      <w:r>
        <w:rPr>
          <w:i/>
          <w:sz w:val="22"/>
          <w:szCs w:val="22"/>
          <w:lang w:val="en-US"/>
        </w:rPr>
        <w:t>.</w:t>
      </w:r>
    </w:p>
    <w:p w:rsidR="001C55F3" w:rsidRPr="002173A7" w:rsidRDefault="001C55F3" w:rsidP="001C55F3">
      <w:pPr>
        <w:pStyle w:val="NormalWeb"/>
        <w:spacing w:line="276" w:lineRule="auto"/>
        <w:ind w:left="502" w:hanging="502"/>
        <w:jc w:val="both"/>
        <w:rPr>
          <w:sz w:val="22"/>
          <w:szCs w:val="22"/>
          <w:lang w:val="en-US"/>
        </w:rPr>
      </w:pPr>
      <w:r>
        <w:rPr>
          <w:sz w:val="22"/>
          <w:szCs w:val="22"/>
          <w:lang w:val="en-US"/>
        </w:rPr>
        <w:t>De</w:t>
      </w:r>
      <w:r w:rsidRPr="002173A7">
        <w:rPr>
          <w:sz w:val="22"/>
          <w:szCs w:val="22"/>
          <w:lang w:val="en-US"/>
        </w:rPr>
        <w:t xml:space="preserve">Groot, R.S., Wilson, M.A. &amp;Boumans, R.M.J. 2002, "A typology for the classification, description and valuation of ecosystem functions, goods and services", </w:t>
      </w:r>
      <w:r w:rsidRPr="002173A7">
        <w:rPr>
          <w:i/>
          <w:iCs/>
          <w:sz w:val="22"/>
          <w:szCs w:val="22"/>
          <w:lang w:val="en-US"/>
        </w:rPr>
        <w:t xml:space="preserve">Ecological Economics, </w:t>
      </w:r>
      <w:r w:rsidRPr="002173A7">
        <w:rPr>
          <w:sz w:val="22"/>
          <w:szCs w:val="22"/>
          <w:lang w:val="en-US"/>
        </w:rPr>
        <w:t xml:space="preserve">vol. 41, no. 3, pp. 393-408. </w:t>
      </w:r>
    </w:p>
    <w:p w:rsidR="001C55F3" w:rsidRDefault="001C55F3" w:rsidP="001C55F3">
      <w:pPr>
        <w:pStyle w:val="NormalWeb"/>
        <w:ind w:left="502" w:hanging="502"/>
        <w:jc w:val="both"/>
        <w:rPr>
          <w:sz w:val="22"/>
          <w:szCs w:val="22"/>
          <w:lang w:val="en-US"/>
        </w:rPr>
      </w:pPr>
      <w:r>
        <w:rPr>
          <w:sz w:val="22"/>
          <w:szCs w:val="22"/>
        </w:rPr>
        <w:t xml:space="preserve">Egoh, B., Drakou, E. G., Dunbar, M. B., Maes, J., Willemen, L. 2012 “Indicators for mapping ecosystem services: a review”, </w:t>
      </w:r>
      <w:r>
        <w:rPr>
          <w:i/>
          <w:iCs/>
          <w:sz w:val="22"/>
          <w:szCs w:val="22"/>
        </w:rPr>
        <w:t xml:space="preserve">JRC scientific and policy reports, </w:t>
      </w:r>
      <w:r>
        <w:rPr>
          <w:sz w:val="22"/>
          <w:szCs w:val="22"/>
        </w:rPr>
        <w:t>EU 25456EN, pp. 105</w:t>
      </w:r>
    </w:p>
    <w:p w:rsidR="001C55F3" w:rsidRDefault="001C55F3" w:rsidP="001C55F3">
      <w:pPr>
        <w:pStyle w:val="NormalWeb"/>
        <w:ind w:left="502" w:hanging="502"/>
        <w:jc w:val="both"/>
        <w:rPr>
          <w:sz w:val="22"/>
          <w:szCs w:val="22"/>
          <w:lang w:val="en-US"/>
        </w:rPr>
      </w:pPr>
      <w:r w:rsidRPr="00397AA8">
        <w:rPr>
          <w:sz w:val="22"/>
          <w:szCs w:val="22"/>
          <w:lang w:val="en-US"/>
        </w:rPr>
        <w:t>Eigenbrod</w:t>
      </w:r>
      <w:r>
        <w:rPr>
          <w:sz w:val="22"/>
          <w:szCs w:val="22"/>
          <w:lang w:val="en-US"/>
        </w:rPr>
        <w:t>, F.,</w:t>
      </w:r>
      <w:r w:rsidRPr="00397AA8">
        <w:rPr>
          <w:sz w:val="22"/>
          <w:szCs w:val="22"/>
          <w:lang w:val="en-US"/>
        </w:rPr>
        <w:t>Armsworth</w:t>
      </w:r>
      <w:r>
        <w:rPr>
          <w:sz w:val="22"/>
          <w:szCs w:val="22"/>
          <w:lang w:val="en-US"/>
        </w:rPr>
        <w:t>, P. R.,</w:t>
      </w:r>
      <w:r w:rsidRPr="00397AA8">
        <w:rPr>
          <w:sz w:val="22"/>
          <w:szCs w:val="22"/>
          <w:lang w:val="en-US"/>
        </w:rPr>
        <w:t xml:space="preserve"> Anderson</w:t>
      </w:r>
      <w:r>
        <w:rPr>
          <w:sz w:val="22"/>
          <w:szCs w:val="22"/>
          <w:lang w:val="en-US"/>
        </w:rPr>
        <w:t xml:space="preserve">, B.J., </w:t>
      </w:r>
      <w:r w:rsidRPr="00397AA8">
        <w:rPr>
          <w:sz w:val="22"/>
          <w:szCs w:val="22"/>
          <w:lang w:val="en-US"/>
        </w:rPr>
        <w:t>Heinemeyer</w:t>
      </w:r>
      <w:r>
        <w:rPr>
          <w:sz w:val="22"/>
          <w:szCs w:val="22"/>
          <w:lang w:val="en-US"/>
        </w:rPr>
        <w:t xml:space="preserve">, A., </w:t>
      </w:r>
      <w:r w:rsidRPr="00397AA8">
        <w:rPr>
          <w:sz w:val="22"/>
          <w:szCs w:val="22"/>
          <w:lang w:val="en-US"/>
        </w:rPr>
        <w:t>Gillings</w:t>
      </w:r>
      <w:r>
        <w:rPr>
          <w:sz w:val="22"/>
          <w:szCs w:val="22"/>
          <w:lang w:val="en-US"/>
        </w:rPr>
        <w:t xml:space="preserve">, S., </w:t>
      </w:r>
      <w:r w:rsidRPr="00397AA8">
        <w:rPr>
          <w:sz w:val="22"/>
          <w:szCs w:val="22"/>
          <w:lang w:val="en-US"/>
        </w:rPr>
        <w:t>Roy</w:t>
      </w:r>
      <w:r>
        <w:rPr>
          <w:sz w:val="22"/>
          <w:szCs w:val="22"/>
          <w:lang w:val="en-US"/>
        </w:rPr>
        <w:t>, D. B.,</w:t>
      </w:r>
      <w:r w:rsidRPr="00397AA8">
        <w:rPr>
          <w:sz w:val="22"/>
          <w:szCs w:val="22"/>
          <w:lang w:val="en-US"/>
        </w:rPr>
        <w:t xml:space="preserve"> Thomas</w:t>
      </w:r>
      <w:r>
        <w:rPr>
          <w:sz w:val="22"/>
          <w:szCs w:val="22"/>
          <w:lang w:val="en-US"/>
        </w:rPr>
        <w:t>, C. D. &amp;</w:t>
      </w:r>
      <w:r w:rsidRPr="00397AA8">
        <w:rPr>
          <w:sz w:val="22"/>
          <w:szCs w:val="22"/>
          <w:lang w:val="en-US"/>
        </w:rPr>
        <w:t xml:space="preserve"> Gaston</w:t>
      </w:r>
      <w:r>
        <w:rPr>
          <w:sz w:val="22"/>
          <w:szCs w:val="22"/>
          <w:lang w:val="en-US"/>
        </w:rPr>
        <w:t>, K. J. 2010, “</w:t>
      </w:r>
      <w:r w:rsidRPr="00397AA8">
        <w:rPr>
          <w:sz w:val="22"/>
          <w:szCs w:val="22"/>
          <w:lang w:val="en-US"/>
        </w:rPr>
        <w:t>The impact of proxy-based methods on mapping thedistribution of ecosystem services</w:t>
      </w:r>
      <w:r>
        <w:rPr>
          <w:sz w:val="22"/>
          <w:szCs w:val="22"/>
          <w:lang w:val="en-US"/>
        </w:rPr>
        <w:t xml:space="preserve">”, </w:t>
      </w:r>
      <w:r w:rsidRPr="00397AA8">
        <w:rPr>
          <w:i/>
          <w:sz w:val="22"/>
          <w:szCs w:val="22"/>
          <w:lang w:val="en-US"/>
        </w:rPr>
        <w:t>Journal of Applied Ecology</w:t>
      </w:r>
      <w:r w:rsidRPr="00397AA8">
        <w:rPr>
          <w:sz w:val="22"/>
          <w:szCs w:val="22"/>
          <w:lang w:val="en-US"/>
        </w:rPr>
        <w:t>,</w:t>
      </w:r>
      <w:r>
        <w:rPr>
          <w:sz w:val="22"/>
          <w:szCs w:val="22"/>
          <w:lang w:val="en-US"/>
        </w:rPr>
        <w:t xml:space="preserve"> vol. </w:t>
      </w:r>
      <w:r w:rsidRPr="00397AA8">
        <w:rPr>
          <w:sz w:val="22"/>
          <w:szCs w:val="22"/>
          <w:lang w:val="en-US"/>
        </w:rPr>
        <w:t xml:space="preserve">47, </w:t>
      </w:r>
      <w:r>
        <w:rPr>
          <w:sz w:val="22"/>
          <w:szCs w:val="22"/>
          <w:lang w:val="en-US"/>
        </w:rPr>
        <w:t>pp.</w:t>
      </w:r>
      <w:r w:rsidRPr="00397AA8">
        <w:rPr>
          <w:sz w:val="22"/>
          <w:szCs w:val="22"/>
          <w:lang w:val="en-US"/>
        </w:rPr>
        <w:t>377–385</w:t>
      </w:r>
      <w:r>
        <w:rPr>
          <w:sz w:val="22"/>
          <w:szCs w:val="22"/>
          <w:lang w:val="en-US"/>
        </w:rPr>
        <w:t>.</w:t>
      </w:r>
    </w:p>
    <w:p w:rsidR="001C55F3" w:rsidRPr="002173A7" w:rsidRDefault="001C55F3" w:rsidP="001C55F3">
      <w:pPr>
        <w:pStyle w:val="NormalWeb"/>
        <w:spacing w:line="276" w:lineRule="auto"/>
        <w:ind w:left="502" w:hanging="502"/>
        <w:jc w:val="both"/>
        <w:rPr>
          <w:sz w:val="22"/>
          <w:szCs w:val="22"/>
          <w:lang w:val="en-US"/>
        </w:rPr>
      </w:pPr>
      <w:r w:rsidRPr="002173A7">
        <w:rPr>
          <w:sz w:val="22"/>
          <w:szCs w:val="22"/>
          <w:lang w:val="en-US"/>
        </w:rPr>
        <w:t xml:space="preserve">Fisher, B., Turner, R.K. &amp;Morling, P. 2009, "Defining and classifying ecosystem services for decision making", </w:t>
      </w:r>
      <w:r w:rsidRPr="002173A7">
        <w:rPr>
          <w:i/>
          <w:iCs/>
          <w:sz w:val="22"/>
          <w:szCs w:val="22"/>
          <w:lang w:val="en-US"/>
        </w:rPr>
        <w:t xml:space="preserve">Ecological Economics, </w:t>
      </w:r>
      <w:r w:rsidRPr="002173A7">
        <w:rPr>
          <w:sz w:val="22"/>
          <w:szCs w:val="22"/>
          <w:lang w:val="en-US"/>
        </w:rPr>
        <w:t xml:space="preserve">vol. 68, no. 3, pp. 643-653. </w:t>
      </w:r>
    </w:p>
    <w:p w:rsidR="001C55F3" w:rsidRPr="00804CA9" w:rsidRDefault="001C55F3" w:rsidP="001C55F3">
      <w:pPr>
        <w:pStyle w:val="NormalWeb"/>
        <w:spacing w:line="276" w:lineRule="auto"/>
        <w:ind w:left="502" w:hanging="502"/>
        <w:jc w:val="both"/>
        <w:rPr>
          <w:sz w:val="22"/>
          <w:szCs w:val="22"/>
          <w:lang w:val="en-US"/>
        </w:rPr>
      </w:pPr>
      <w:r>
        <w:rPr>
          <w:sz w:val="22"/>
          <w:szCs w:val="22"/>
          <w:lang w:val="en-US"/>
        </w:rPr>
        <w:t>Garcia-N</w:t>
      </w:r>
      <w:r w:rsidRPr="00804CA9">
        <w:rPr>
          <w:sz w:val="22"/>
          <w:szCs w:val="22"/>
          <w:lang w:val="en-US"/>
        </w:rPr>
        <w:t>ieto, A. P., Garcia-llorente, M., Iniesta-Arandia, I., Martin-Lopez, B. 2013 (</w:t>
      </w:r>
      <w:r>
        <w:rPr>
          <w:sz w:val="22"/>
          <w:szCs w:val="22"/>
          <w:lang w:val="en-US"/>
        </w:rPr>
        <w:t xml:space="preserve">2013), “Mapping forest ecosystem services: from providing units to beneficiaries”, </w:t>
      </w:r>
      <w:r w:rsidRPr="00E427DB">
        <w:rPr>
          <w:i/>
          <w:sz w:val="22"/>
          <w:szCs w:val="22"/>
          <w:lang w:val="en-US"/>
        </w:rPr>
        <w:t>Ecosystem Services Special Issue: Mapping and Modelling ESS</w:t>
      </w:r>
      <w:r>
        <w:rPr>
          <w:i/>
          <w:sz w:val="22"/>
          <w:szCs w:val="22"/>
          <w:lang w:val="en-US"/>
        </w:rPr>
        <w:t>.</w:t>
      </w:r>
    </w:p>
    <w:p w:rsidR="001C55F3" w:rsidRPr="00E5093B" w:rsidRDefault="001C55F3" w:rsidP="001C55F3">
      <w:pPr>
        <w:pStyle w:val="NormalWeb"/>
        <w:spacing w:line="276" w:lineRule="auto"/>
        <w:ind w:left="502" w:hanging="502"/>
        <w:jc w:val="both"/>
        <w:rPr>
          <w:sz w:val="22"/>
          <w:szCs w:val="22"/>
          <w:lang w:val="en-US"/>
        </w:rPr>
      </w:pPr>
      <w:r w:rsidRPr="002173A7">
        <w:rPr>
          <w:sz w:val="22"/>
          <w:szCs w:val="22"/>
          <w:lang w:val="en-US"/>
        </w:rPr>
        <w:t xml:space="preserve">Geneletti, D. 2013, "Assessing the impact of alternative land-use zoning policies on future ecosystem services", </w:t>
      </w:r>
      <w:r w:rsidRPr="002173A7">
        <w:rPr>
          <w:i/>
          <w:iCs/>
          <w:sz w:val="22"/>
          <w:szCs w:val="22"/>
          <w:lang w:val="en-US"/>
        </w:rPr>
        <w:t xml:space="preserve">Environmental Impact Assessment Review, </w:t>
      </w:r>
      <w:r>
        <w:rPr>
          <w:sz w:val="22"/>
          <w:szCs w:val="22"/>
          <w:lang w:val="en-US"/>
        </w:rPr>
        <w:t xml:space="preserve">vol. 40, pp. 25-35. </w:t>
      </w:r>
    </w:p>
    <w:p w:rsidR="001C55F3" w:rsidRDefault="001C55F3" w:rsidP="001C55F3">
      <w:pPr>
        <w:pStyle w:val="NormalWeb"/>
        <w:ind w:left="502" w:hanging="502"/>
        <w:jc w:val="both"/>
        <w:rPr>
          <w:sz w:val="22"/>
          <w:szCs w:val="22"/>
        </w:rPr>
      </w:pPr>
      <w:r>
        <w:rPr>
          <w:sz w:val="22"/>
          <w:szCs w:val="22"/>
        </w:rPr>
        <w:lastRenderedPageBreak/>
        <w:t xml:space="preserve">Götzl, M., Tiefenbach, M., Tramberend, P. 2012, “Review of recent literature on mapping ecosystem services and analysis of methods used”, </w:t>
      </w:r>
      <w:r>
        <w:rPr>
          <w:i/>
          <w:iCs/>
          <w:sz w:val="22"/>
          <w:szCs w:val="22"/>
        </w:rPr>
        <w:t xml:space="preserve">EEA, </w:t>
      </w:r>
      <w:r>
        <w:rPr>
          <w:sz w:val="22"/>
          <w:szCs w:val="22"/>
        </w:rPr>
        <w:t xml:space="preserve">pp. 67. </w:t>
      </w:r>
    </w:p>
    <w:p w:rsidR="001C55F3" w:rsidRDefault="001C55F3" w:rsidP="001C55F3">
      <w:pPr>
        <w:pStyle w:val="NormalWeb"/>
        <w:ind w:left="502" w:hanging="502"/>
        <w:jc w:val="both"/>
        <w:rPr>
          <w:sz w:val="22"/>
          <w:szCs w:val="22"/>
          <w:lang w:val="en-US"/>
        </w:rPr>
      </w:pPr>
      <w:r>
        <w:rPr>
          <w:sz w:val="22"/>
          <w:szCs w:val="22"/>
        </w:rPr>
        <w:t xml:space="preserve">Grêt-Regamey, A., Brunner, S. H.,Kienast, F. 2012 “Mountain Ecosystem Services: Who Cares?”, </w:t>
      </w:r>
      <w:r>
        <w:rPr>
          <w:i/>
          <w:iCs/>
          <w:sz w:val="22"/>
          <w:szCs w:val="22"/>
        </w:rPr>
        <w:t xml:space="preserve">Mountain Research and Development, </w:t>
      </w:r>
      <w:r>
        <w:rPr>
          <w:sz w:val="22"/>
          <w:szCs w:val="22"/>
        </w:rPr>
        <w:t>vol. 32,pp.S23–S34.</w:t>
      </w:r>
    </w:p>
    <w:p w:rsidR="001C55F3" w:rsidRPr="00312D6C" w:rsidRDefault="001C55F3" w:rsidP="001C55F3">
      <w:pPr>
        <w:pStyle w:val="NormalWeb"/>
        <w:ind w:left="502" w:hanging="502"/>
        <w:jc w:val="both"/>
        <w:rPr>
          <w:sz w:val="22"/>
          <w:szCs w:val="22"/>
          <w:lang w:val="en-US"/>
        </w:rPr>
      </w:pPr>
      <w:r>
        <w:rPr>
          <w:sz w:val="22"/>
          <w:szCs w:val="22"/>
          <w:lang w:val="en-US"/>
        </w:rPr>
        <w:t xml:space="preserve">Haines-Young, R.H. &amp;Potschin, M.B. 2010, “The link between biodiversity, ecosystem services and human well-being”, </w:t>
      </w:r>
      <w:r>
        <w:rPr>
          <w:i/>
          <w:sz w:val="22"/>
          <w:szCs w:val="22"/>
          <w:lang w:val="en-US"/>
        </w:rPr>
        <w:t xml:space="preserve">Ecosystem Ecology: A new Synthesis, </w:t>
      </w:r>
      <w:r>
        <w:rPr>
          <w:sz w:val="22"/>
          <w:szCs w:val="22"/>
          <w:lang w:val="en-US"/>
        </w:rPr>
        <w:t>pp 110-139.</w:t>
      </w:r>
    </w:p>
    <w:p w:rsidR="001C55F3" w:rsidRDefault="001C55F3" w:rsidP="001C55F3">
      <w:pPr>
        <w:pStyle w:val="NormalWeb"/>
        <w:ind w:left="502" w:hanging="502"/>
        <w:jc w:val="both"/>
        <w:rPr>
          <w:sz w:val="22"/>
          <w:szCs w:val="22"/>
          <w:lang w:val="en-US"/>
        </w:rPr>
      </w:pPr>
      <w:r w:rsidRPr="00332D6A">
        <w:rPr>
          <w:sz w:val="22"/>
          <w:szCs w:val="22"/>
          <w:lang w:val="en-US"/>
        </w:rPr>
        <w:t>Hauck,</w:t>
      </w:r>
      <w:r>
        <w:rPr>
          <w:sz w:val="22"/>
          <w:szCs w:val="22"/>
          <w:lang w:val="en-US"/>
        </w:rPr>
        <w:t xml:space="preserve"> J., </w:t>
      </w:r>
      <w:r w:rsidRPr="00332D6A">
        <w:rPr>
          <w:sz w:val="22"/>
          <w:szCs w:val="22"/>
          <w:lang w:val="en-US"/>
        </w:rPr>
        <w:t>Görg,</w:t>
      </w:r>
      <w:r>
        <w:rPr>
          <w:sz w:val="22"/>
          <w:szCs w:val="22"/>
          <w:lang w:val="en-US"/>
        </w:rPr>
        <w:t xml:space="preserve"> C., </w:t>
      </w:r>
      <w:r w:rsidRPr="00332D6A">
        <w:rPr>
          <w:sz w:val="22"/>
          <w:szCs w:val="22"/>
          <w:lang w:val="en-US"/>
        </w:rPr>
        <w:t>Varjopuro</w:t>
      </w:r>
      <w:r>
        <w:rPr>
          <w:sz w:val="22"/>
          <w:szCs w:val="22"/>
          <w:lang w:val="en-US"/>
        </w:rPr>
        <w:t xml:space="preserve">, R., </w:t>
      </w:r>
      <w:r w:rsidRPr="00332D6A">
        <w:rPr>
          <w:sz w:val="22"/>
          <w:szCs w:val="22"/>
          <w:lang w:val="en-US"/>
        </w:rPr>
        <w:t xml:space="preserve">Ratamäki, </w:t>
      </w:r>
      <w:r>
        <w:rPr>
          <w:sz w:val="22"/>
          <w:szCs w:val="22"/>
          <w:lang w:val="en-US"/>
        </w:rPr>
        <w:t xml:space="preserve">O., </w:t>
      </w:r>
      <w:r w:rsidRPr="00332D6A">
        <w:rPr>
          <w:sz w:val="22"/>
          <w:szCs w:val="22"/>
          <w:lang w:val="en-US"/>
        </w:rPr>
        <w:t>Maes,</w:t>
      </w:r>
      <w:r>
        <w:rPr>
          <w:sz w:val="22"/>
          <w:szCs w:val="22"/>
          <w:lang w:val="en-US"/>
        </w:rPr>
        <w:t xml:space="preserve"> J.,</w:t>
      </w:r>
      <w:r w:rsidRPr="00332D6A">
        <w:rPr>
          <w:sz w:val="22"/>
          <w:szCs w:val="22"/>
          <w:lang w:val="en-US"/>
        </w:rPr>
        <w:t xml:space="preserve"> Wittmer,</w:t>
      </w:r>
      <w:r>
        <w:rPr>
          <w:sz w:val="22"/>
          <w:szCs w:val="22"/>
          <w:lang w:val="en-US"/>
        </w:rPr>
        <w:t xml:space="preserve"> H., </w:t>
      </w:r>
      <w:r w:rsidRPr="00332D6A">
        <w:rPr>
          <w:sz w:val="22"/>
          <w:szCs w:val="22"/>
          <w:lang w:val="en-US"/>
        </w:rPr>
        <w:t>Jax,</w:t>
      </w:r>
      <w:r>
        <w:rPr>
          <w:sz w:val="22"/>
          <w:szCs w:val="22"/>
          <w:lang w:val="en-US"/>
        </w:rPr>
        <w:t xml:space="preserve"> K. 2013 (2013), “</w:t>
      </w:r>
      <w:r w:rsidRPr="00EB10D1">
        <w:rPr>
          <w:sz w:val="22"/>
          <w:szCs w:val="22"/>
          <w:lang w:val="en-US"/>
        </w:rPr>
        <w:t>"Maps have an air of authority": Potential benefits and challeng</w:t>
      </w:r>
      <w:r>
        <w:rPr>
          <w:sz w:val="22"/>
          <w:szCs w:val="22"/>
          <w:lang w:val="en-US"/>
        </w:rPr>
        <w:t xml:space="preserve">es of ecosystem service maps at </w:t>
      </w:r>
      <w:r w:rsidRPr="00EB10D1">
        <w:rPr>
          <w:sz w:val="22"/>
          <w:szCs w:val="22"/>
          <w:lang w:val="en-US"/>
        </w:rPr>
        <w:t>different levels of decision making</w:t>
      </w:r>
      <w:r>
        <w:rPr>
          <w:sz w:val="22"/>
          <w:szCs w:val="22"/>
          <w:lang w:val="en-US"/>
        </w:rPr>
        <w:t xml:space="preserve">”, </w:t>
      </w:r>
      <w:r w:rsidRPr="00E427DB">
        <w:rPr>
          <w:i/>
          <w:sz w:val="22"/>
          <w:szCs w:val="22"/>
          <w:lang w:val="en-US"/>
        </w:rPr>
        <w:t>Ecosystem Services Special Issue: Mapping and Modelling ESS</w:t>
      </w:r>
      <w:r>
        <w:rPr>
          <w:i/>
          <w:sz w:val="22"/>
          <w:szCs w:val="22"/>
          <w:lang w:val="en-US"/>
        </w:rPr>
        <w:t>.</w:t>
      </w:r>
    </w:p>
    <w:p w:rsidR="001C55F3" w:rsidRPr="00312D6C" w:rsidRDefault="001C55F3" w:rsidP="001C55F3">
      <w:pPr>
        <w:pStyle w:val="NormalWeb"/>
        <w:ind w:left="502" w:hanging="502"/>
        <w:jc w:val="both"/>
        <w:rPr>
          <w:sz w:val="22"/>
          <w:szCs w:val="22"/>
          <w:lang w:val="en-US"/>
        </w:rPr>
      </w:pPr>
      <w:r>
        <w:rPr>
          <w:sz w:val="22"/>
          <w:szCs w:val="22"/>
          <w:lang w:val="en-US"/>
        </w:rPr>
        <w:t xml:space="preserve">Hermann, A., Schleifer, S., Wrbka, T. 2011, ‘The concept of ecosystem services regarding landscape research: a review”, </w:t>
      </w:r>
      <w:r>
        <w:rPr>
          <w:i/>
          <w:sz w:val="22"/>
          <w:szCs w:val="22"/>
          <w:lang w:val="en-US"/>
        </w:rPr>
        <w:t xml:space="preserve">Landscape research, </w:t>
      </w:r>
      <w:r>
        <w:rPr>
          <w:sz w:val="22"/>
          <w:szCs w:val="22"/>
          <w:lang w:val="en-US"/>
        </w:rPr>
        <w:t>vol. 5, pp 1-26.</w:t>
      </w:r>
    </w:p>
    <w:p w:rsidR="001C55F3" w:rsidRDefault="001C55F3" w:rsidP="001C55F3">
      <w:pPr>
        <w:pStyle w:val="NormalWeb"/>
        <w:ind w:left="502" w:hanging="502"/>
        <w:jc w:val="both"/>
        <w:rPr>
          <w:sz w:val="22"/>
          <w:szCs w:val="22"/>
          <w:lang w:val="en-US"/>
        </w:rPr>
      </w:pPr>
      <w:r w:rsidRPr="00091F1A">
        <w:rPr>
          <w:sz w:val="22"/>
          <w:szCs w:val="22"/>
          <w:lang w:val="en-US"/>
        </w:rPr>
        <w:t>Kandziora</w:t>
      </w:r>
      <w:r>
        <w:rPr>
          <w:sz w:val="22"/>
          <w:szCs w:val="22"/>
          <w:lang w:val="en-US"/>
        </w:rPr>
        <w:t>, M.,</w:t>
      </w:r>
      <w:r w:rsidRPr="00091F1A">
        <w:rPr>
          <w:sz w:val="22"/>
          <w:szCs w:val="22"/>
          <w:lang w:val="en-US"/>
        </w:rPr>
        <w:t xml:space="preserve"> Burkhard</w:t>
      </w:r>
      <w:r>
        <w:rPr>
          <w:sz w:val="22"/>
          <w:szCs w:val="22"/>
          <w:lang w:val="en-US"/>
        </w:rPr>
        <w:t>, B.,</w:t>
      </w:r>
      <w:r w:rsidRPr="00091F1A">
        <w:rPr>
          <w:sz w:val="22"/>
          <w:szCs w:val="22"/>
          <w:lang w:val="en-US"/>
        </w:rPr>
        <w:t xml:space="preserve"> Müller</w:t>
      </w:r>
      <w:r>
        <w:rPr>
          <w:sz w:val="22"/>
          <w:szCs w:val="22"/>
          <w:lang w:val="en-US"/>
        </w:rPr>
        <w:t>, F. 2013 (2013),“</w:t>
      </w:r>
      <w:r w:rsidRPr="00091F1A">
        <w:rPr>
          <w:sz w:val="22"/>
          <w:szCs w:val="22"/>
          <w:lang w:val="en-US"/>
        </w:rPr>
        <w:t>Mapping provisioning ecosystem services at the local scale using data of varying spatial and temporal resolution</w:t>
      </w:r>
      <w:r>
        <w:rPr>
          <w:sz w:val="22"/>
          <w:szCs w:val="22"/>
          <w:lang w:val="en-US"/>
        </w:rPr>
        <w:t xml:space="preserve">”, </w:t>
      </w:r>
      <w:r w:rsidRPr="00E427DB">
        <w:rPr>
          <w:i/>
          <w:sz w:val="22"/>
          <w:szCs w:val="22"/>
          <w:lang w:val="en-US"/>
        </w:rPr>
        <w:t>Ecosystem Services Special Issue: Mapping and Modelling ESS</w:t>
      </w:r>
      <w:r>
        <w:rPr>
          <w:i/>
          <w:sz w:val="22"/>
          <w:szCs w:val="22"/>
          <w:lang w:val="en-US"/>
        </w:rPr>
        <w:t>.</w:t>
      </w:r>
    </w:p>
    <w:p w:rsidR="001C55F3" w:rsidRDefault="001C55F3" w:rsidP="001C55F3">
      <w:pPr>
        <w:pStyle w:val="NormalWeb"/>
        <w:ind w:left="502" w:hanging="502"/>
        <w:jc w:val="both"/>
        <w:rPr>
          <w:sz w:val="22"/>
          <w:szCs w:val="22"/>
          <w:lang w:val="en-US"/>
        </w:rPr>
      </w:pPr>
      <w:r>
        <w:rPr>
          <w:sz w:val="22"/>
          <w:szCs w:val="22"/>
        </w:rPr>
        <w:t xml:space="preserve">Mace, M., Norris, K..&amp; Filter, A. H. 2012, “Biodiversity and ecosystem services:amultilayered relationship”, </w:t>
      </w:r>
      <w:r>
        <w:rPr>
          <w:i/>
          <w:iCs/>
          <w:sz w:val="22"/>
          <w:szCs w:val="22"/>
        </w:rPr>
        <w:t>Trends in Ecology and Evolution</w:t>
      </w:r>
      <w:r>
        <w:rPr>
          <w:sz w:val="22"/>
          <w:szCs w:val="22"/>
        </w:rPr>
        <w:t>, vol. 27, pp. 19-26.</w:t>
      </w:r>
    </w:p>
    <w:p w:rsidR="001C55F3" w:rsidRDefault="001C55F3" w:rsidP="001C55F3">
      <w:pPr>
        <w:pStyle w:val="NormalWeb"/>
        <w:ind w:left="502" w:hanging="502"/>
        <w:jc w:val="both"/>
        <w:rPr>
          <w:sz w:val="22"/>
          <w:szCs w:val="22"/>
          <w:lang w:val="en-US"/>
        </w:rPr>
      </w:pPr>
      <w:r w:rsidRPr="00851784">
        <w:rPr>
          <w:sz w:val="22"/>
          <w:szCs w:val="22"/>
          <w:lang w:val="en-US"/>
        </w:rPr>
        <w:t>Maes, J., Braat, L., Jax, K., Hutchins, M., Furman, E., Termansen, M., Luque, S., Paracchini,</w:t>
      </w:r>
      <w:r>
        <w:rPr>
          <w:sz w:val="22"/>
          <w:szCs w:val="22"/>
          <w:lang w:val="en-US"/>
        </w:rPr>
        <w:t xml:space="preserve"> M. L., </w:t>
      </w:r>
      <w:r w:rsidRPr="00851784">
        <w:rPr>
          <w:sz w:val="22"/>
          <w:szCs w:val="22"/>
          <w:lang w:val="en-US"/>
        </w:rPr>
        <w:t xml:space="preserve">Chauvin, </w:t>
      </w:r>
      <w:r>
        <w:rPr>
          <w:sz w:val="22"/>
          <w:szCs w:val="22"/>
          <w:lang w:val="en-US"/>
        </w:rPr>
        <w:t xml:space="preserve">C., </w:t>
      </w:r>
      <w:r w:rsidRPr="00851784">
        <w:rPr>
          <w:sz w:val="22"/>
          <w:szCs w:val="22"/>
          <w:lang w:val="en-US"/>
        </w:rPr>
        <w:t>Williams,</w:t>
      </w:r>
      <w:r>
        <w:rPr>
          <w:sz w:val="22"/>
          <w:szCs w:val="22"/>
          <w:lang w:val="en-US"/>
        </w:rPr>
        <w:t xml:space="preserve"> R.,</w:t>
      </w:r>
      <w:r w:rsidRPr="00851784">
        <w:rPr>
          <w:sz w:val="22"/>
          <w:szCs w:val="22"/>
          <w:lang w:val="en-US"/>
        </w:rPr>
        <w:t xml:space="preserve"> Volk,</w:t>
      </w:r>
      <w:r>
        <w:rPr>
          <w:sz w:val="22"/>
          <w:szCs w:val="22"/>
          <w:lang w:val="en-US"/>
        </w:rPr>
        <w:t xml:space="preserve"> M., </w:t>
      </w:r>
      <w:r w:rsidRPr="00851784">
        <w:rPr>
          <w:sz w:val="22"/>
          <w:szCs w:val="22"/>
          <w:lang w:val="en-US"/>
        </w:rPr>
        <w:t>Lautenbach,</w:t>
      </w:r>
      <w:r>
        <w:rPr>
          <w:sz w:val="22"/>
          <w:szCs w:val="22"/>
          <w:lang w:val="en-US"/>
        </w:rPr>
        <w:t xml:space="preserve"> S., </w:t>
      </w:r>
      <w:r w:rsidRPr="00851784">
        <w:rPr>
          <w:sz w:val="22"/>
          <w:szCs w:val="22"/>
          <w:lang w:val="en-US"/>
        </w:rPr>
        <w:t>Kopperoinen,</w:t>
      </w:r>
      <w:r>
        <w:rPr>
          <w:sz w:val="22"/>
          <w:szCs w:val="22"/>
          <w:lang w:val="en-US"/>
        </w:rPr>
        <w:t xml:space="preserve"> L., </w:t>
      </w:r>
      <w:r w:rsidRPr="00851784">
        <w:rPr>
          <w:sz w:val="22"/>
          <w:szCs w:val="22"/>
          <w:lang w:val="en-US"/>
        </w:rPr>
        <w:t>Schelhaas,</w:t>
      </w:r>
      <w:r>
        <w:rPr>
          <w:sz w:val="22"/>
          <w:szCs w:val="22"/>
          <w:lang w:val="en-US"/>
        </w:rPr>
        <w:t xml:space="preserve"> M.-J., </w:t>
      </w:r>
      <w:r w:rsidRPr="00851784">
        <w:rPr>
          <w:sz w:val="22"/>
          <w:szCs w:val="22"/>
          <w:lang w:val="en-US"/>
        </w:rPr>
        <w:t>Weinert,</w:t>
      </w:r>
      <w:r>
        <w:rPr>
          <w:sz w:val="22"/>
          <w:szCs w:val="22"/>
          <w:lang w:val="en-US"/>
        </w:rPr>
        <w:t xml:space="preserve"> J., </w:t>
      </w:r>
      <w:r w:rsidRPr="00851784">
        <w:rPr>
          <w:sz w:val="22"/>
          <w:szCs w:val="22"/>
          <w:lang w:val="en-US"/>
        </w:rPr>
        <w:t>Goossen,</w:t>
      </w:r>
      <w:r>
        <w:rPr>
          <w:sz w:val="22"/>
          <w:szCs w:val="22"/>
          <w:lang w:val="en-US"/>
        </w:rPr>
        <w:t xml:space="preserve"> M., </w:t>
      </w:r>
      <w:r w:rsidRPr="00851784">
        <w:rPr>
          <w:sz w:val="22"/>
          <w:szCs w:val="22"/>
          <w:lang w:val="en-US"/>
        </w:rPr>
        <w:t>Dumont,</w:t>
      </w:r>
      <w:r>
        <w:rPr>
          <w:sz w:val="22"/>
          <w:szCs w:val="22"/>
          <w:lang w:val="en-US"/>
        </w:rPr>
        <w:t xml:space="preserve"> E., </w:t>
      </w:r>
      <w:r w:rsidRPr="00851784">
        <w:rPr>
          <w:sz w:val="22"/>
          <w:szCs w:val="22"/>
          <w:lang w:val="en-US"/>
        </w:rPr>
        <w:t xml:space="preserve">Strauch, </w:t>
      </w:r>
      <w:r>
        <w:rPr>
          <w:sz w:val="22"/>
          <w:szCs w:val="22"/>
          <w:lang w:val="en-US"/>
        </w:rPr>
        <w:t xml:space="preserve">M., </w:t>
      </w:r>
      <w:r w:rsidRPr="00851784">
        <w:rPr>
          <w:sz w:val="22"/>
          <w:szCs w:val="22"/>
          <w:lang w:val="en-US"/>
        </w:rPr>
        <w:t>Görg</w:t>
      </w:r>
      <w:r>
        <w:rPr>
          <w:sz w:val="22"/>
          <w:szCs w:val="22"/>
          <w:lang w:val="en-US"/>
        </w:rPr>
        <w:t xml:space="preserve">, C., </w:t>
      </w:r>
      <w:r w:rsidRPr="00851784">
        <w:rPr>
          <w:sz w:val="22"/>
          <w:szCs w:val="22"/>
          <w:lang w:val="en-US"/>
        </w:rPr>
        <w:t>Dormann,</w:t>
      </w:r>
      <w:r>
        <w:rPr>
          <w:sz w:val="22"/>
          <w:szCs w:val="22"/>
          <w:lang w:val="en-US"/>
        </w:rPr>
        <w:t xml:space="preserve"> C., </w:t>
      </w:r>
      <w:r w:rsidRPr="00851784">
        <w:rPr>
          <w:sz w:val="22"/>
          <w:szCs w:val="22"/>
          <w:lang w:val="en-US"/>
        </w:rPr>
        <w:t>Katwinkel,</w:t>
      </w:r>
      <w:r>
        <w:rPr>
          <w:sz w:val="22"/>
          <w:szCs w:val="22"/>
          <w:lang w:val="en-US"/>
        </w:rPr>
        <w:t xml:space="preserve"> M.,</w:t>
      </w:r>
      <w:r w:rsidRPr="00851784">
        <w:rPr>
          <w:sz w:val="22"/>
          <w:szCs w:val="22"/>
          <w:lang w:val="en-US"/>
        </w:rPr>
        <w:t>Zulian,</w:t>
      </w:r>
      <w:r>
        <w:rPr>
          <w:sz w:val="22"/>
          <w:szCs w:val="22"/>
          <w:lang w:val="en-US"/>
        </w:rPr>
        <w:t xml:space="preserve"> G., </w:t>
      </w:r>
      <w:r w:rsidRPr="00851784">
        <w:rPr>
          <w:sz w:val="22"/>
          <w:szCs w:val="22"/>
          <w:lang w:val="en-US"/>
        </w:rPr>
        <w:t xml:space="preserve">Varjopuro, </w:t>
      </w:r>
      <w:r>
        <w:rPr>
          <w:sz w:val="22"/>
          <w:szCs w:val="22"/>
          <w:lang w:val="en-US"/>
        </w:rPr>
        <w:t xml:space="preserve">R., </w:t>
      </w:r>
      <w:r w:rsidRPr="00851784">
        <w:rPr>
          <w:sz w:val="22"/>
          <w:szCs w:val="22"/>
          <w:lang w:val="en-US"/>
        </w:rPr>
        <w:t>Ratamäki,</w:t>
      </w:r>
      <w:r>
        <w:rPr>
          <w:sz w:val="22"/>
          <w:szCs w:val="22"/>
          <w:lang w:val="en-US"/>
        </w:rPr>
        <w:t xml:space="preserve"> O., </w:t>
      </w:r>
      <w:r w:rsidRPr="00851784">
        <w:rPr>
          <w:sz w:val="22"/>
          <w:szCs w:val="22"/>
          <w:lang w:val="en-US"/>
        </w:rPr>
        <w:t>Hauck,</w:t>
      </w:r>
      <w:r>
        <w:rPr>
          <w:sz w:val="22"/>
          <w:szCs w:val="22"/>
          <w:lang w:val="en-US"/>
        </w:rPr>
        <w:t xml:space="preserve"> J., </w:t>
      </w:r>
      <w:r w:rsidRPr="00851784">
        <w:rPr>
          <w:sz w:val="22"/>
          <w:szCs w:val="22"/>
          <w:lang w:val="en-US"/>
        </w:rPr>
        <w:t>Forsius,</w:t>
      </w:r>
      <w:r>
        <w:rPr>
          <w:sz w:val="22"/>
          <w:szCs w:val="22"/>
          <w:lang w:val="en-US"/>
        </w:rPr>
        <w:t xml:space="preserve"> M., </w:t>
      </w:r>
      <w:r w:rsidRPr="00851784">
        <w:rPr>
          <w:sz w:val="22"/>
          <w:szCs w:val="22"/>
          <w:lang w:val="en-US"/>
        </w:rPr>
        <w:t>Hengeveld,</w:t>
      </w:r>
      <w:r>
        <w:rPr>
          <w:sz w:val="22"/>
          <w:szCs w:val="22"/>
          <w:lang w:val="en-US"/>
        </w:rPr>
        <w:t xml:space="preserve"> G.,</w:t>
      </w:r>
      <w:r w:rsidRPr="00851784">
        <w:rPr>
          <w:sz w:val="22"/>
          <w:szCs w:val="22"/>
          <w:lang w:val="en-US"/>
        </w:rPr>
        <w:t xml:space="preserve"> Perez-Soba</w:t>
      </w:r>
      <w:r>
        <w:rPr>
          <w:sz w:val="22"/>
          <w:szCs w:val="22"/>
          <w:lang w:val="en-US"/>
        </w:rPr>
        <w:t xml:space="preserve">, M., </w:t>
      </w:r>
      <w:r w:rsidRPr="00851784">
        <w:rPr>
          <w:sz w:val="22"/>
          <w:szCs w:val="22"/>
          <w:lang w:val="en-US"/>
        </w:rPr>
        <w:t>Bouraoui,</w:t>
      </w:r>
      <w:r>
        <w:rPr>
          <w:sz w:val="22"/>
          <w:szCs w:val="22"/>
          <w:lang w:val="en-US"/>
        </w:rPr>
        <w:t xml:space="preserve"> F., </w:t>
      </w:r>
      <w:r w:rsidRPr="00851784">
        <w:rPr>
          <w:sz w:val="22"/>
          <w:szCs w:val="22"/>
          <w:lang w:val="en-US"/>
        </w:rPr>
        <w:t>Scholz,</w:t>
      </w:r>
      <w:r>
        <w:rPr>
          <w:sz w:val="22"/>
          <w:szCs w:val="22"/>
          <w:lang w:val="en-US"/>
        </w:rPr>
        <w:t xml:space="preserve"> M., </w:t>
      </w:r>
      <w:r w:rsidRPr="00851784">
        <w:rPr>
          <w:sz w:val="22"/>
          <w:szCs w:val="22"/>
          <w:lang w:val="en-US"/>
        </w:rPr>
        <w:t>Schulz-Zunkel,</w:t>
      </w:r>
      <w:r>
        <w:rPr>
          <w:sz w:val="22"/>
          <w:szCs w:val="22"/>
          <w:lang w:val="en-US"/>
        </w:rPr>
        <w:t xml:space="preserve"> C., </w:t>
      </w:r>
      <w:r w:rsidRPr="00851784">
        <w:rPr>
          <w:sz w:val="22"/>
          <w:szCs w:val="22"/>
          <w:lang w:val="en-US"/>
        </w:rPr>
        <w:t>Lepistö,</w:t>
      </w:r>
      <w:r>
        <w:rPr>
          <w:sz w:val="22"/>
          <w:szCs w:val="22"/>
          <w:lang w:val="en-US"/>
        </w:rPr>
        <w:t xml:space="preserve"> A., </w:t>
      </w:r>
      <w:r w:rsidRPr="00851784">
        <w:rPr>
          <w:sz w:val="22"/>
          <w:szCs w:val="22"/>
          <w:lang w:val="en-US"/>
        </w:rPr>
        <w:t xml:space="preserve">Polishchuk, </w:t>
      </w:r>
      <w:r>
        <w:rPr>
          <w:sz w:val="22"/>
          <w:szCs w:val="22"/>
          <w:lang w:val="en-US"/>
        </w:rPr>
        <w:t xml:space="preserve">Y., </w:t>
      </w:r>
      <w:r w:rsidRPr="00851784">
        <w:rPr>
          <w:sz w:val="22"/>
          <w:szCs w:val="22"/>
          <w:lang w:val="en-US"/>
        </w:rPr>
        <w:t>Bidoglio</w:t>
      </w:r>
      <w:r>
        <w:rPr>
          <w:sz w:val="22"/>
          <w:szCs w:val="22"/>
          <w:lang w:val="en-US"/>
        </w:rPr>
        <w:t>, Y.(</w:t>
      </w:r>
      <w:r w:rsidRPr="00851784">
        <w:rPr>
          <w:sz w:val="22"/>
          <w:szCs w:val="22"/>
          <w:lang w:val="en-US"/>
        </w:rPr>
        <w:t>2011</w:t>
      </w:r>
      <w:r>
        <w:rPr>
          <w:sz w:val="22"/>
          <w:szCs w:val="22"/>
          <w:lang w:val="en-US"/>
        </w:rPr>
        <w:t>), “</w:t>
      </w:r>
      <w:r w:rsidRPr="00851784">
        <w:rPr>
          <w:sz w:val="22"/>
          <w:szCs w:val="22"/>
          <w:lang w:val="en-US"/>
        </w:rPr>
        <w:t>A spatial assessment of ecosystem services in Europe: methods, case studies and policy analysis</w:t>
      </w:r>
      <w:r>
        <w:rPr>
          <w:sz w:val="22"/>
          <w:szCs w:val="22"/>
          <w:lang w:val="en-US"/>
        </w:rPr>
        <w:t>”</w:t>
      </w:r>
      <w:r w:rsidRPr="003561B2">
        <w:rPr>
          <w:i/>
          <w:sz w:val="22"/>
          <w:szCs w:val="22"/>
          <w:lang w:val="en-US"/>
        </w:rPr>
        <w:t>phase 1. PEER Report No 3</w:t>
      </w:r>
      <w:r>
        <w:rPr>
          <w:sz w:val="22"/>
          <w:szCs w:val="22"/>
          <w:lang w:val="en-US"/>
        </w:rPr>
        <w:t>,</w:t>
      </w:r>
      <w:r w:rsidRPr="00851784">
        <w:rPr>
          <w:sz w:val="22"/>
          <w:szCs w:val="22"/>
          <w:lang w:val="en-US"/>
        </w:rPr>
        <w:t>Ispra: Partnership for European Environmental Research</w:t>
      </w:r>
      <w:r>
        <w:rPr>
          <w:sz w:val="22"/>
          <w:szCs w:val="22"/>
          <w:lang w:val="en-US"/>
        </w:rPr>
        <w:t>, pp. 1-148.</w:t>
      </w:r>
    </w:p>
    <w:p w:rsidR="001C55F3" w:rsidRDefault="001C55F3" w:rsidP="001C55F3">
      <w:pPr>
        <w:pStyle w:val="NormalWeb"/>
        <w:ind w:left="502" w:hanging="502"/>
        <w:jc w:val="both"/>
        <w:rPr>
          <w:sz w:val="22"/>
          <w:szCs w:val="22"/>
          <w:lang w:val="en-US"/>
        </w:rPr>
      </w:pPr>
      <w:r w:rsidRPr="003325C1">
        <w:rPr>
          <w:sz w:val="22"/>
          <w:szCs w:val="22"/>
          <w:lang w:val="en-US"/>
        </w:rPr>
        <w:t>Maes J, Teller A, Erhard M, Liquete C, Braat L, Berry P, Egoh B, Puydarrieux P, Fiorina C, Santos F, Paracchini ML, Keune H, Wittmer H, Hauck J, Fiala I, Verburg PH, Condé S, Schägner JP, San Miguel J, Estreguil C, Ostermann O, Barredo JI, Pereira HM, Stott A, Laporte V, Meiner A, Olah B, RoyoGelabert E, Spyropoulou R, Petersen JE, Maguire C, Zal N, Achilleos E, Rubin A, Ledoux L, Brown C, Raes C, Jacobs S, Vandewall</w:t>
      </w:r>
      <w:r>
        <w:rPr>
          <w:sz w:val="22"/>
          <w:szCs w:val="22"/>
          <w:lang w:val="en-US"/>
        </w:rPr>
        <w:t>e M, Connor D, Bidoglio G. (2013),“</w:t>
      </w:r>
      <w:r w:rsidRPr="003325C1">
        <w:rPr>
          <w:sz w:val="22"/>
          <w:szCs w:val="22"/>
          <w:lang w:val="en-US"/>
        </w:rPr>
        <w:t>Mapping and Assessment of Ecosystems and their Services. An analytical framework for ecosystem assessmentsunder action 5 of the EU biodiversity strategy to 2020</w:t>
      </w:r>
      <w:r>
        <w:rPr>
          <w:sz w:val="22"/>
          <w:szCs w:val="22"/>
          <w:lang w:val="en-US"/>
        </w:rPr>
        <w:t>”,</w:t>
      </w:r>
      <w:r w:rsidRPr="003325C1">
        <w:rPr>
          <w:i/>
          <w:sz w:val="22"/>
          <w:szCs w:val="22"/>
          <w:lang w:val="en-US"/>
        </w:rPr>
        <w:t>Publications office of the European Union</w:t>
      </w:r>
      <w:r w:rsidRPr="003325C1">
        <w:rPr>
          <w:sz w:val="22"/>
          <w:szCs w:val="22"/>
          <w:lang w:val="en-US"/>
        </w:rPr>
        <w:t>, Luxembourg.</w:t>
      </w:r>
    </w:p>
    <w:p w:rsidR="001C55F3" w:rsidRDefault="001C55F3" w:rsidP="001C55F3">
      <w:pPr>
        <w:pStyle w:val="NormalWeb"/>
        <w:ind w:left="502" w:hanging="502"/>
        <w:jc w:val="both"/>
        <w:rPr>
          <w:sz w:val="22"/>
          <w:szCs w:val="22"/>
        </w:rPr>
      </w:pPr>
      <w:r>
        <w:rPr>
          <w:sz w:val="22"/>
          <w:szCs w:val="22"/>
        </w:rPr>
        <w:t xml:space="preserve">Maes, J.(b), Hauck, J., Paracchini, M. L., Ratamäki, O., Hutchins, M., Termansen, M., Furman, E., Perez-Soba, M., Braat, L., Bidoglio, G. 2013, “Mainstreaming ecosystem services into EU policy”, </w:t>
      </w:r>
      <w:r>
        <w:rPr>
          <w:i/>
          <w:iCs/>
          <w:sz w:val="22"/>
          <w:szCs w:val="22"/>
        </w:rPr>
        <w:t xml:space="preserve">Terrestrial Ecosystems, </w:t>
      </w:r>
      <w:r>
        <w:rPr>
          <w:sz w:val="22"/>
          <w:szCs w:val="22"/>
        </w:rPr>
        <w:t>vol. 5, pp. 128-134.</w:t>
      </w:r>
    </w:p>
    <w:p w:rsidR="001C55F3" w:rsidRDefault="001C55F3" w:rsidP="001C55F3">
      <w:pPr>
        <w:pStyle w:val="NormalWeb"/>
        <w:ind w:left="502" w:hanging="502"/>
        <w:jc w:val="both"/>
        <w:rPr>
          <w:sz w:val="22"/>
          <w:szCs w:val="22"/>
          <w:lang w:val="en-US"/>
        </w:rPr>
      </w:pPr>
      <w:r>
        <w:rPr>
          <w:sz w:val="22"/>
          <w:szCs w:val="22"/>
        </w:rPr>
        <w:t xml:space="preserve">Malak, D. A., Roerink, G., Verweij, P., Winograd, M., Hazeu, G., Braat, L., Perez-Soba, M., Schroder, C., Soukup, T. 2012, “Available data for assessing ecosystems in Europe”, </w:t>
      </w:r>
      <w:r>
        <w:rPr>
          <w:i/>
          <w:iCs/>
          <w:sz w:val="22"/>
          <w:szCs w:val="22"/>
        </w:rPr>
        <w:t>European Topic Center Spatial Information and Analysis (ETC SIA).</w:t>
      </w:r>
    </w:p>
    <w:p w:rsidR="001C55F3" w:rsidRPr="002173A7" w:rsidRDefault="001C55F3" w:rsidP="001C55F3">
      <w:pPr>
        <w:pStyle w:val="NormalWeb"/>
        <w:spacing w:line="276" w:lineRule="auto"/>
        <w:ind w:left="502" w:hanging="502"/>
        <w:jc w:val="both"/>
        <w:rPr>
          <w:sz w:val="22"/>
          <w:szCs w:val="22"/>
          <w:lang w:val="en-US"/>
        </w:rPr>
      </w:pPr>
      <w:r w:rsidRPr="002173A7">
        <w:rPr>
          <w:sz w:val="22"/>
          <w:szCs w:val="22"/>
          <w:lang w:val="en-US"/>
        </w:rPr>
        <w:t xml:space="preserve">Nicholson, E., Mace, G.M., Armsworth, P.R., Atkinson, G., Buckle, S., Clements, T., Ewers, R.M., Fa, J.E., Gardner, T.A., Gibbons, J., Grenyer, R., Metcalfe, R., Mourato, S., Muuls, M., Osborn, D., Reuman, D.C., Watson, C. &amp; Milner-Gulland, E.J. 2009, "Priority research areas for ecosystem services in a changing world", </w:t>
      </w:r>
      <w:r w:rsidRPr="002173A7">
        <w:rPr>
          <w:i/>
          <w:iCs/>
          <w:sz w:val="22"/>
          <w:szCs w:val="22"/>
          <w:lang w:val="en-US"/>
        </w:rPr>
        <w:t xml:space="preserve">Journal of Applied Ecology, </w:t>
      </w:r>
      <w:r w:rsidRPr="002173A7">
        <w:rPr>
          <w:sz w:val="22"/>
          <w:szCs w:val="22"/>
          <w:lang w:val="en-US"/>
        </w:rPr>
        <w:t xml:space="preserve">vol. 46, no. 6, pp. 1139-1144. </w:t>
      </w:r>
    </w:p>
    <w:p w:rsidR="001C55F3" w:rsidRDefault="001C55F3" w:rsidP="001C55F3">
      <w:pPr>
        <w:pStyle w:val="NormalWeb"/>
        <w:ind w:left="502" w:hanging="502"/>
        <w:jc w:val="both"/>
        <w:rPr>
          <w:sz w:val="22"/>
          <w:szCs w:val="22"/>
          <w:lang w:val="en-US"/>
        </w:rPr>
      </w:pPr>
      <w:r w:rsidRPr="002A4D08">
        <w:rPr>
          <w:sz w:val="22"/>
          <w:szCs w:val="22"/>
          <w:lang w:val="en-US"/>
        </w:rPr>
        <w:t>Schägner</w:t>
      </w:r>
      <w:r>
        <w:rPr>
          <w:sz w:val="22"/>
          <w:szCs w:val="22"/>
          <w:lang w:val="en-US"/>
        </w:rPr>
        <w:t xml:space="preserve">, P., </w:t>
      </w:r>
      <w:r w:rsidRPr="002A4D08">
        <w:rPr>
          <w:sz w:val="22"/>
          <w:szCs w:val="22"/>
          <w:lang w:val="en-US"/>
        </w:rPr>
        <w:t>Brander</w:t>
      </w:r>
      <w:r>
        <w:rPr>
          <w:sz w:val="22"/>
          <w:szCs w:val="22"/>
          <w:lang w:val="en-US"/>
        </w:rPr>
        <w:t xml:space="preserve">, L., </w:t>
      </w:r>
      <w:r w:rsidRPr="002A4D08">
        <w:rPr>
          <w:sz w:val="22"/>
          <w:szCs w:val="22"/>
          <w:lang w:val="en-US"/>
        </w:rPr>
        <w:t>Maes</w:t>
      </w:r>
      <w:r>
        <w:rPr>
          <w:sz w:val="22"/>
          <w:szCs w:val="22"/>
          <w:lang w:val="en-US"/>
        </w:rPr>
        <w:t xml:space="preserve">, J., </w:t>
      </w:r>
      <w:r w:rsidRPr="002A4D08">
        <w:rPr>
          <w:sz w:val="22"/>
          <w:szCs w:val="22"/>
          <w:lang w:val="en-US"/>
        </w:rPr>
        <w:t>Hartje</w:t>
      </w:r>
      <w:r>
        <w:rPr>
          <w:sz w:val="22"/>
          <w:szCs w:val="22"/>
          <w:lang w:val="en-US"/>
        </w:rPr>
        <w:t>, V. 2013 (2013), “</w:t>
      </w:r>
      <w:r w:rsidRPr="002A4D08">
        <w:rPr>
          <w:sz w:val="22"/>
          <w:szCs w:val="22"/>
          <w:lang w:val="en-US"/>
        </w:rPr>
        <w:t>Mapping Ecosystem Services' Values: Current Practice and Future Prospects</w:t>
      </w:r>
      <w:r>
        <w:rPr>
          <w:sz w:val="22"/>
          <w:szCs w:val="22"/>
          <w:lang w:val="en-US"/>
        </w:rPr>
        <w:t xml:space="preserve">”, </w:t>
      </w:r>
      <w:r w:rsidRPr="00E427DB">
        <w:rPr>
          <w:i/>
          <w:sz w:val="22"/>
          <w:szCs w:val="22"/>
          <w:lang w:val="en-US"/>
        </w:rPr>
        <w:t>Ecosystem Services Special Issue: Mapping and Modelling ESS</w:t>
      </w:r>
      <w:r>
        <w:rPr>
          <w:i/>
          <w:sz w:val="22"/>
          <w:szCs w:val="22"/>
          <w:lang w:val="en-US"/>
        </w:rPr>
        <w:t>.</w:t>
      </w:r>
    </w:p>
    <w:p w:rsidR="001C55F3" w:rsidRPr="00077991" w:rsidRDefault="001C55F3" w:rsidP="001C55F3">
      <w:pPr>
        <w:spacing w:after="0" w:line="240" w:lineRule="auto"/>
        <w:ind w:left="720" w:hanging="720"/>
      </w:pPr>
      <w:r w:rsidRPr="00691A45">
        <w:t>Tucker G.M and Evans M.I, 1997. Habitats for Birds in Europe. A conservation strategy for the wider environment. Cambridge UK: Birdlife International (Birdlife conservation series no. 6)</w:t>
      </w:r>
    </w:p>
    <w:p w:rsidR="001C55F3" w:rsidRPr="005A0A3B" w:rsidRDefault="001C55F3" w:rsidP="001C55F3">
      <w:pPr>
        <w:tabs>
          <w:tab w:val="left" w:pos="426"/>
        </w:tabs>
        <w:autoSpaceDE w:val="0"/>
        <w:autoSpaceDN w:val="0"/>
        <w:adjustRightInd w:val="0"/>
        <w:spacing w:after="0" w:line="240" w:lineRule="auto"/>
        <w:ind w:left="426" w:hanging="426"/>
        <w:rPr>
          <w:rFonts w:ascii="Times New Roman" w:hAnsi="Times New Roman" w:cs="Times New Roman"/>
          <w:color w:val="000000"/>
        </w:rPr>
      </w:pPr>
      <w:r w:rsidRPr="005A0A3B">
        <w:rPr>
          <w:rFonts w:ascii="Times New Roman" w:hAnsi="Times New Roman" w:cs="Times New Roman"/>
          <w:color w:val="000000"/>
        </w:rPr>
        <w:t xml:space="preserve">Wallace, K.. J. 2007, “Classification of ecosystem services: problems and solutions”, </w:t>
      </w:r>
      <w:r w:rsidRPr="005A0A3B">
        <w:rPr>
          <w:rFonts w:ascii="Times New Roman" w:hAnsi="Times New Roman" w:cs="Times New Roman"/>
          <w:i/>
          <w:iCs/>
          <w:color w:val="000000"/>
        </w:rPr>
        <w:t xml:space="preserve">Biological Conservation, </w:t>
      </w:r>
      <w:r w:rsidRPr="005A0A3B">
        <w:rPr>
          <w:rFonts w:ascii="Times New Roman" w:hAnsi="Times New Roman" w:cs="Times New Roman"/>
          <w:color w:val="000000"/>
        </w:rPr>
        <w:t xml:space="preserve">vol. 139, pp. 235-246. </w:t>
      </w:r>
    </w:p>
    <w:p w:rsidR="001C55F3" w:rsidRPr="00A22C45" w:rsidRDefault="001C55F3" w:rsidP="001C55F3">
      <w:pPr>
        <w:pStyle w:val="Paragraphedeliste"/>
        <w:tabs>
          <w:tab w:val="left" w:pos="426"/>
        </w:tabs>
        <w:spacing w:line="240" w:lineRule="auto"/>
        <w:ind w:left="426" w:hanging="426"/>
        <w:rPr>
          <w:b/>
          <w:color w:val="1F497D" w:themeColor="text2"/>
          <w:sz w:val="36"/>
          <w:szCs w:val="36"/>
        </w:rPr>
      </w:pPr>
      <w:r w:rsidRPr="005A0A3B">
        <w:rPr>
          <w:rFonts w:ascii="Times New Roman" w:hAnsi="Times New Roman" w:cs="Times New Roman"/>
          <w:color w:val="000000"/>
        </w:rPr>
        <w:t xml:space="preserve">Willemen, L., Hein, L &amp; Verburg, P. 2010, “Evaluating the impact of regional development policies on future landscape services”, </w:t>
      </w:r>
      <w:r w:rsidRPr="005A0A3B">
        <w:rPr>
          <w:rFonts w:ascii="Times New Roman" w:hAnsi="Times New Roman" w:cs="Times New Roman"/>
          <w:i/>
          <w:iCs/>
          <w:color w:val="000000"/>
        </w:rPr>
        <w:t xml:space="preserve">Ecological Economics, </w:t>
      </w:r>
      <w:r w:rsidRPr="005A0A3B">
        <w:rPr>
          <w:rFonts w:ascii="Times New Roman" w:hAnsi="Times New Roman" w:cs="Times New Roman"/>
          <w:color w:val="000000"/>
        </w:rPr>
        <w:t>vol. 69, pp. 2244-2254.</w:t>
      </w:r>
    </w:p>
    <w:p w:rsidR="001C55F3" w:rsidRDefault="001C55F3" w:rsidP="001C55F3">
      <w:pPr>
        <w:autoSpaceDE w:val="0"/>
        <w:autoSpaceDN w:val="0"/>
        <w:adjustRightInd w:val="0"/>
        <w:spacing w:after="0" w:line="240" w:lineRule="auto"/>
      </w:pPr>
      <w:r w:rsidRPr="008A53DA">
        <w:rPr>
          <w:b/>
          <w:noProof/>
          <w:lang w:val="fr-BE" w:eastAsia="fr-BE"/>
        </w:rPr>
        <w:lastRenderedPageBreak/>
        <w:drawing>
          <wp:inline distT="0" distB="0" distL="0" distR="0">
            <wp:extent cx="4043519" cy="716280"/>
            <wp:effectExtent l="0" t="0" r="0" b="7620"/>
            <wp:docPr id="123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4066715" cy="720389"/>
                    </a:xfrm>
                    <a:prstGeom prst="rect">
                      <a:avLst/>
                    </a:prstGeom>
                    <a:noFill/>
                    <a:ln w="9525">
                      <a:noFill/>
                      <a:miter lim="800000"/>
                      <a:headEnd/>
                      <a:tailEnd/>
                    </a:ln>
                  </pic:spPr>
                </pic:pic>
              </a:graphicData>
            </a:graphic>
          </wp:inline>
        </w:drawing>
      </w:r>
    </w:p>
    <w:p w:rsidR="001C55F3" w:rsidRDefault="001C55F3" w:rsidP="001C55F3">
      <w:pPr>
        <w:autoSpaceDE w:val="0"/>
        <w:autoSpaceDN w:val="0"/>
        <w:adjustRightInd w:val="0"/>
        <w:spacing w:after="0" w:line="240" w:lineRule="auto"/>
        <w:rPr>
          <w:rFonts w:ascii="Times New Roman" w:hAnsi="Times New Roman" w:cs="Times New Roman"/>
          <w:b/>
          <w:bCs/>
          <w:sz w:val="28"/>
          <w:szCs w:val="28"/>
        </w:rPr>
      </w:pPr>
    </w:p>
    <w:p w:rsidR="001C55F3" w:rsidRDefault="001C55F3" w:rsidP="001C55F3">
      <w:pPr>
        <w:autoSpaceDE w:val="0"/>
        <w:autoSpaceDN w:val="0"/>
        <w:adjustRightInd w:val="0"/>
        <w:spacing w:after="0" w:line="240" w:lineRule="auto"/>
        <w:rPr>
          <w:rFonts w:ascii="Times New Roman" w:hAnsi="Times New Roman" w:cs="Times New Roman"/>
          <w:b/>
          <w:bCs/>
          <w:sz w:val="28"/>
          <w:szCs w:val="28"/>
        </w:rPr>
      </w:pPr>
    </w:p>
    <w:p w:rsidR="001C55F3" w:rsidRPr="00970638" w:rsidRDefault="001C55F3" w:rsidP="001C55F3">
      <w:pPr>
        <w:autoSpaceDE w:val="0"/>
        <w:autoSpaceDN w:val="0"/>
        <w:adjustRightInd w:val="0"/>
        <w:spacing w:after="0" w:line="240" w:lineRule="auto"/>
      </w:pPr>
      <w:r w:rsidRPr="00970638">
        <w:rPr>
          <w:rFonts w:cstheme="minorHAnsi"/>
          <w:b/>
          <w:i/>
          <w:iCs/>
          <w:sz w:val="40"/>
          <w:szCs w:val="40"/>
        </w:rPr>
        <w:t xml:space="preserve">Mapping of </w:t>
      </w:r>
      <w:r>
        <w:rPr>
          <w:rFonts w:cstheme="minorHAnsi"/>
          <w:b/>
          <w:i/>
          <w:iCs/>
          <w:sz w:val="40"/>
          <w:szCs w:val="40"/>
        </w:rPr>
        <w:t>E</w:t>
      </w:r>
      <w:r w:rsidRPr="00970638">
        <w:rPr>
          <w:rFonts w:cstheme="minorHAnsi"/>
          <w:b/>
          <w:i/>
          <w:iCs/>
          <w:sz w:val="40"/>
          <w:szCs w:val="40"/>
        </w:rPr>
        <w:t xml:space="preserve">cosystems and their </w:t>
      </w:r>
      <w:r>
        <w:rPr>
          <w:rFonts w:cstheme="minorHAnsi"/>
          <w:b/>
          <w:i/>
          <w:iCs/>
          <w:sz w:val="40"/>
          <w:szCs w:val="40"/>
        </w:rPr>
        <w:t>S</w:t>
      </w:r>
      <w:r w:rsidRPr="00970638">
        <w:rPr>
          <w:rFonts w:cstheme="minorHAnsi"/>
          <w:b/>
          <w:i/>
          <w:iCs/>
          <w:sz w:val="40"/>
          <w:szCs w:val="40"/>
        </w:rPr>
        <w:t>ervices in the EU and its Member States</w:t>
      </w:r>
      <w:r>
        <w:rPr>
          <w:rFonts w:cstheme="minorHAnsi"/>
          <w:b/>
          <w:i/>
          <w:iCs/>
          <w:sz w:val="40"/>
          <w:szCs w:val="40"/>
        </w:rPr>
        <w:t xml:space="preserve"> (MESEU)</w:t>
      </w:r>
    </w:p>
    <w:p w:rsidR="001C55F3" w:rsidRPr="00970638" w:rsidRDefault="001C55F3" w:rsidP="001C55F3"/>
    <w:p w:rsidR="001C55F3" w:rsidRPr="00970638" w:rsidRDefault="001C55F3" w:rsidP="001C55F3">
      <w:pPr>
        <w:rPr>
          <w:b/>
          <w:sz w:val="28"/>
          <w:szCs w:val="28"/>
        </w:rPr>
      </w:pPr>
    </w:p>
    <w:p w:rsidR="001C55F3" w:rsidRPr="00970638" w:rsidRDefault="001C55F3" w:rsidP="001C55F3">
      <w:pPr>
        <w:autoSpaceDE w:val="0"/>
        <w:autoSpaceDN w:val="0"/>
        <w:adjustRightInd w:val="0"/>
        <w:spacing w:line="240" w:lineRule="auto"/>
        <w:rPr>
          <w:rFonts w:cstheme="minorHAnsi"/>
          <w:b/>
          <w:bCs/>
          <w:sz w:val="28"/>
          <w:szCs w:val="28"/>
        </w:rPr>
      </w:pPr>
      <w:r w:rsidRPr="00970638">
        <w:rPr>
          <w:rFonts w:cstheme="minorHAnsi"/>
          <w:b/>
          <w:bCs/>
          <w:sz w:val="28"/>
          <w:szCs w:val="28"/>
        </w:rPr>
        <w:t>ENV.B.2/SER/2012/0016</w:t>
      </w:r>
    </w:p>
    <w:p w:rsidR="001C55F3" w:rsidRPr="00970638" w:rsidRDefault="001C55F3" w:rsidP="001C55F3">
      <w:pPr>
        <w:rPr>
          <w:b/>
          <w:sz w:val="28"/>
          <w:szCs w:val="28"/>
        </w:rPr>
      </w:pPr>
      <w:r>
        <w:rPr>
          <w:b/>
          <w:sz w:val="28"/>
          <w:szCs w:val="28"/>
        </w:rPr>
        <w:t>October 31, 2013</w:t>
      </w:r>
    </w:p>
    <w:p w:rsidR="001C55F3" w:rsidRDefault="001C55F3" w:rsidP="001C55F3"/>
    <w:p w:rsidR="001C55F3" w:rsidRPr="009F72B2" w:rsidRDefault="001C55F3" w:rsidP="001C55F3">
      <w:pPr>
        <w:shd w:val="clear" w:color="auto" w:fill="C6D9F1" w:themeFill="text2" w:themeFillTint="33"/>
        <w:rPr>
          <w:b/>
          <w:sz w:val="40"/>
          <w:szCs w:val="40"/>
        </w:rPr>
      </w:pPr>
      <w:r w:rsidRPr="009F72B2">
        <w:rPr>
          <w:b/>
          <w:sz w:val="40"/>
          <w:szCs w:val="40"/>
        </w:rPr>
        <w:t>FINAL REPORT</w:t>
      </w:r>
    </w:p>
    <w:p w:rsidR="001C55F3" w:rsidRPr="00C54C24" w:rsidRDefault="001C55F3" w:rsidP="001C55F3">
      <w:pPr>
        <w:pStyle w:val="Titre2"/>
        <w:shd w:val="clear" w:color="auto" w:fill="C6D9F1" w:themeFill="text2" w:themeFillTint="33"/>
        <w:rPr>
          <w:color w:val="auto"/>
          <w:sz w:val="32"/>
          <w:szCs w:val="32"/>
        </w:rPr>
      </w:pPr>
      <w:r w:rsidRPr="009F72B2">
        <w:rPr>
          <w:color w:val="auto"/>
          <w:sz w:val="32"/>
          <w:szCs w:val="32"/>
        </w:rPr>
        <w:t>Part 5: Task 4</w:t>
      </w:r>
      <w:r w:rsidRPr="009F72B2">
        <w:rPr>
          <w:b w:val="0"/>
          <w:color w:val="auto"/>
          <w:sz w:val="32"/>
          <w:szCs w:val="32"/>
        </w:rPr>
        <w:t xml:space="preserve">- </w:t>
      </w:r>
      <w:r w:rsidRPr="009F72B2">
        <w:rPr>
          <w:color w:val="auto"/>
          <w:sz w:val="32"/>
          <w:szCs w:val="32"/>
        </w:rPr>
        <w:t>Recommendations on mapping approaches</w:t>
      </w:r>
    </w:p>
    <w:p w:rsidR="001C55F3" w:rsidRPr="0082185F" w:rsidRDefault="001C55F3" w:rsidP="001C55F3">
      <w:pPr>
        <w:rPr>
          <w:b/>
          <w:sz w:val="36"/>
          <w:szCs w:val="36"/>
          <w:highlight w:val="yellow"/>
        </w:rPr>
      </w:pPr>
    </w:p>
    <w:p w:rsidR="001C55F3" w:rsidRPr="00970638" w:rsidRDefault="001C55F3" w:rsidP="001C55F3"/>
    <w:p w:rsidR="001C55F3" w:rsidRPr="00970638" w:rsidRDefault="001C55F3" w:rsidP="001C55F3"/>
    <w:p w:rsidR="001C55F3" w:rsidRPr="00970638" w:rsidRDefault="001C55F3" w:rsidP="001C55F3">
      <w:pPr>
        <w:rPr>
          <w:b/>
        </w:rPr>
      </w:pPr>
      <w:r w:rsidRPr="00970638">
        <w:rPr>
          <w:b/>
          <w:noProof/>
          <w:lang w:val="fr-BE" w:eastAsia="fr-BE"/>
        </w:rPr>
        <w:drawing>
          <wp:inline distT="0" distB="0" distL="0" distR="0">
            <wp:extent cx="2698280" cy="477981"/>
            <wp:effectExtent l="0" t="0" r="6985" b="0"/>
            <wp:docPr id="123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Picture 18"/>
                    <pic:cNvPicPr>
                      <a:picLocks noChangeAspect="1" noChangeArrowheads="1"/>
                    </pic:cNvPicPr>
                  </pic:nvPicPr>
                  <pic:blipFill>
                    <a:blip r:embed="rId8"/>
                    <a:srcRect/>
                    <a:stretch>
                      <a:fillRect/>
                    </a:stretch>
                  </pic:blipFill>
                  <pic:spPr bwMode="auto">
                    <a:xfrm>
                      <a:off x="0" y="0"/>
                      <a:ext cx="2712954" cy="480580"/>
                    </a:xfrm>
                    <a:prstGeom prst="rect">
                      <a:avLst/>
                    </a:prstGeom>
                    <a:noFill/>
                    <a:ln w="9525">
                      <a:noFill/>
                      <a:miter lim="800000"/>
                      <a:headEnd/>
                      <a:tailEnd/>
                    </a:ln>
                  </pic:spPr>
                </pic:pic>
              </a:graphicData>
            </a:graphic>
          </wp:inline>
        </w:drawing>
      </w:r>
      <w:r w:rsidRPr="00970638">
        <w:rPr>
          <w:b/>
        </w:rPr>
        <w:tab/>
      </w:r>
      <w:r w:rsidRPr="00970638">
        <w:rPr>
          <w:b/>
        </w:rPr>
        <w:tab/>
      </w:r>
    </w:p>
    <w:p w:rsidR="001C55F3" w:rsidRPr="00970638" w:rsidRDefault="001C55F3" w:rsidP="001C55F3">
      <w:pPr>
        <w:rPr>
          <w:b/>
        </w:rPr>
      </w:pPr>
    </w:p>
    <w:p w:rsidR="001C55F3" w:rsidRPr="00970638" w:rsidRDefault="001C55F3" w:rsidP="001C55F3">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2502435" cy="540327"/>
            <wp:effectExtent l="0" t="0" r="0" b="0"/>
            <wp:docPr id="123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2" name="Picture 13"/>
                    <pic:cNvPicPr>
                      <a:picLocks noChangeAspect="1" noChangeArrowheads="1"/>
                    </pic:cNvPicPr>
                  </pic:nvPicPr>
                  <pic:blipFill>
                    <a:blip r:embed="rId9"/>
                    <a:srcRect/>
                    <a:stretch>
                      <a:fillRect/>
                    </a:stretch>
                  </pic:blipFill>
                  <pic:spPr bwMode="auto">
                    <a:xfrm>
                      <a:off x="0" y="0"/>
                      <a:ext cx="2501867" cy="540204"/>
                    </a:xfrm>
                    <a:prstGeom prst="rect">
                      <a:avLst/>
                    </a:prstGeom>
                    <a:noFill/>
                    <a:ln w="9525">
                      <a:noFill/>
                      <a:miter lim="800000"/>
                      <a:headEnd/>
                      <a:tailEnd/>
                    </a:ln>
                  </pic:spPr>
                </pic:pic>
              </a:graphicData>
            </a:graphic>
          </wp:inline>
        </w:drawing>
      </w:r>
      <w:r w:rsidRPr="00970638">
        <w:rPr>
          <w:b/>
        </w:rPr>
        <w:tab/>
      </w:r>
      <w:r w:rsidRPr="00970638">
        <w:rPr>
          <w:b/>
        </w:rPr>
        <w:tab/>
      </w:r>
      <w:r w:rsidRPr="00970638">
        <w:rPr>
          <w:b/>
          <w:noProof/>
          <w:lang w:val="fr-BE" w:eastAsia="fr-BE"/>
        </w:rPr>
        <w:drawing>
          <wp:inline distT="0" distB="0" distL="0" distR="0">
            <wp:extent cx="1794164" cy="666969"/>
            <wp:effectExtent l="0" t="0" r="0" b="0"/>
            <wp:docPr id="12311" name="Picture 25" descr="ECNC good qu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3" name="Picture 25" descr="ECNC good quality"/>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5643" cy="667519"/>
                    </a:xfrm>
                    <a:prstGeom prst="rect">
                      <a:avLst/>
                    </a:prstGeom>
                    <a:noFill/>
                    <a:ln>
                      <a:noFill/>
                    </a:ln>
                    <a:extLst/>
                  </pic:spPr>
                </pic:pic>
              </a:graphicData>
            </a:graphic>
          </wp:inline>
        </w:drawing>
      </w:r>
      <w:r w:rsidRPr="00970638">
        <w:rPr>
          <w:b/>
        </w:rPr>
        <w:tab/>
      </w:r>
    </w:p>
    <w:p w:rsidR="001C55F3" w:rsidRPr="00970638" w:rsidRDefault="001C55F3" w:rsidP="001C55F3">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sz w:val="28"/>
          <w:szCs w:val="28"/>
          <w:lang w:val="fr-BE" w:eastAsia="fr-BE"/>
        </w:rPr>
        <w:drawing>
          <wp:inline distT="0" distB="0" distL="0" distR="0">
            <wp:extent cx="1593657" cy="40386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_logo_black.tif"/>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93657" cy="403860"/>
                    </a:xfrm>
                    <a:prstGeom prst="rect">
                      <a:avLst/>
                    </a:prstGeom>
                  </pic:spPr>
                </pic:pic>
              </a:graphicData>
            </a:graphic>
          </wp:inline>
        </w:drawing>
      </w:r>
      <w:r w:rsidRPr="00970638">
        <w:rPr>
          <w:b/>
          <w:noProof/>
          <w:lang w:val="fr-BE" w:eastAsia="fr-BE"/>
        </w:rPr>
        <w:drawing>
          <wp:inline distT="0" distB="0" distL="0" distR="0">
            <wp:extent cx="852055" cy="76983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1961" cy="769745"/>
                    </a:xfrm>
                    <a:prstGeom prst="rect">
                      <a:avLst/>
                    </a:prstGeom>
                    <a:noFill/>
                    <a:ln>
                      <a:noFill/>
                    </a:ln>
                  </pic:spPr>
                </pic:pic>
              </a:graphicData>
            </a:graphic>
          </wp:inline>
        </w:drawing>
      </w:r>
      <w:r w:rsidRPr="00970638">
        <w:rPr>
          <w:b/>
          <w:sz w:val="40"/>
          <w:szCs w:val="40"/>
        </w:rPr>
        <w:tab/>
      </w:r>
      <w:r w:rsidRPr="00970638">
        <w:rPr>
          <w:b/>
          <w:sz w:val="40"/>
          <w:szCs w:val="40"/>
        </w:rPr>
        <w:tab/>
      </w:r>
      <w:r w:rsidRPr="00970638">
        <w:rPr>
          <w:b/>
          <w:noProof/>
          <w:lang w:val="fr-BE" w:eastAsia="fr-BE"/>
        </w:rPr>
        <w:drawing>
          <wp:inline distT="0" distB="0" distL="0" distR="0">
            <wp:extent cx="2030442" cy="698018"/>
            <wp:effectExtent l="0" t="0" r="8255" b="6985"/>
            <wp:docPr id="4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nbo.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29036" cy="697535"/>
                    </a:xfrm>
                    <a:prstGeom prst="rect">
                      <a:avLst/>
                    </a:prstGeom>
                  </pic:spPr>
                </pic:pic>
              </a:graphicData>
            </a:graphic>
          </wp:inline>
        </w:drawing>
      </w:r>
    </w:p>
    <w:p w:rsidR="001C55F3" w:rsidRPr="00970638" w:rsidRDefault="001C55F3" w:rsidP="001C55F3">
      <w:pPr>
        <w:pBdr>
          <w:top w:val="single" w:sz="4" w:space="1" w:color="auto"/>
          <w:left w:val="single" w:sz="4" w:space="4" w:color="auto"/>
          <w:bottom w:val="single" w:sz="4" w:space="1" w:color="auto"/>
          <w:right w:val="single" w:sz="4" w:space="4" w:color="auto"/>
        </w:pBdr>
        <w:shd w:val="clear" w:color="auto" w:fill="C6D9F1" w:themeFill="text2" w:themeFillTint="33"/>
        <w:rPr>
          <w:b/>
        </w:rPr>
      </w:pPr>
      <w:r w:rsidRPr="00970638">
        <w:rPr>
          <w:b/>
          <w:noProof/>
          <w:lang w:val="fr-BE" w:eastAsia="fr-BE"/>
        </w:rPr>
        <w:drawing>
          <wp:inline distT="0" distB="0" distL="0" distR="0">
            <wp:extent cx="1216365" cy="748532"/>
            <wp:effectExtent l="0" t="0" r="3175"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AM.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6365" cy="748532"/>
                    </a:xfrm>
                    <a:prstGeom prst="rect">
                      <a:avLst/>
                    </a:prstGeom>
                  </pic:spPr>
                </pic:pic>
              </a:graphicData>
            </a:graphic>
          </wp:inline>
        </w:drawing>
      </w:r>
      <w:r w:rsidRPr="00970638">
        <w:rPr>
          <w:b/>
        </w:rPr>
        <w:tab/>
      </w:r>
      <w:r w:rsidRPr="00970638">
        <w:rPr>
          <w:b/>
        </w:rPr>
        <w:tab/>
      </w:r>
      <w:r w:rsidRPr="00970638">
        <w:rPr>
          <w:b/>
        </w:rPr>
        <w:tab/>
      </w:r>
      <w:r w:rsidRPr="00970638">
        <w:rPr>
          <w:b/>
        </w:rPr>
        <w:tab/>
      </w:r>
      <w:r w:rsidRPr="00970638">
        <w:rPr>
          <w:b/>
        </w:rPr>
        <w:tab/>
      </w:r>
      <w:r w:rsidRPr="00970638">
        <w:rPr>
          <w:b/>
          <w:noProof/>
          <w:lang w:val="fr-BE" w:eastAsia="fr-BE"/>
        </w:rPr>
        <w:drawing>
          <wp:inline distT="0" distB="0" distL="0" distR="0">
            <wp:extent cx="2477537" cy="462357"/>
            <wp:effectExtent l="19050" t="0" r="0" b="0"/>
            <wp:docPr id="51" name="Bild 1" descr="yyUBA_logo_2010.gif"/>
            <wp:cNvGraphicFramePr/>
            <a:graphic xmlns:a="http://schemas.openxmlformats.org/drawingml/2006/main">
              <a:graphicData uri="http://schemas.openxmlformats.org/drawingml/2006/picture">
                <pic:pic xmlns:pic="http://schemas.openxmlformats.org/drawingml/2006/picture">
                  <pic:nvPicPr>
                    <pic:cNvPr id="31" name="Grafik 30" descr="yyUBA_logo_2010.gif"/>
                    <pic:cNvPicPr>
                      <a:picLocks noChangeAspect="1"/>
                    </pic:cNvPicPr>
                  </pic:nvPicPr>
                  <pic:blipFill>
                    <a:blip r:embed="rId15" cstate="screen"/>
                    <a:stretch>
                      <a:fillRect/>
                    </a:stretch>
                  </pic:blipFill>
                  <pic:spPr>
                    <a:xfrm>
                      <a:off x="0" y="0"/>
                      <a:ext cx="2477537" cy="462357"/>
                    </a:xfrm>
                    <a:prstGeom prst="rect">
                      <a:avLst/>
                    </a:prstGeom>
                    <a:solidFill>
                      <a:schemeClr val="bg1"/>
                    </a:solidFill>
                  </pic:spPr>
                </pic:pic>
              </a:graphicData>
            </a:graphic>
          </wp:inline>
        </w:drawing>
      </w:r>
    </w:p>
    <w:p w:rsidR="001C55F3" w:rsidRPr="00970638" w:rsidRDefault="001C55F3" w:rsidP="001C55F3">
      <w:pPr>
        <w:rPr>
          <w:sz w:val="28"/>
          <w:szCs w:val="28"/>
        </w:rPr>
      </w:pPr>
      <w:r w:rsidRPr="00970638">
        <w:rPr>
          <w:sz w:val="28"/>
          <w:szCs w:val="28"/>
        </w:rPr>
        <w:lastRenderedPageBreak/>
        <w:t xml:space="preserve">This </w:t>
      </w:r>
      <w:r>
        <w:rPr>
          <w:sz w:val="28"/>
          <w:szCs w:val="28"/>
        </w:rPr>
        <w:t>Final</w:t>
      </w:r>
      <w:r w:rsidRPr="00970638">
        <w:rPr>
          <w:sz w:val="28"/>
          <w:szCs w:val="28"/>
        </w:rPr>
        <w:t xml:space="preserve"> Report is submitted by:</w:t>
      </w:r>
    </w:p>
    <w:p w:rsidR="001C55F3" w:rsidRPr="00970638" w:rsidRDefault="001C55F3" w:rsidP="001C55F3">
      <w:pPr>
        <w:rPr>
          <w:b/>
          <w:sz w:val="28"/>
          <w:szCs w:val="28"/>
        </w:rPr>
      </w:pPr>
      <w:r w:rsidRPr="00970638">
        <w:rPr>
          <w:b/>
          <w:sz w:val="28"/>
          <w:szCs w:val="28"/>
        </w:rPr>
        <w:t xml:space="preserve">Alterra, </w:t>
      </w:r>
    </w:p>
    <w:p w:rsidR="001C55F3" w:rsidRPr="00970638" w:rsidRDefault="001C55F3" w:rsidP="001C55F3">
      <w:pPr>
        <w:rPr>
          <w:b/>
          <w:sz w:val="28"/>
          <w:szCs w:val="28"/>
        </w:rPr>
      </w:pPr>
      <w:r w:rsidRPr="00970638">
        <w:rPr>
          <w:b/>
          <w:sz w:val="28"/>
          <w:szCs w:val="28"/>
        </w:rPr>
        <w:t xml:space="preserve">Institute within the legal entity of Stichting DLO </w:t>
      </w:r>
    </w:p>
    <w:p w:rsidR="001C55F3" w:rsidRPr="00970638" w:rsidRDefault="001C55F3" w:rsidP="001C55F3">
      <w:pPr>
        <w:spacing w:after="0" w:line="240" w:lineRule="auto"/>
        <w:rPr>
          <w:b/>
          <w:sz w:val="28"/>
          <w:szCs w:val="28"/>
        </w:rPr>
      </w:pPr>
      <w:r w:rsidRPr="00970638">
        <w:rPr>
          <w:b/>
          <w:sz w:val="28"/>
          <w:szCs w:val="28"/>
        </w:rPr>
        <w:t>P.O. Box 47</w:t>
      </w:r>
    </w:p>
    <w:p w:rsidR="001C55F3" w:rsidRPr="00970638" w:rsidRDefault="001C55F3" w:rsidP="001C55F3">
      <w:pPr>
        <w:spacing w:after="0" w:line="240" w:lineRule="auto"/>
        <w:rPr>
          <w:b/>
          <w:sz w:val="28"/>
          <w:szCs w:val="28"/>
        </w:rPr>
      </w:pPr>
      <w:r w:rsidRPr="00970638">
        <w:rPr>
          <w:b/>
          <w:sz w:val="28"/>
          <w:szCs w:val="28"/>
        </w:rPr>
        <w:t>6700 AA, Wageningen</w:t>
      </w:r>
    </w:p>
    <w:p w:rsidR="001C55F3" w:rsidRPr="00970638" w:rsidRDefault="001C55F3" w:rsidP="001C55F3">
      <w:pPr>
        <w:spacing w:after="0" w:line="240" w:lineRule="auto"/>
        <w:rPr>
          <w:b/>
          <w:sz w:val="28"/>
          <w:szCs w:val="28"/>
        </w:rPr>
      </w:pPr>
      <w:r w:rsidRPr="00970638">
        <w:rPr>
          <w:b/>
          <w:sz w:val="28"/>
          <w:szCs w:val="28"/>
        </w:rPr>
        <w:t>The Netherlands</w:t>
      </w:r>
    </w:p>
    <w:p w:rsidR="001C55F3" w:rsidRPr="00970638" w:rsidRDefault="001C55F3" w:rsidP="001C55F3">
      <w:pPr>
        <w:spacing w:after="0" w:line="240" w:lineRule="auto"/>
        <w:rPr>
          <w:b/>
          <w:sz w:val="28"/>
          <w:szCs w:val="28"/>
        </w:rPr>
      </w:pPr>
    </w:p>
    <w:p w:rsidR="001C55F3" w:rsidRPr="00970638" w:rsidRDefault="001C55F3" w:rsidP="001C55F3">
      <w:pPr>
        <w:spacing w:after="0" w:line="240" w:lineRule="auto"/>
        <w:rPr>
          <w:b/>
          <w:sz w:val="28"/>
          <w:szCs w:val="28"/>
        </w:rPr>
      </w:pPr>
      <w:r w:rsidRPr="00970638">
        <w:rPr>
          <w:b/>
          <w:sz w:val="28"/>
          <w:szCs w:val="28"/>
        </w:rPr>
        <w:t>Building 100+101</w:t>
      </w:r>
    </w:p>
    <w:p w:rsidR="001C55F3" w:rsidRPr="00970638" w:rsidRDefault="001C55F3" w:rsidP="001C55F3">
      <w:pPr>
        <w:spacing w:after="0" w:line="240" w:lineRule="auto"/>
        <w:rPr>
          <w:b/>
          <w:sz w:val="28"/>
          <w:szCs w:val="28"/>
        </w:rPr>
      </w:pPr>
      <w:r w:rsidRPr="00970638">
        <w:rPr>
          <w:b/>
          <w:sz w:val="28"/>
          <w:szCs w:val="28"/>
        </w:rPr>
        <w:t>Droevendaalsesteeg 3</w:t>
      </w:r>
    </w:p>
    <w:p w:rsidR="001C55F3" w:rsidRPr="00970638" w:rsidRDefault="001C55F3" w:rsidP="001C55F3">
      <w:pPr>
        <w:spacing w:after="0" w:line="240" w:lineRule="auto"/>
        <w:rPr>
          <w:b/>
          <w:sz w:val="28"/>
          <w:szCs w:val="28"/>
        </w:rPr>
      </w:pPr>
      <w:r w:rsidRPr="00970638">
        <w:rPr>
          <w:b/>
          <w:sz w:val="28"/>
          <w:szCs w:val="28"/>
        </w:rPr>
        <w:t>6708 PB, Wageningen</w:t>
      </w:r>
    </w:p>
    <w:p w:rsidR="001C55F3" w:rsidRPr="00970638" w:rsidRDefault="001C55F3" w:rsidP="001C55F3">
      <w:pPr>
        <w:spacing w:after="0" w:line="240" w:lineRule="auto"/>
        <w:rPr>
          <w:b/>
          <w:sz w:val="28"/>
          <w:szCs w:val="28"/>
        </w:rPr>
      </w:pPr>
      <w:r w:rsidRPr="00970638">
        <w:rPr>
          <w:b/>
          <w:sz w:val="28"/>
          <w:szCs w:val="28"/>
        </w:rPr>
        <w:t>The Netherlands</w:t>
      </w:r>
    </w:p>
    <w:p w:rsidR="001C55F3" w:rsidRPr="00970638" w:rsidRDefault="001C55F3" w:rsidP="001C55F3">
      <w:pPr>
        <w:spacing w:after="0" w:line="240" w:lineRule="auto"/>
        <w:rPr>
          <w:b/>
          <w:sz w:val="28"/>
          <w:szCs w:val="28"/>
        </w:rPr>
      </w:pPr>
    </w:p>
    <w:p w:rsidR="001C55F3" w:rsidRPr="00970638" w:rsidRDefault="001C55F3" w:rsidP="001C55F3">
      <w:pPr>
        <w:spacing w:after="0" w:line="240" w:lineRule="auto"/>
        <w:rPr>
          <w:b/>
          <w:sz w:val="28"/>
          <w:szCs w:val="28"/>
        </w:rPr>
      </w:pPr>
    </w:p>
    <w:p w:rsidR="001C55F3" w:rsidRDefault="001C55F3" w:rsidP="001C55F3">
      <w:pPr>
        <w:spacing w:after="0" w:line="240" w:lineRule="auto"/>
        <w:rPr>
          <w:b/>
          <w:sz w:val="28"/>
          <w:szCs w:val="28"/>
        </w:rPr>
      </w:pPr>
      <w:r>
        <w:rPr>
          <w:b/>
          <w:sz w:val="28"/>
          <w:szCs w:val="28"/>
        </w:rPr>
        <w:t>Author:</w:t>
      </w:r>
    </w:p>
    <w:p w:rsidR="001C55F3" w:rsidRDefault="001C55F3" w:rsidP="001C55F3">
      <w:pPr>
        <w:spacing w:after="0" w:line="240" w:lineRule="auto"/>
        <w:rPr>
          <w:b/>
          <w:sz w:val="24"/>
          <w:szCs w:val="24"/>
        </w:rPr>
      </w:pPr>
      <w:r>
        <w:rPr>
          <w:b/>
          <w:sz w:val="24"/>
          <w:szCs w:val="24"/>
        </w:rPr>
        <w:t xml:space="preserve">L.C. Braat, </w:t>
      </w:r>
    </w:p>
    <w:p w:rsidR="001C55F3" w:rsidRPr="0078140F" w:rsidRDefault="001C55F3" w:rsidP="001C55F3">
      <w:pPr>
        <w:spacing w:after="0" w:line="240" w:lineRule="auto"/>
        <w:rPr>
          <w:b/>
          <w:sz w:val="28"/>
          <w:szCs w:val="28"/>
          <w:lang w:val="en-US"/>
        </w:rPr>
      </w:pPr>
      <w:r>
        <w:rPr>
          <w:b/>
          <w:sz w:val="24"/>
          <w:szCs w:val="24"/>
        </w:rPr>
        <w:t xml:space="preserve">with contributions from the MESEU project team </w:t>
      </w:r>
    </w:p>
    <w:p w:rsidR="001C55F3" w:rsidRPr="00A50AE2" w:rsidRDefault="001C55F3" w:rsidP="001C55F3">
      <w:pPr>
        <w:spacing w:after="0" w:line="240" w:lineRule="auto"/>
        <w:rPr>
          <w:b/>
          <w:sz w:val="28"/>
          <w:szCs w:val="28"/>
        </w:rPr>
      </w:pPr>
    </w:p>
    <w:p w:rsidR="001C55F3" w:rsidRPr="00A50AE2" w:rsidRDefault="001C55F3" w:rsidP="001C55F3">
      <w:pPr>
        <w:spacing w:after="0" w:line="240" w:lineRule="auto"/>
        <w:rPr>
          <w:b/>
          <w:sz w:val="28"/>
          <w:szCs w:val="28"/>
        </w:rPr>
      </w:pPr>
    </w:p>
    <w:p w:rsidR="001C55F3" w:rsidRPr="00A50AE2" w:rsidRDefault="001C55F3" w:rsidP="001C55F3">
      <w:pPr>
        <w:spacing w:after="0" w:line="240" w:lineRule="auto"/>
        <w:rPr>
          <w:b/>
          <w:sz w:val="28"/>
          <w:szCs w:val="28"/>
        </w:rPr>
      </w:pPr>
    </w:p>
    <w:p w:rsidR="001C55F3" w:rsidRPr="00A50AE2" w:rsidRDefault="001C55F3" w:rsidP="001C55F3">
      <w:pPr>
        <w:spacing w:after="0" w:line="240" w:lineRule="auto"/>
        <w:rPr>
          <w:b/>
          <w:sz w:val="28"/>
          <w:szCs w:val="28"/>
        </w:rPr>
      </w:pPr>
    </w:p>
    <w:p w:rsidR="001C55F3" w:rsidRPr="00A50AE2" w:rsidRDefault="001C55F3" w:rsidP="001C55F3">
      <w:pPr>
        <w:spacing w:after="0" w:line="240" w:lineRule="auto"/>
        <w:rPr>
          <w:b/>
          <w:sz w:val="28"/>
          <w:szCs w:val="28"/>
        </w:rPr>
      </w:pPr>
    </w:p>
    <w:p w:rsidR="001C55F3" w:rsidRPr="00A50AE2" w:rsidRDefault="001C55F3" w:rsidP="001C55F3">
      <w:pPr>
        <w:spacing w:after="0" w:line="240" w:lineRule="auto"/>
        <w:rPr>
          <w:b/>
          <w:sz w:val="28"/>
          <w:szCs w:val="28"/>
        </w:rPr>
      </w:pPr>
    </w:p>
    <w:p w:rsidR="001C55F3" w:rsidRPr="00970638" w:rsidRDefault="001C55F3" w:rsidP="001C55F3">
      <w:pPr>
        <w:spacing w:after="0" w:line="240" w:lineRule="auto"/>
        <w:rPr>
          <w:b/>
          <w:sz w:val="28"/>
          <w:szCs w:val="28"/>
        </w:rPr>
      </w:pPr>
      <w:r w:rsidRPr="00970638">
        <w:rPr>
          <w:b/>
          <w:sz w:val="28"/>
          <w:szCs w:val="28"/>
        </w:rPr>
        <w:t>Contact person:</w:t>
      </w:r>
    </w:p>
    <w:p w:rsidR="001C55F3" w:rsidRPr="00970638" w:rsidRDefault="001C55F3" w:rsidP="001C55F3">
      <w:pPr>
        <w:spacing w:after="0" w:line="240" w:lineRule="auto"/>
        <w:rPr>
          <w:b/>
          <w:sz w:val="28"/>
          <w:szCs w:val="28"/>
        </w:rPr>
      </w:pPr>
    </w:p>
    <w:p w:rsidR="001C55F3" w:rsidRPr="00970638" w:rsidRDefault="001C55F3" w:rsidP="001C55F3">
      <w:pPr>
        <w:spacing w:after="0" w:line="240" w:lineRule="auto"/>
        <w:rPr>
          <w:b/>
          <w:sz w:val="28"/>
          <w:szCs w:val="28"/>
        </w:rPr>
      </w:pPr>
      <w:r w:rsidRPr="00970638">
        <w:rPr>
          <w:b/>
          <w:sz w:val="28"/>
          <w:szCs w:val="28"/>
        </w:rPr>
        <w:t>Dr. Leon C. Braat</w:t>
      </w:r>
    </w:p>
    <w:p w:rsidR="001C55F3" w:rsidRPr="00970638" w:rsidRDefault="001C55F3" w:rsidP="001C55F3">
      <w:pPr>
        <w:spacing w:after="0" w:line="240" w:lineRule="auto"/>
        <w:rPr>
          <w:b/>
          <w:sz w:val="28"/>
          <w:szCs w:val="28"/>
        </w:rPr>
      </w:pPr>
    </w:p>
    <w:p w:rsidR="001C55F3" w:rsidRPr="00970638" w:rsidRDefault="001C55F3" w:rsidP="001C55F3">
      <w:pPr>
        <w:spacing w:after="0" w:line="240" w:lineRule="auto"/>
        <w:rPr>
          <w:b/>
          <w:sz w:val="28"/>
          <w:szCs w:val="28"/>
        </w:rPr>
      </w:pPr>
      <w:r w:rsidRPr="00970638">
        <w:rPr>
          <w:b/>
          <w:sz w:val="28"/>
          <w:szCs w:val="28"/>
        </w:rPr>
        <w:t xml:space="preserve">Telephone: </w:t>
      </w:r>
      <w:r w:rsidRPr="00970638">
        <w:rPr>
          <w:b/>
          <w:sz w:val="28"/>
          <w:szCs w:val="28"/>
        </w:rPr>
        <w:tab/>
      </w:r>
      <w:r w:rsidRPr="00970638">
        <w:rPr>
          <w:b/>
          <w:sz w:val="28"/>
          <w:szCs w:val="28"/>
        </w:rPr>
        <w:tab/>
        <w:t>+31 317 486473</w:t>
      </w:r>
    </w:p>
    <w:p w:rsidR="001C55F3" w:rsidRPr="00A80D6D" w:rsidRDefault="001C55F3" w:rsidP="001C55F3">
      <w:pPr>
        <w:spacing w:after="0" w:line="240" w:lineRule="auto"/>
        <w:rPr>
          <w:b/>
          <w:sz w:val="28"/>
          <w:szCs w:val="28"/>
        </w:rPr>
      </w:pPr>
      <w:r w:rsidRPr="00A80D6D">
        <w:rPr>
          <w:b/>
          <w:sz w:val="28"/>
          <w:szCs w:val="28"/>
        </w:rPr>
        <w:t>Mobile phone:</w:t>
      </w:r>
      <w:r w:rsidRPr="00A80D6D">
        <w:rPr>
          <w:b/>
          <w:sz w:val="28"/>
          <w:szCs w:val="28"/>
        </w:rPr>
        <w:tab/>
        <w:t>+31 6 18079112</w:t>
      </w:r>
    </w:p>
    <w:p w:rsidR="001C55F3" w:rsidRPr="00A80D6D" w:rsidRDefault="001C55F3" w:rsidP="001C55F3">
      <w:pPr>
        <w:spacing w:after="0" w:line="240" w:lineRule="auto"/>
        <w:rPr>
          <w:b/>
          <w:sz w:val="28"/>
          <w:szCs w:val="28"/>
        </w:rPr>
      </w:pPr>
      <w:r w:rsidRPr="00A80D6D">
        <w:rPr>
          <w:b/>
          <w:sz w:val="28"/>
          <w:szCs w:val="28"/>
        </w:rPr>
        <w:t>Fax:</w:t>
      </w:r>
      <w:r w:rsidRPr="00A80D6D">
        <w:rPr>
          <w:b/>
          <w:sz w:val="28"/>
          <w:szCs w:val="28"/>
        </w:rPr>
        <w:tab/>
      </w:r>
      <w:r w:rsidRPr="00A80D6D">
        <w:rPr>
          <w:b/>
          <w:sz w:val="28"/>
          <w:szCs w:val="28"/>
        </w:rPr>
        <w:tab/>
      </w:r>
      <w:r w:rsidRPr="00A80D6D">
        <w:rPr>
          <w:b/>
          <w:sz w:val="28"/>
          <w:szCs w:val="28"/>
        </w:rPr>
        <w:tab/>
        <w:t>+31 317 419000</w:t>
      </w:r>
    </w:p>
    <w:p w:rsidR="001C55F3" w:rsidRPr="00A80D6D" w:rsidRDefault="001C55F3" w:rsidP="001C55F3">
      <w:pPr>
        <w:spacing w:after="0" w:line="240" w:lineRule="auto"/>
        <w:rPr>
          <w:b/>
          <w:sz w:val="28"/>
          <w:szCs w:val="28"/>
        </w:rPr>
      </w:pPr>
      <w:r w:rsidRPr="00A80D6D">
        <w:rPr>
          <w:b/>
          <w:sz w:val="28"/>
          <w:szCs w:val="28"/>
        </w:rPr>
        <w:t>E-mail:</w:t>
      </w:r>
      <w:r w:rsidRPr="00A80D6D">
        <w:rPr>
          <w:b/>
          <w:sz w:val="28"/>
          <w:szCs w:val="28"/>
        </w:rPr>
        <w:tab/>
      </w:r>
      <w:r w:rsidRPr="00A80D6D">
        <w:rPr>
          <w:b/>
          <w:sz w:val="28"/>
          <w:szCs w:val="28"/>
        </w:rPr>
        <w:tab/>
        <w:t xml:space="preserve">leon.braat@wur.nl </w:t>
      </w:r>
      <w:r w:rsidRPr="00A80D6D">
        <w:rPr>
          <w:b/>
          <w:sz w:val="28"/>
          <w:szCs w:val="28"/>
        </w:rPr>
        <w:br w:type="page"/>
      </w:r>
    </w:p>
    <w:p w:rsidR="001C55F3" w:rsidRPr="00B22628" w:rsidRDefault="001C55F3" w:rsidP="001C55F3">
      <w:pPr>
        <w:rPr>
          <w:b/>
          <w:sz w:val="40"/>
          <w:szCs w:val="40"/>
        </w:rPr>
      </w:pPr>
      <w:r w:rsidRPr="00B22628">
        <w:rPr>
          <w:b/>
          <w:sz w:val="40"/>
          <w:szCs w:val="40"/>
        </w:rPr>
        <w:lastRenderedPageBreak/>
        <w:t>TABLE OF CONTENTS</w:t>
      </w:r>
    </w:p>
    <w:p w:rsidR="001C55F3" w:rsidRPr="00B81365" w:rsidRDefault="001C55F3" w:rsidP="00622218">
      <w:pPr>
        <w:pStyle w:val="Paragraphedeliste"/>
        <w:numPr>
          <w:ilvl w:val="0"/>
          <w:numId w:val="22"/>
        </w:numPr>
        <w:tabs>
          <w:tab w:val="left" w:pos="8505"/>
        </w:tabs>
        <w:spacing w:after="0" w:line="240" w:lineRule="auto"/>
        <w:ind w:hanging="720"/>
        <w:jc w:val="both"/>
        <w:rPr>
          <w:rFonts w:asciiTheme="majorHAnsi" w:hAnsiTheme="majorHAnsi" w:cstheme="minorHAnsi"/>
          <w:b/>
          <w:sz w:val="28"/>
          <w:szCs w:val="28"/>
        </w:rPr>
      </w:pPr>
      <w:r w:rsidRPr="00B81365">
        <w:rPr>
          <w:rFonts w:asciiTheme="majorHAnsi" w:hAnsiTheme="majorHAnsi" w:cstheme="minorHAnsi"/>
          <w:b/>
          <w:sz w:val="28"/>
          <w:szCs w:val="28"/>
        </w:rPr>
        <w:t>INTRODUCTION</w:t>
      </w:r>
      <w:r w:rsidRPr="00B81365">
        <w:rPr>
          <w:rFonts w:asciiTheme="majorHAnsi" w:hAnsiTheme="majorHAnsi" w:cstheme="minorHAnsi"/>
          <w:b/>
          <w:sz w:val="28"/>
          <w:szCs w:val="28"/>
        </w:rPr>
        <w:tab/>
        <w:t>4</w:t>
      </w:r>
    </w:p>
    <w:p w:rsidR="001C55F3" w:rsidRPr="00B81365" w:rsidRDefault="001C55F3" w:rsidP="001C55F3">
      <w:pPr>
        <w:pStyle w:val="Paragraphedeliste"/>
        <w:tabs>
          <w:tab w:val="left" w:pos="8505"/>
        </w:tabs>
        <w:spacing w:after="0" w:line="240" w:lineRule="auto"/>
        <w:jc w:val="both"/>
        <w:rPr>
          <w:rFonts w:asciiTheme="majorHAnsi" w:hAnsiTheme="majorHAnsi" w:cstheme="minorHAnsi"/>
          <w:b/>
          <w:sz w:val="28"/>
          <w:szCs w:val="28"/>
        </w:rPr>
      </w:pPr>
    </w:p>
    <w:p w:rsidR="001C55F3" w:rsidRPr="00B81365" w:rsidRDefault="001C55F3" w:rsidP="00622218">
      <w:pPr>
        <w:pStyle w:val="Titre2"/>
        <w:numPr>
          <w:ilvl w:val="0"/>
          <w:numId w:val="22"/>
        </w:numPr>
        <w:tabs>
          <w:tab w:val="left" w:pos="8505"/>
        </w:tabs>
        <w:spacing w:before="0" w:line="240" w:lineRule="auto"/>
        <w:ind w:hanging="720"/>
        <w:rPr>
          <w:rFonts w:eastAsia="PMingLiU"/>
          <w:color w:val="auto"/>
          <w:sz w:val="28"/>
          <w:szCs w:val="28"/>
          <w:lang w:eastAsia="zh-TW"/>
        </w:rPr>
      </w:pPr>
      <w:r w:rsidRPr="00B81365">
        <w:rPr>
          <w:rFonts w:eastAsia="PMingLiU"/>
          <w:color w:val="auto"/>
          <w:sz w:val="28"/>
          <w:szCs w:val="28"/>
          <w:lang w:eastAsia="zh-TW"/>
        </w:rPr>
        <w:t xml:space="preserve">CONTEXT AND BACKGROUND </w:t>
      </w:r>
      <w:r w:rsidRPr="00B81365">
        <w:rPr>
          <w:rFonts w:eastAsia="PMingLiU"/>
          <w:color w:val="auto"/>
          <w:sz w:val="28"/>
          <w:szCs w:val="28"/>
          <w:lang w:eastAsia="zh-TW"/>
        </w:rPr>
        <w:tab/>
        <w:t>6</w:t>
      </w:r>
    </w:p>
    <w:p w:rsidR="001C55F3" w:rsidRPr="00B81365" w:rsidRDefault="001C55F3" w:rsidP="00622218">
      <w:pPr>
        <w:pStyle w:val="Titre2"/>
        <w:numPr>
          <w:ilvl w:val="1"/>
          <w:numId w:val="23"/>
        </w:numPr>
        <w:tabs>
          <w:tab w:val="left" w:pos="8505"/>
        </w:tabs>
        <w:spacing w:before="0" w:line="240" w:lineRule="auto"/>
        <w:rPr>
          <w:rFonts w:eastAsia="PMingLiU"/>
          <w:color w:val="auto"/>
          <w:sz w:val="24"/>
          <w:szCs w:val="24"/>
          <w:lang w:eastAsia="zh-TW"/>
        </w:rPr>
      </w:pPr>
      <w:r w:rsidRPr="00B81365">
        <w:rPr>
          <w:rFonts w:eastAsia="PMingLiU"/>
          <w:color w:val="auto"/>
          <w:sz w:val="24"/>
          <w:szCs w:val="24"/>
          <w:lang w:eastAsia="zh-TW"/>
        </w:rPr>
        <w:t>Introduction</w:t>
      </w:r>
      <w:r w:rsidRPr="00B81365">
        <w:rPr>
          <w:rFonts w:eastAsia="PMingLiU"/>
          <w:color w:val="auto"/>
          <w:sz w:val="24"/>
          <w:szCs w:val="24"/>
          <w:lang w:eastAsia="zh-TW"/>
        </w:rPr>
        <w:tab/>
        <w:t>6</w:t>
      </w:r>
    </w:p>
    <w:p w:rsidR="001C55F3" w:rsidRPr="00B81365" w:rsidRDefault="001C55F3" w:rsidP="00622218">
      <w:pPr>
        <w:pStyle w:val="Titre2"/>
        <w:numPr>
          <w:ilvl w:val="1"/>
          <w:numId w:val="23"/>
        </w:numPr>
        <w:tabs>
          <w:tab w:val="left" w:pos="8505"/>
        </w:tabs>
        <w:spacing w:before="0" w:line="240" w:lineRule="auto"/>
        <w:rPr>
          <w:color w:val="auto"/>
          <w:sz w:val="24"/>
          <w:szCs w:val="24"/>
        </w:rPr>
      </w:pPr>
      <w:r w:rsidRPr="00B81365">
        <w:rPr>
          <w:color w:val="auto"/>
          <w:sz w:val="24"/>
          <w:szCs w:val="24"/>
        </w:rPr>
        <w:t>Guidance Manual examples</w:t>
      </w:r>
      <w:r w:rsidRPr="00B81365">
        <w:rPr>
          <w:color w:val="auto"/>
          <w:sz w:val="24"/>
          <w:szCs w:val="24"/>
        </w:rPr>
        <w:tab/>
        <w:t>7</w:t>
      </w:r>
    </w:p>
    <w:p w:rsidR="001C55F3" w:rsidRPr="00B81365" w:rsidRDefault="001C55F3" w:rsidP="001C55F3">
      <w:pPr>
        <w:tabs>
          <w:tab w:val="left" w:pos="8505"/>
        </w:tabs>
        <w:rPr>
          <w:sz w:val="28"/>
          <w:szCs w:val="28"/>
          <w:lang w:eastAsia="zh-TW"/>
        </w:rPr>
      </w:pPr>
    </w:p>
    <w:p w:rsidR="001C55F3" w:rsidRPr="00B81365" w:rsidRDefault="001C55F3" w:rsidP="00622218">
      <w:pPr>
        <w:pStyle w:val="Titre2"/>
        <w:numPr>
          <w:ilvl w:val="0"/>
          <w:numId w:val="23"/>
        </w:numPr>
        <w:tabs>
          <w:tab w:val="left" w:pos="8505"/>
        </w:tabs>
        <w:spacing w:before="0" w:line="240" w:lineRule="auto"/>
        <w:ind w:left="709" w:hanging="709"/>
        <w:rPr>
          <w:color w:val="auto"/>
          <w:sz w:val="28"/>
          <w:szCs w:val="28"/>
        </w:rPr>
      </w:pPr>
      <w:r w:rsidRPr="00B81365">
        <w:rPr>
          <w:color w:val="auto"/>
          <w:sz w:val="28"/>
          <w:szCs w:val="28"/>
        </w:rPr>
        <w:t>METHODOLOGY: A FLOW CHART APPROACH</w:t>
      </w:r>
      <w:r w:rsidRPr="00B81365">
        <w:rPr>
          <w:color w:val="auto"/>
          <w:sz w:val="28"/>
          <w:szCs w:val="28"/>
        </w:rPr>
        <w:tab/>
        <w:t>10</w:t>
      </w:r>
    </w:p>
    <w:p w:rsidR="001C55F3" w:rsidRPr="00B81365" w:rsidRDefault="001C55F3" w:rsidP="00622218">
      <w:pPr>
        <w:pStyle w:val="Titre2"/>
        <w:numPr>
          <w:ilvl w:val="1"/>
          <w:numId w:val="23"/>
        </w:numPr>
        <w:tabs>
          <w:tab w:val="left" w:pos="8505"/>
        </w:tabs>
        <w:spacing w:before="0" w:line="240" w:lineRule="auto"/>
        <w:rPr>
          <w:color w:val="auto"/>
          <w:sz w:val="24"/>
          <w:szCs w:val="24"/>
        </w:rPr>
      </w:pPr>
      <w:r w:rsidRPr="00B81365">
        <w:rPr>
          <w:color w:val="auto"/>
          <w:sz w:val="24"/>
          <w:szCs w:val="24"/>
          <w:lang w:eastAsia="en-GB"/>
        </w:rPr>
        <w:t>Introduction</w:t>
      </w:r>
      <w:r w:rsidRPr="00B81365">
        <w:rPr>
          <w:color w:val="auto"/>
          <w:sz w:val="24"/>
          <w:szCs w:val="24"/>
          <w:lang w:eastAsia="en-GB"/>
        </w:rPr>
        <w:tab/>
        <w:t>10</w:t>
      </w:r>
    </w:p>
    <w:p w:rsidR="001C55F3" w:rsidRPr="00B81365" w:rsidRDefault="001C55F3" w:rsidP="00622218">
      <w:pPr>
        <w:pStyle w:val="Paragraphedeliste"/>
        <w:numPr>
          <w:ilvl w:val="1"/>
          <w:numId w:val="23"/>
        </w:numPr>
        <w:tabs>
          <w:tab w:val="left" w:pos="8505"/>
        </w:tabs>
        <w:spacing w:after="0" w:line="240" w:lineRule="auto"/>
        <w:rPr>
          <w:rFonts w:asciiTheme="majorHAnsi" w:hAnsiTheme="majorHAnsi"/>
          <w:b/>
          <w:sz w:val="24"/>
          <w:szCs w:val="24"/>
          <w:lang w:eastAsia="en-GB"/>
        </w:rPr>
      </w:pPr>
      <w:r w:rsidRPr="00B81365">
        <w:rPr>
          <w:rFonts w:asciiTheme="majorHAnsi" w:hAnsiTheme="majorHAnsi"/>
          <w:b/>
          <w:sz w:val="24"/>
          <w:szCs w:val="24"/>
          <w:lang w:eastAsia="en-GB"/>
        </w:rPr>
        <w:t>Start</w:t>
      </w:r>
      <w:r w:rsidRPr="00B81365">
        <w:rPr>
          <w:rFonts w:asciiTheme="majorHAnsi" w:hAnsiTheme="majorHAnsi"/>
          <w:b/>
          <w:sz w:val="24"/>
          <w:szCs w:val="24"/>
          <w:lang w:eastAsia="en-GB"/>
        </w:rPr>
        <w:tab/>
        <w:t>11</w:t>
      </w:r>
    </w:p>
    <w:p w:rsidR="001C55F3" w:rsidRPr="00B81365" w:rsidRDefault="001C55F3" w:rsidP="00622218">
      <w:pPr>
        <w:pStyle w:val="Paragraphedeliste"/>
        <w:numPr>
          <w:ilvl w:val="1"/>
          <w:numId w:val="23"/>
        </w:numPr>
        <w:tabs>
          <w:tab w:val="left" w:pos="8505"/>
        </w:tabs>
        <w:spacing w:after="0" w:line="240" w:lineRule="auto"/>
        <w:rPr>
          <w:rFonts w:asciiTheme="majorHAnsi" w:hAnsiTheme="majorHAnsi"/>
          <w:b/>
          <w:sz w:val="24"/>
          <w:szCs w:val="24"/>
          <w:lang w:eastAsia="en-GB"/>
        </w:rPr>
      </w:pPr>
      <w:r w:rsidRPr="00B81365">
        <w:rPr>
          <w:rFonts w:asciiTheme="majorHAnsi" w:hAnsiTheme="majorHAnsi"/>
          <w:b/>
          <w:sz w:val="24"/>
          <w:szCs w:val="24"/>
          <w:lang w:eastAsia="en-GB"/>
        </w:rPr>
        <w:t>The FLOW CHART steps</w:t>
      </w:r>
      <w:r w:rsidRPr="00B81365">
        <w:rPr>
          <w:rFonts w:asciiTheme="majorHAnsi" w:hAnsiTheme="majorHAnsi"/>
          <w:b/>
          <w:sz w:val="24"/>
          <w:szCs w:val="24"/>
          <w:lang w:eastAsia="en-GB"/>
        </w:rPr>
        <w:tab/>
        <w:t>12</w:t>
      </w:r>
    </w:p>
    <w:p w:rsidR="001C55F3" w:rsidRPr="00B81365" w:rsidRDefault="001C55F3" w:rsidP="001C55F3">
      <w:pPr>
        <w:pStyle w:val="Paragraphedeliste"/>
        <w:tabs>
          <w:tab w:val="left" w:pos="8505"/>
        </w:tabs>
        <w:spacing w:after="0" w:line="240" w:lineRule="auto"/>
        <w:ind w:left="1440"/>
        <w:rPr>
          <w:rFonts w:asciiTheme="majorHAnsi" w:hAnsiTheme="majorHAnsi"/>
          <w:b/>
          <w:sz w:val="28"/>
          <w:szCs w:val="28"/>
          <w:lang w:eastAsia="en-GB"/>
        </w:rPr>
      </w:pPr>
    </w:p>
    <w:p w:rsidR="001C55F3" w:rsidRPr="00B81365" w:rsidRDefault="001C55F3" w:rsidP="00622218">
      <w:pPr>
        <w:pStyle w:val="Paragraphedeliste"/>
        <w:numPr>
          <w:ilvl w:val="0"/>
          <w:numId w:val="23"/>
        </w:numPr>
        <w:tabs>
          <w:tab w:val="left" w:pos="8505"/>
        </w:tabs>
        <w:spacing w:after="0" w:line="240" w:lineRule="auto"/>
        <w:ind w:left="709" w:hanging="709"/>
        <w:rPr>
          <w:rFonts w:asciiTheme="majorHAnsi" w:hAnsiTheme="majorHAnsi"/>
          <w:b/>
          <w:sz w:val="28"/>
          <w:szCs w:val="28"/>
          <w:lang w:eastAsia="en-GB"/>
        </w:rPr>
      </w:pPr>
      <w:r w:rsidRPr="00B81365">
        <w:rPr>
          <w:rFonts w:asciiTheme="majorHAnsi" w:hAnsiTheme="majorHAnsi"/>
          <w:b/>
          <w:sz w:val="28"/>
          <w:szCs w:val="28"/>
          <w:lang w:eastAsia="en-GB"/>
        </w:rPr>
        <w:t>CONCLUSION</w:t>
      </w:r>
      <w:r w:rsidRPr="00B81365">
        <w:rPr>
          <w:rFonts w:asciiTheme="majorHAnsi" w:hAnsiTheme="majorHAnsi"/>
          <w:b/>
          <w:sz w:val="28"/>
          <w:szCs w:val="28"/>
          <w:lang w:eastAsia="en-GB"/>
        </w:rPr>
        <w:tab/>
        <w:t>36</w:t>
      </w:r>
    </w:p>
    <w:p w:rsidR="001C55F3" w:rsidRPr="00B81365" w:rsidRDefault="001C55F3" w:rsidP="001C55F3">
      <w:pPr>
        <w:tabs>
          <w:tab w:val="left" w:pos="8505"/>
        </w:tabs>
        <w:spacing w:after="0" w:line="240" w:lineRule="auto"/>
        <w:rPr>
          <w:rFonts w:asciiTheme="majorHAnsi" w:hAnsiTheme="majorHAnsi"/>
          <w:b/>
          <w:sz w:val="28"/>
          <w:szCs w:val="28"/>
          <w:lang w:eastAsia="en-GB"/>
        </w:rPr>
      </w:pPr>
    </w:p>
    <w:p w:rsidR="001C55F3" w:rsidRPr="00B81365" w:rsidRDefault="001C55F3" w:rsidP="001C55F3">
      <w:pPr>
        <w:tabs>
          <w:tab w:val="left" w:pos="8505"/>
        </w:tabs>
        <w:spacing w:after="0" w:line="240" w:lineRule="auto"/>
        <w:rPr>
          <w:rFonts w:asciiTheme="majorHAnsi" w:hAnsiTheme="majorHAnsi"/>
          <w:b/>
          <w:sz w:val="28"/>
          <w:szCs w:val="28"/>
          <w:lang w:eastAsia="en-GB"/>
        </w:rPr>
      </w:pPr>
      <w:r w:rsidRPr="00B81365">
        <w:rPr>
          <w:rFonts w:asciiTheme="majorHAnsi" w:hAnsiTheme="majorHAnsi"/>
          <w:b/>
          <w:sz w:val="28"/>
          <w:szCs w:val="28"/>
          <w:lang w:eastAsia="en-GB"/>
        </w:rPr>
        <w:t>REFERENCES</w:t>
      </w:r>
      <w:r w:rsidRPr="00B81365">
        <w:rPr>
          <w:rFonts w:asciiTheme="majorHAnsi" w:hAnsiTheme="majorHAnsi"/>
          <w:b/>
          <w:sz w:val="28"/>
          <w:szCs w:val="28"/>
          <w:lang w:eastAsia="en-GB"/>
        </w:rPr>
        <w:tab/>
        <w:t>37</w:t>
      </w:r>
    </w:p>
    <w:p w:rsidR="001C55F3" w:rsidRPr="00B81365" w:rsidRDefault="001C55F3" w:rsidP="001C55F3">
      <w:pPr>
        <w:tabs>
          <w:tab w:val="left" w:pos="8505"/>
        </w:tabs>
        <w:spacing w:after="0" w:line="240" w:lineRule="auto"/>
        <w:rPr>
          <w:rFonts w:asciiTheme="majorHAnsi" w:eastAsiaTheme="majorEastAsia" w:hAnsiTheme="majorHAnsi" w:cstheme="majorBidi"/>
          <w:b/>
          <w:bCs/>
          <w:sz w:val="28"/>
          <w:szCs w:val="28"/>
        </w:rPr>
      </w:pPr>
      <w:r w:rsidRPr="00B81365">
        <w:rPr>
          <w:rFonts w:asciiTheme="majorHAnsi" w:hAnsiTheme="majorHAnsi"/>
          <w:sz w:val="28"/>
          <w:szCs w:val="28"/>
        </w:rPr>
        <w:br w:type="page"/>
      </w:r>
    </w:p>
    <w:p w:rsidR="001C55F3" w:rsidRPr="00C54C24" w:rsidRDefault="001C55F3" w:rsidP="00622218">
      <w:pPr>
        <w:pStyle w:val="Titre2"/>
        <w:numPr>
          <w:ilvl w:val="0"/>
          <w:numId w:val="127"/>
        </w:numPr>
        <w:ind w:hanging="720"/>
        <w:rPr>
          <w:sz w:val="36"/>
          <w:szCs w:val="36"/>
        </w:rPr>
      </w:pPr>
      <w:r>
        <w:rPr>
          <w:sz w:val="36"/>
          <w:szCs w:val="36"/>
        </w:rPr>
        <w:lastRenderedPageBreak/>
        <w:t>INTRODUCTION</w:t>
      </w:r>
    </w:p>
    <w:p w:rsidR="001C55F3" w:rsidRPr="009E712E" w:rsidRDefault="001C55F3" w:rsidP="001C55F3">
      <w:pPr>
        <w:pStyle w:val="Paragraphedeliste"/>
      </w:pPr>
    </w:p>
    <w:p w:rsidR="001C55F3" w:rsidRPr="007C04D2" w:rsidRDefault="001C55F3" w:rsidP="001C55F3">
      <w:pPr>
        <w:autoSpaceDE w:val="0"/>
        <w:autoSpaceDN w:val="0"/>
        <w:adjustRightInd w:val="0"/>
        <w:spacing w:after="0" w:line="240" w:lineRule="auto"/>
        <w:jc w:val="both"/>
        <w:rPr>
          <w:rFonts w:cstheme="minorHAnsi"/>
        </w:rPr>
      </w:pPr>
      <w:r w:rsidRPr="007C04D2">
        <w:rPr>
          <w:rFonts w:cstheme="minorHAnsi"/>
        </w:rPr>
        <w:t xml:space="preserve">Aside from the methodological challenges, the implementation of Action 5 in the Member States is </w:t>
      </w:r>
      <w:r>
        <w:rPr>
          <w:rFonts w:cstheme="minorHAnsi"/>
        </w:rPr>
        <w:t xml:space="preserve">also </w:t>
      </w:r>
      <w:r w:rsidRPr="007C04D2">
        <w:rPr>
          <w:rFonts w:cstheme="minorHAnsi"/>
        </w:rPr>
        <w:t>a major challenge in an institutional sense. The availability of expertise on assessment and mapping of ecosystems and services is very different across Europe. Some countries have advanced knowledge and technology, others have limited staff capacity and funds, as became clear from three workshops dealing with these issues (BfN/Alterra/UFZ  Workshop, Vilm, October 2011; the JRC Workshop, Ispra, April 2012; the MAES workshop, Brussels, November 2012).</w:t>
      </w:r>
    </w:p>
    <w:p w:rsidR="001C55F3" w:rsidRPr="007C04D2" w:rsidRDefault="001C55F3" w:rsidP="001C55F3">
      <w:pPr>
        <w:autoSpaceDE w:val="0"/>
        <w:autoSpaceDN w:val="0"/>
        <w:adjustRightInd w:val="0"/>
        <w:spacing w:after="0" w:line="240" w:lineRule="auto"/>
        <w:jc w:val="both"/>
        <w:rPr>
          <w:rFonts w:cstheme="minorHAnsi"/>
        </w:rPr>
      </w:pPr>
    </w:p>
    <w:p w:rsidR="001C55F3" w:rsidRDefault="001C55F3" w:rsidP="001C55F3">
      <w:pPr>
        <w:autoSpaceDE w:val="0"/>
        <w:autoSpaceDN w:val="0"/>
        <w:adjustRightInd w:val="0"/>
        <w:spacing w:after="0" w:line="240" w:lineRule="auto"/>
        <w:jc w:val="both"/>
        <w:rPr>
          <w:rFonts w:cstheme="minorHAnsi"/>
        </w:rPr>
      </w:pPr>
      <w:r w:rsidRPr="007C04D2">
        <w:rPr>
          <w:rFonts w:cstheme="minorHAnsi"/>
        </w:rPr>
        <w:t>With Task 4,  “</w:t>
      </w:r>
      <w:r w:rsidRPr="007C04D2">
        <w:rPr>
          <w:rFonts w:cstheme="minorHAnsi"/>
          <w:i/>
        </w:rPr>
        <w:t>to prepare recommendations for the implementation of promising approaches from European level to MS, and from MS level to the European level for the mapping of ecosystem services in the EU, each with short-term (by 2014), mid-term (by 2020) and long-term (after 2020) applicability” (from Invitation to Tender),</w:t>
      </w:r>
      <w:r w:rsidRPr="007C04D2">
        <w:rPr>
          <w:rFonts w:cstheme="minorHAnsi"/>
        </w:rPr>
        <w:t xml:space="preserve">the Commission aims to provide to the Member states </w:t>
      </w:r>
      <w:r w:rsidRPr="007C04D2">
        <w:rPr>
          <w:rFonts w:cstheme="minorHAnsi"/>
          <w:b/>
          <w:i/>
        </w:rPr>
        <w:t>a “customised” guidance for achieving Target 2</w:t>
      </w:r>
      <w:r>
        <w:rPr>
          <w:rFonts w:cstheme="minorHAnsi"/>
          <w:b/>
          <w:i/>
        </w:rPr>
        <w:t>, Action 5</w:t>
      </w:r>
      <w:r w:rsidRPr="007C04D2">
        <w:rPr>
          <w:rFonts w:cstheme="minorHAnsi"/>
        </w:rPr>
        <w:t xml:space="preserve">. </w:t>
      </w:r>
    </w:p>
    <w:p w:rsidR="001C55F3" w:rsidRDefault="001C55F3" w:rsidP="001C55F3">
      <w:pPr>
        <w:autoSpaceDE w:val="0"/>
        <w:autoSpaceDN w:val="0"/>
        <w:adjustRightInd w:val="0"/>
        <w:spacing w:after="0" w:line="240" w:lineRule="auto"/>
        <w:jc w:val="both"/>
        <w:rPr>
          <w:rFonts w:cstheme="minorHAnsi"/>
        </w:rPr>
      </w:pPr>
    </w:p>
    <w:p w:rsidR="001C55F3" w:rsidRPr="007C04D2" w:rsidRDefault="001C55F3" w:rsidP="001C55F3">
      <w:pPr>
        <w:autoSpaceDE w:val="0"/>
        <w:autoSpaceDN w:val="0"/>
        <w:adjustRightInd w:val="0"/>
        <w:spacing w:after="0" w:line="240" w:lineRule="auto"/>
        <w:jc w:val="both"/>
        <w:rPr>
          <w:rFonts w:cstheme="minorHAnsi"/>
        </w:rPr>
      </w:pPr>
      <w:r w:rsidRPr="007C04D2">
        <w:rPr>
          <w:rFonts w:cstheme="minorHAnsi"/>
        </w:rPr>
        <w:t>The Task is therefore the converging point of the project.  It is well understood that for an adequate assessment of the institutional situation and assessment and mapping expertise in these countries the contractor must closely work with relevant authorities in MS and on EU level.</w:t>
      </w:r>
    </w:p>
    <w:p w:rsidR="001C55F3" w:rsidRPr="007C04D2" w:rsidRDefault="001C55F3" w:rsidP="001C55F3">
      <w:pPr>
        <w:autoSpaceDE w:val="0"/>
        <w:autoSpaceDN w:val="0"/>
        <w:adjustRightInd w:val="0"/>
        <w:spacing w:after="0" w:line="240" w:lineRule="auto"/>
        <w:jc w:val="both"/>
        <w:rPr>
          <w:rFonts w:cs="Times New Roman"/>
        </w:rPr>
      </w:pPr>
    </w:p>
    <w:p w:rsidR="001C55F3" w:rsidRPr="007C04D2" w:rsidRDefault="001C55F3" w:rsidP="001C55F3">
      <w:pPr>
        <w:autoSpaceDE w:val="0"/>
        <w:autoSpaceDN w:val="0"/>
        <w:adjustRightInd w:val="0"/>
        <w:spacing w:after="0" w:line="240" w:lineRule="auto"/>
        <w:jc w:val="both"/>
        <w:rPr>
          <w:rFonts w:cstheme="minorHAnsi"/>
          <w:bCs/>
          <w:u w:val="single"/>
        </w:rPr>
      </w:pPr>
      <w:r w:rsidRPr="007C04D2">
        <w:rPr>
          <w:rFonts w:cstheme="minorHAnsi"/>
          <w:bCs/>
          <w:u w:val="single"/>
        </w:rPr>
        <w:t>Task definition in the Invitation to Tender</w:t>
      </w:r>
    </w:p>
    <w:p w:rsidR="001C55F3" w:rsidRPr="007C04D2" w:rsidRDefault="001C55F3" w:rsidP="001C55F3">
      <w:pPr>
        <w:autoSpaceDE w:val="0"/>
        <w:autoSpaceDN w:val="0"/>
        <w:adjustRightInd w:val="0"/>
        <w:spacing w:after="0" w:line="240" w:lineRule="auto"/>
        <w:ind w:left="567"/>
        <w:jc w:val="both"/>
        <w:rPr>
          <w:rFonts w:cstheme="minorHAnsi"/>
          <w:b/>
          <w:i/>
        </w:rPr>
      </w:pPr>
      <w:r w:rsidRPr="007C04D2">
        <w:rPr>
          <w:rFonts w:cstheme="minorHAnsi"/>
        </w:rPr>
        <w:t xml:space="preserve">The consortium shall develop recommendations </w:t>
      </w:r>
      <w:r w:rsidRPr="007C04D2">
        <w:rPr>
          <w:rFonts w:cstheme="minorHAnsi"/>
          <w:i/>
        </w:rPr>
        <w:t xml:space="preserve">for the implementation of promising approaches from European level to MS, and from MS level to the European level for the mapping of ecosystem services in the EU, each with short-term (by 2014), mid-term (by 2020) and long-term (after 2020) applicability </w:t>
      </w:r>
    </w:p>
    <w:p w:rsidR="001C55F3" w:rsidRPr="007C04D2" w:rsidRDefault="001C55F3" w:rsidP="001C55F3">
      <w:pPr>
        <w:autoSpaceDE w:val="0"/>
        <w:autoSpaceDN w:val="0"/>
        <w:adjustRightInd w:val="0"/>
        <w:spacing w:after="0" w:line="240" w:lineRule="auto"/>
        <w:jc w:val="both"/>
        <w:rPr>
          <w:rFonts w:cstheme="minorHAnsi"/>
        </w:rPr>
      </w:pPr>
    </w:p>
    <w:p w:rsidR="001C55F3" w:rsidRDefault="001C55F3" w:rsidP="001C55F3">
      <w:pPr>
        <w:autoSpaceDE w:val="0"/>
        <w:autoSpaceDN w:val="0"/>
        <w:adjustRightInd w:val="0"/>
        <w:spacing w:after="0" w:line="240" w:lineRule="auto"/>
        <w:jc w:val="both"/>
        <w:rPr>
          <w:rFonts w:cstheme="minorHAnsi"/>
        </w:rPr>
      </w:pPr>
      <w:r w:rsidRPr="007C04D2">
        <w:rPr>
          <w:rFonts w:cstheme="minorHAnsi"/>
        </w:rPr>
        <w:t>The focus of Task 4 is</w:t>
      </w:r>
      <w:r>
        <w:rPr>
          <w:rFonts w:cstheme="minorHAnsi"/>
        </w:rPr>
        <w:t xml:space="preserve"> thus</w:t>
      </w:r>
      <w:r w:rsidRPr="007C04D2">
        <w:rPr>
          <w:rFonts w:cstheme="minorHAnsi"/>
        </w:rPr>
        <w:t xml:space="preserve"> a “Customised Guidance Report”, which includes the relevant contextual institutional  information which allows the </w:t>
      </w:r>
      <w:r>
        <w:rPr>
          <w:rFonts w:cstheme="minorHAnsi"/>
        </w:rPr>
        <w:t xml:space="preserve">scientific and </w:t>
      </w:r>
      <w:r w:rsidRPr="007C04D2">
        <w:rPr>
          <w:rFonts w:cstheme="minorHAnsi"/>
        </w:rPr>
        <w:t xml:space="preserve">technical recommendations </w:t>
      </w:r>
      <w:r>
        <w:rPr>
          <w:rFonts w:cstheme="minorHAnsi"/>
        </w:rPr>
        <w:t xml:space="preserve">mapping and assessment, with reference of course to the Analytical Framework (Maes et al., 2013) and the Thematic Pilot studies, </w:t>
      </w:r>
      <w:r w:rsidRPr="007C04D2">
        <w:rPr>
          <w:rFonts w:cstheme="minorHAnsi"/>
        </w:rPr>
        <w:t xml:space="preserve">to fit the specific circumstances of each of the current and possibly future Member states. </w:t>
      </w:r>
    </w:p>
    <w:p w:rsidR="001C55F3" w:rsidRPr="007C04D2" w:rsidRDefault="001C55F3" w:rsidP="001C55F3">
      <w:pPr>
        <w:autoSpaceDE w:val="0"/>
        <w:autoSpaceDN w:val="0"/>
        <w:adjustRightInd w:val="0"/>
        <w:spacing w:after="0" w:line="240" w:lineRule="auto"/>
        <w:jc w:val="both"/>
        <w:rPr>
          <w:rFonts w:cstheme="minorHAnsi"/>
        </w:rPr>
      </w:pPr>
      <w:r w:rsidRPr="007C04D2">
        <w:rPr>
          <w:rFonts w:cstheme="minorHAnsi"/>
        </w:rPr>
        <w:t xml:space="preserve">The EU Wide Survey </w:t>
      </w:r>
      <w:r>
        <w:rPr>
          <w:rFonts w:cstheme="minorHAnsi"/>
        </w:rPr>
        <w:t xml:space="preserve">(see Task 1.1 ) </w:t>
      </w:r>
      <w:r w:rsidRPr="007C04D2">
        <w:rPr>
          <w:rFonts w:cstheme="minorHAnsi"/>
        </w:rPr>
        <w:t>is</w:t>
      </w:r>
      <w:r>
        <w:rPr>
          <w:rFonts w:cstheme="minorHAnsi"/>
        </w:rPr>
        <w:t xml:space="preserve"> therefore very important and so</w:t>
      </w:r>
      <w:r w:rsidRPr="007C04D2">
        <w:rPr>
          <w:rFonts w:cstheme="minorHAnsi"/>
        </w:rPr>
        <w:t xml:space="preserve"> designed </w:t>
      </w:r>
      <w:r>
        <w:rPr>
          <w:rFonts w:cstheme="minorHAnsi"/>
        </w:rPr>
        <w:t xml:space="preserve">as </w:t>
      </w:r>
      <w:r w:rsidRPr="007C04D2">
        <w:rPr>
          <w:rFonts w:cstheme="minorHAnsi"/>
        </w:rPr>
        <w:t>to provide the consortium with the relevant contextual</w:t>
      </w:r>
      <w:r>
        <w:rPr>
          <w:rFonts w:cstheme="minorHAnsi"/>
        </w:rPr>
        <w:t xml:space="preserve"> as well as State of the Art</w:t>
      </w:r>
      <w:r w:rsidRPr="007C04D2">
        <w:rPr>
          <w:rFonts w:cstheme="minorHAnsi"/>
        </w:rPr>
        <w:t xml:space="preserve"> information</w:t>
      </w:r>
      <w:r>
        <w:rPr>
          <w:rFonts w:cstheme="minorHAnsi"/>
        </w:rPr>
        <w:t xml:space="preserve"> on MAES progress in the Member States</w:t>
      </w:r>
      <w:r w:rsidRPr="007C04D2">
        <w:rPr>
          <w:rFonts w:cstheme="minorHAnsi"/>
        </w:rPr>
        <w:t xml:space="preserve">. The following comments and suggestions of the Steering Group (December 18, 2012) </w:t>
      </w:r>
      <w:r>
        <w:rPr>
          <w:rFonts w:cstheme="minorHAnsi"/>
        </w:rPr>
        <w:t>are</w:t>
      </w:r>
      <w:r w:rsidRPr="007C04D2">
        <w:rPr>
          <w:rFonts w:cstheme="minorHAnsi"/>
        </w:rPr>
        <w:t xml:space="preserve"> taken into account </w:t>
      </w:r>
      <w:r>
        <w:rPr>
          <w:rFonts w:cstheme="minorHAnsi"/>
        </w:rPr>
        <w:t>in</w:t>
      </w:r>
      <w:r w:rsidRPr="007C04D2">
        <w:rPr>
          <w:rFonts w:cstheme="minorHAnsi"/>
        </w:rPr>
        <w:t xml:space="preserve"> developing Task 4:</w:t>
      </w:r>
    </w:p>
    <w:p w:rsidR="001C55F3" w:rsidRDefault="001C55F3" w:rsidP="00622218">
      <w:pPr>
        <w:pStyle w:val="Paragraphedeliste"/>
        <w:numPr>
          <w:ilvl w:val="3"/>
          <w:numId w:val="54"/>
        </w:numPr>
        <w:spacing w:line="240" w:lineRule="auto"/>
        <w:ind w:left="567" w:hanging="567"/>
      </w:pPr>
      <w:r w:rsidRPr="007C04D2">
        <w:t xml:space="preserve">Determine which countries would need the most assistance (and what type of assistance). </w:t>
      </w:r>
    </w:p>
    <w:p w:rsidR="001C55F3" w:rsidRPr="007C04D2" w:rsidRDefault="001C55F3" w:rsidP="00622218">
      <w:pPr>
        <w:pStyle w:val="Paragraphedeliste"/>
        <w:numPr>
          <w:ilvl w:val="4"/>
          <w:numId w:val="54"/>
        </w:numPr>
        <w:spacing w:line="240" w:lineRule="auto"/>
        <w:ind w:left="1134" w:hanging="2531"/>
      </w:pPr>
      <w:r w:rsidRPr="007C04D2">
        <w:t xml:space="preserve">It is expected that the outcome of Survey activities, combined with </w:t>
      </w:r>
      <w:r>
        <w:t xml:space="preserve">the </w:t>
      </w:r>
      <w:r w:rsidRPr="007C04D2">
        <w:t xml:space="preserve">case-studies will provide relevant information on this issue. </w:t>
      </w:r>
    </w:p>
    <w:p w:rsidR="001C55F3" w:rsidRPr="007C04D2" w:rsidRDefault="001C55F3" w:rsidP="00622218">
      <w:pPr>
        <w:pStyle w:val="Paragraphedeliste"/>
        <w:numPr>
          <w:ilvl w:val="3"/>
          <w:numId w:val="54"/>
        </w:numPr>
        <w:spacing w:line="240" w:lineRule="auto"/>
        <w:ind w:left="567" w:hanging="567"/>
      </w:pPr>
      <w:r w:rsidRPr="007C04D2">
        <w:t>The  MAES methodology must be coherent but not necessarily harmonised.</w:t>
      </w:r>
    </w:p>
    <w:p w:rsidR="001C55F3" w:rsidRPr="00F043F7" w:rsidRDefault="001C55F3" w:rsidP="001C55F3">
      <w:pPr>
        <w:autoSpaceDE w:val="0"/>
        <w:autoSpaceDN w:val="0"/>
        <w:adjustRightInd w:val="0"/>
        <w:spacing w:after="0" w:line="240" w:lineRule="auto"/>
        <w:jc w:val="both"/>
        <w:rPr>
          <w:rFonts w:cstheme="minorHAnsi"/>
          <w:u w:val="single"/>
        </w:rPr>
      </w:pPr>
      <w:r w:rsidRPr="00F043F7">
        <w:rPr>
          <w:rFonts w:cstheme="minorHAnsi"/>
          <w:u w:val="single"/>
        </w:rPr>
        <w:t>Methodology Task 4</w:t>
      </w:r>
    </w:p>
    <w:p w:rsidR="001C55F3" w:rsidRPr="007C04D2" w:rsidRDefault="001C55F3" w:rsidP="001C55F3">
      <w:pPr>
        <w:autoSpaceDE w:val="0"/>
        <w:autoSpaceDN w:val="0"/>
        <w:adjustRightInd w:val="0"/>
        <w:spacing w:after="0" w:line="240" w:lineRule="auto"/>
        <w:ind w:left="426"/>
        <w:contextualSpacing/>
        <w:jc w:val="both"/>
        <w:rPr>
          <w:rFonts w:cstheme="minorHAnsi"/>
        </w:rPr>
      </w:pPr>
      <w:r w:rsidRPr="007C04D2">
        <w:rPr>
          <w:rFonts w:cstheme="minorHAnsi"/>
        </w:rPr>
        <w:t xml:space="preserve">The contractor and consortium partners shall, in addition to the contacts made to achieve Tasks 1, 2 and 3, use “structured consultation” (i.e. </w:t>
      </w:r>
      <w:r w:rsidRPr="007C04D2">
        <w:rPr>
          <w:rFonts w:cstheme="minorHAnsi"/>
          <w:i/>
        </w:rPr>
        <w:t xml:space="preserve">a structured phone-interview, </w:t>
      </w:r>
      <w:r>
        <w:rPr>
          <w:rFonts w:cstheme="minorHAnsi"/>
          <w:i/>
        </w:rPr>
        <w:t>following the EU Wide Survey</w:t>
      </w:r>
      <w:r w:rsidRPr="007C04D2">
        <w:rPr>
          <w:rFonts w:cstheme="minorHAnsi"/>
        </w:rPr>
        <w:t>)in making contact with relevant officials in member state governments, which are invol</w:t>
      </w:r>
      <w:r>
        <w:rPr>
          <w:rFonts w:cstheme="minorHAnsi"/>
        </w:rPr>
        <w:t>ved in , and/or responsible for implementation of</w:t>
      </w:r>
      <w:r w:rsidRPr="007C04D2">
        <w:rPr>
          <w:rFonts w:cstheme="minorHAnsi"/>
        </w:rPr>
        <w:t xml:space="preserve"> Target2 , Action 5 in the </w:t>
      </w:r>
      <w:r>
        <w:rPr>
          <w:rFonts w:cstheme="minorHAnsi"/>
        </w:rPr>
        <w:t>Member States.</w:t>
      </w:r>
    </w:p>
    <w:p w:rsidR="001C55F3" w:rsidRPr="007C04D2" w:rsidRDefault="001C55F3" w:rsidP="001C55F3">
      <w:pPr>
        <w:autoSpaceDE w:val="0"/>
        <w:autoSpaceDN w:val="0"/>
        <w:adjustRightInd w:val="0"/>
        <w:spacing w:after="0" w:line="240" w:lineRule="auto"/>
        <w:contextualSpacing/>
        <w:jc w:val="both"/>
        <w:rPr>
          <w:rFonts w:cstheme="minorHAnsi"/>
          <w:i/>
        </w:rPr>
      </w:pPr>
    </w:p>
    <w:p w:rsidR="001C55F3" w:rsidRPr="007C04D2" w:rsidRDefault="001C55F3" w:rsidP="001C55F3">
      <w:pPr>
        <w:autoSpaceDE w:val="0"/>
        <w:autoSpaceDN w:val="0"/>
        <w:adjustRightInd w:val="0"/>
        <w:spacing w:after="0" w:line="240" w:lineRule="auto"/>
        <w:contextualSpacing/>
        <w:jc w:val="both"/>
        <w:rPr>
          <w:rFonts w:cstheme="minorHAnsi"/>
        </w:rPr>
      </w:pPr>
      <w:r>
        <w:rPr>
          <w:rFonts w:cstheme="minorHAnsi"/>
          <w:i/>
        </w:rPr>
        <w:t>The Contractor will i</w:t>
      </w:r>
      <w:r w:rsidRPr="007C04D2">
        <w:rPr>
          <w:rFonts w:cstheme="minorHAnsi"/>
          <w:i/>
        </w:rPr>
        <w:t xml:space="preserve">n all cases use the Working Group MAES, if possible and opportune. </w:t>
      </w:r>
    </w:p>
    <w:p w:rsidR="001C55F3" w:rsidRPr="007C04D2" w:rsidRDefault="001C55F3" w:rsidP="001C55F3">
      <w:pPr>
        <w:autoSpaceDE w:val="0"/>
        <w:autoSpaceDN w:val="0"/>
        <w:adjustRightInd w:val="0"/>
        <w:spacing w:after="0" w:line="240" w:lineRule="auto"/>
        <w:jc w:val="both"/>
        <w:rPr>
          <w:rFonts w:cstheme="minorHAnsi"/>
        </w:rPr>
      </w:pPr>
    </w:p>
    <w:p w:rsidR="001C55F3" w:rsidRPr="007C04D2" w:rsidRDefault="001C55F3" w:rsidP="001C55F3">
      <w:pPr>
        <w:spacing w:after="0" w:line="240" w:lineRule="auto"/>
      </w:pPr>
      <w:r w:rsidRPr="007C04D2">
        <w:t>Additional actions to extend the methodology for Task 4:</w:t>
      </w:r>
    </w:p>
    <w:p w:rsidR="001C55F3" w:rsidRPr="007C04D2" w:rsidRDefault="001C55F3" w:rsidP="00622218">
      <w:pPr>
        <w:pStyle w:val="Paragraphedeliste"/>
        <w:numPr>
          <w:ilvl w:val="0"/>
          <w:numId w:val="126"/>
        </w:numPr>
        <w:spacing w:line="240" w:lineRule="auto"/>
      </w:pPr>
      <w:r w:rsidRPr="007C04D2">
        <w:t xml:space="preserve">Contact has been established with the US EPA Mapping group (Chapel Hill, North Carolina) to exchange experience in mapping and guidance documents. The intention is to have 2 </w:t>
      </w:r>
      <w:r w:rsidRPr="007C04D2">
        <w:lastRenderedPageBreak/>
        <w:t>exchange workshops in 2013, one in Ispra, one in Chapel Hill. No concrete appointments have been made at this point in time.</w:t>
      </w:r>
    </w:p>
    <w:p w:rsidR="001C55F3" w:rsidRPr="007C04D2" w:rsidRDefault="001C55F3" w:rsidP="00622218">
      <w:pPr>
        <w:pStyle w:val="Paragraphedeliste"/>
        <w:numPr>
          <w:ilvl w:val="0"/>
          <w:numId w:val="126"/>
        </w:numPr>
        <w:spacing w:line="240" w:lineRule="auto"/>
      </w:pPr>
      <w:r w:rsidRPr="007C04D2">
        <w:t>DG REGIO suggests making ‘</w:t>
      </w:r>
      <w:r w:rsidRPr="007C04D2">
        <w:rPr>
          <w:i/>
        </w:rPr>
        <w:t>smart-guides’</w:t>
      </w:r>
      <w:r w:rsidRPr="007C04D2">
        <w:t xml:space="preserve">  (see example by DG REGIO presented at the November 2012 MAES workshop). Th</w:t>
      </w:r>
      <w:r>
        <w:t>is</w:t>
      </w:r>
      <w:r w:rsidRPr="007C04D2">
        <w:t xml:space="preserve"> will be </w:t>
      </w:r>
      <w:r>
        <w:t>input</w:t>
      </w:r>
      <w:r w:rsidRPr="007C04D2">
        <w:t xml:space="preserve"> in the next phase of the project as preparation for the Guidance Document.</w:t>
      </w:r>
    </w:p>
    <w:p w:rsidR="001C55F3" w:rsidRPr="007C04D2" w:rsidRDefault="001C55F3" w:rsidP="00622218">
      <w:pPr>
        <w:pStyle w:val="Paragraphedeliste"/>
        <w:numPr>
          <w:ilvl w:val="0"/>
          <w:numId w:val="126"/>
        </w:numPr>
        <w:spacing w:line="240" w:lineRule="auto"/>
      </w:pPr>
      <w:r w:rsidRPr="007C04D2">
        <w:t>A Glossary will be part of the (Draft) Guidance Document .</w:t>
      </w:r>
    </w:p>
    <w:p w:rsidR="001C55F3" w:rsidRPr="007C04D2" w:rsidRDefault="001C55F3" w:rsidP="001C55F3">
      <w:pPr>
        <w:autoSpaceDE w:val="0"/>
        <w:autoSpaceDN w:val="0"/>
        <w:adjustRightInd w:val="0"/>
        <w:spacing w:after="0" w:line="240" w:lineRule="auto"/>
        <w:jc w:val="both"/>
        <w:rPr>
          <w:rFonts w:cstheme="minorHAnsi"/>
        </w:rPr>
      </w:pPr>
    </w:p>
    <w:p w:rsidR="001C55F3" w:rsidRPr="007C04D2" w:rsidRDefault="001C55F3" w:rsidP="001C55F3">
      <w:pPr>
        <w:shd w:val="clear" w:color="auto" w:fill="C6D9F1" w:themeFill="text2" w:themeFillTint="33"/>
        <w:autoSpaceDE w:val="0"/>
        <w:autoSpaceDN w:val="0"/>
        <w:adjustRightInd w:val="0"/>
        <w:spacing w:after="0" w:line="240" w:lineRule="auto"/>
        <w:ind w:firstLine="360"/>
        <w:jc w:val="both"/>
        <w:rPr>
          <w:rFonts w:cstheme="minorHAnsi"/>
          <w:b/>
        </w:rPr>
      </w:pPr>
      <w:r w:rsidRPr="007C04D2">
        <w:rPr>
          <w:rFonts w:cstheme="minorHAnsi"/>
          <w:b/>
        </w:rPr>
        <w:t>Deliverables Task 4</w:t>
      </w:r>
    </w:p>
    <w:p w:rsidR="001C55F3" w:rsidRPr="007C04D2" w:rsidRDefault="001C55F3" w:rsidP="001C55F3">
      <w:pPr>
        <w:numPr>
          <w:ilvl w:val="0"/>
          <w:numId w:val="9"/>
        </w:numPr>
        <w:shd w:val="clear" w:color="auto" w:fill="C6D9F1" w:themeFill="text2" w:themeFillTint="33"/>
        <w:autoSpaceDE w:val="0"/>
        <w:autoSpaceDN w:val="0"/>
        <w:adjustRightInd w:val="0"/>
        <w:spacing w:after="0" w:line="240" w:lineRule="auto"/>
        <w:contextualSpacing/>
        <w:jc w:val="both"/>
        <w:rPr>
          <w:rFonts w:cstheme="minorHAnsi"/>
          <w:b/>
        </w:rPr>
      </w:pPr>
      <w:r w:rsidRPr="007C04D2">
        <w:rPr>
          <w:rFonts w:cstheme="minorHAnsi"/>
          <w:b/>
        </w:rPr>
        <w:t>Overview of consultation results.</w:t>
      </w:r>
    </w:p>
    <w:p w:rsidR="001C55F3" w:rsidRPr="007C04D2" w:rsidRDefault="001C55F3" w:rsidP="001C55F3">
      <w:pPr>
        <w:numPr>
          <w:ilvl w:val="0"/>
          <w:numId w:val="9"/>
        </w:numPr>
        <w:shd w:val="clear" w:color="auto" w:fill="C6D9F1" w:themeFill="text2" w:themeFillTint="33"/>
        <w:autoSpaceDE w:val="0"/>
        <w:autoSpaceDN w:val="0"/>
        <w:adjustRightInd w:val="0"/>
        <w:spacing w:after="0" w:line="240" w:lineRule="auto"/>
        <w:contextualSpacing/>
        <w:jc w:val="both"/>
        <w:rPr>
          <w:rFonts w:cstheme="minorHAnsi"/>
          <w:b/>
        </w:rPr>
      </w:pPr>
      <w:r w:rsidRPr="007C04D2">
        <w:rPr>
          <w:rFonts w:cstheme="minorHAnsi"/>
          <w:b/>
        </w:rPr>
        <w:t xml:space="preserve">Guidance Document(s), as part of the Draft Final report, and available to be published via the EU Ecosystem Assessment Platform from the Biodiversity Information System for Europe (BISE) as stand-alone documents. </w:t>
      </w:r>
    </w:p>
    <w:p w:rsidR="001C55F3" w:rsidRDefault="001C55F3" w:rsidP="001C55F3">
      <w:pPr>
        <w:rPr>
          <w:rFonts w:asciiTheme="majorHAnsi" w:eastAsiaTheme="majorEastAsia" w:hAnsiTheme="majorHAnsi" w:cstheme="majorBidi"/>
          <w:b/>
          <w:bCs/>
          <w:color w:val="4F81BD" w:themeColor="accent1"/>
          <w:sz w:val="26"/>
          <w:szCs w:val="26"/>
        </w:rPr>
      </w:pPr>
      <w:r>
        <w:br w:type="page"/>
      </w:r>
    </w:p>
    <w:p w:rsidR="001C55F3" w:rsidRPr="00A42176" w:rsidRDefault="001C55F3" w:rsidP="00622218">
      <w:pPr>
        <w:pStyle w:val="Titre2"/>
        <w:numPr>
          <w:ilvl w:val="0"/>
          <w:numId w:val="127"/>
        </w:numPr>
        <w:spacing w:before="0" w:line="240" w:lineRule="auto"/>
        <w:ind w:hanging="720"/>
        <w:rPr>
          <w:rFonts w:eastAsia="PMingLiU"/>
          <w:sz w:val="32"/>
          <w:szCs w:val="32"/>
          <w:lang w:eastAsia="zh-TW"/>
        </w:rPr>
      </w:pPr>
      <w:r>
        <w:rPr>
          <w:rFonts w:eastAsia="PMingLiU"/>
          <w:sz w:val="32"/>
          <w:szCs w:val="32"/>
          <w:lang w:eastAsia="zh-TW"/>
        </w:rPr>
        <w:lastRenderedPageBreak/>
        <w:t>CONTEXT AND BACKGROUND</w:t>
      </w:r>
    </w:p>
    <w:p w:rsidR="001C55F3" w:rsidRPr="00A42176" w:rsidRDefault="001C55F3" w:rsidP="001C55F3">
      <w:pPr>
        <w:spacing w:line="240" w:lineRule="auto"/>
        <w:rPr>
          <w:sz w:val="32"/>
          <w:szCs w:val="32"/>
        </w:rPr>
      </w:pPr>
    </w:p>
    <w:p w:rsidR="001C55F3" w:rsidRDefault="001C55F3" w:rsidP="001C55F3">
      <w:pPr>
        <w:pStyle w:val="Titre2"/>
        <w:tabs>
          <w:tab w:val="left" w:pos="567"/>
        </w:tabs>
        <w:spacing w:before="0" w:line="240" w:lineRule="auto"/>
        <w:rPr>
          <w:rFonts w:eastAsia="PMingLiU"/>
          <w:lang w:eastAsia="zh-TW"/>
        </w:rPr>
      </w:pPr>
      <w:r>
        <w:rPr>
          <w:rFonts w:eastAsia="PMingLiU"/>
          <w:lang w:eastAsia="zh-TW"/>
        </w:rPr>
        <w:t>2.1</w:t>
      </w:r>
      <w:r>
        <w:rPr>
          <w:rFonts w:eastAsia="PMingLiU"/>
          <w:lang w:eastAsia="zh-TW"/>
        </w:rPr>
        <w:tab/>
        <w:t>Introduction</w:t>
      </w:r>
    </w:p>
    <w:p w:rsidR="001C55F3" w:rsidRDefault="001C55F3" w:rsidP="001C55F3">
      <w:pPr>
        <w:spacing w:after="0" w:line="240" w:lineRule="auto"/>
      </w:pPr>
    </w:p>
    <w:p w:rsidR="001C55F3" w:rsidRDefault="001C55F3" w:rsidP="001C55F3">
      <w:pPr>
        <w:spacing w:line="240" w:lineRule="auto"/>
      </w:pPr>
      <w:r>
        <w:t xml:space="preserve">This Part of the MESEU Final Report outlines </w:t>
      </w:r>
      <w:r w:rsidRPr="009858B9">
        <w:t xml:space="preserve"> a Guidance Document for MAES to assist the Member States in execution of Action 5 (part 1: biophysical mapping of Ecosystems and their Services) and to support the MAES Thematic Pilot projects.</w:t>
      </w:r>
      <w:r>
        <w:t xml:space="preserve"> It is not yet a Guidance Document, but rather an outline with comments from a research and development angle.</w:t>
      </w:r>
    </w:p>
    <w:p w:rsidR="001C55F3" w:rsidRDefault="001C55F3" w:rsidP="001C55F3">
      <w:pPr>
        <w:spacing w:line="240" w:lineRule="auto"/>
      </w:pPr>
      <w:r>
        <w:t>Mapping ecosystems and their services may sound like a very complicated,even somewhat mystic, activity to those who have little experience with modern approaches to mapping, including Geographical Information Systems, complex digital data sets, and remote sensing methods. It is also not easy for the uninitiated to imagine how to capture the concept of ecosystem services in maps. Even for those who are roughly familiar with both ecosystems and ecosystem services as concepts in descriptive literature and have a basic understanding of putting geographically explicit information on maps, the actual intended results of Action 5 part 1 may seem hard to achieve.</w:t>
      </w:r>
    </w:p>
    <w:p w:rsidR="001C55F3" w:rsidRPr="00330A54" w:rsidRDefault="001C55F3" w:rsidP="001C55F3">
      <w:pPr>
        <w:spacing w:line="240" w:lineRule="auto"/>
        <w:rPr>
          <w:rFonts w:ascii="Calibri" w:eastAsia="Times New Roman" w:hAnsi="Calibri"/>
        </w:rPr>
      </w:pPr>
      <w:r>
        <w:t xml:space="preserve">For those readers who have examined the Task 1, Task 2 and Task 3 reports of the present contract, the challenge may have become more real, with examples of maps developed in different country case studies, discussions of indicators and datasets involved (Task 1), of the usability of Member state reporting efforts for Action 5 purposes (Task 2) and with an overview of gaps in current knowledge and approaches and recommendations to deal with them (Task 3). But both discussions with the Working Group MAES, with some of the people involved in the EU Thematic Pilots and with fellow scientists in various workshops and conferences in the past few years,  and the responses to presentations of  interim results and alternative ideas about mapping indicate  that a “systematic, easy to grasp, guidance document” for teams of policy makers, scientists and mapping experts in the Member states would be a helpful tool. The EU wide survey results (part of Task 1) confirm this impression. </w:t>
      </w:r>
    </w:p>
    <w:p w:rsidR="001C55F3" w:rsidRPr="009858B9" w:rsidRDefault="001C55F3" w:rsidP="001C55F3">
      <w:pPr>
        <w:spacing w:line="240" w:lineRule="auto"/>
      </w:pPr>
      <w:r>
        <w:t>So, in the past few months we have developed a rather straightforward method (some call it technocratic)  to introduce knowledge, methods and examples to B</w:t>
      </w:r>
      <w:r w:rsidRPr="009858B9">
        <w:t>iophysical mapping of Ecosystems and their Services</w:t>
      </w:r>
      <w:r>
        <w:t>, using a well-known visualisation in Flow Charts, used widely in the business community, in the ICT community and some areas of science.  Part of the contractual work was to test the approach by consultation with the relevant parties. This we have done by presenting the approach in the Steering Group, in a workshop with the co-leaders of the MAES thematic pilots and in the WG MAES meeting of September 18</w:t>
      </w:r>
      <w:r w:rsidRPr="00AC0CB3">
        <w:rPr>
          <w:vertAlign w:val="superscript"/>
        </w:rPr>
        <w:t>th</w:t>
      </w:r>
      <w:r>
        <w:t>. The first version were available on CIRCA for the WG MAES participants over the summer of 2013. The response has overall been “neutral”, that is: no criticism and no questions. There has been no inquiry directly to the contractor based on the report on CIRCA. We conclude that at the current level of abstraction the flow charts still do not resonate with the intended users. Therefore, in this Draft Final Report on Task 4, we have added more explanatory text and illustrative examples. We are convinced however that the ultimate test of its adequacy is in actually using it in a hands on mapping.  As this is not part of the first year workprogram, the version we present here of the Guidance Document to Mapping</w:t>
      </w:r>
      <w:r w:rsidRPr="009858B9">
        <w:t>of Ecosystems and their Services</w:t>
      </w:r>
      <w:r>
        <w:t xml:space="preserve"> will be untested and labelled version 0.2 (version 0.1 was the first version made available in June 2013).</w:t>
      </w:r>
    </w:p>
    <w:p w:rsidR="001C55F3" w:rsidRPr="0091128A" w:rsidRDefault="001C55F3" w:rsidP="001C55F3">
      <w:pPr>
        <w:spacing w:line="240" w:lineRule="auto"/>
      </w:pPr>
      <w:r>
        <w:t>To provide a contextual background, i</w:t>
      </w:r>
      <w:r w:rsidRPr="009858B9">
        <w:t xml:space="preserve">n </w:t>
      </w:r>
      <w:r>
        <w:t>Section 2</w:t>
      </w:r>
      <w:r w:rsidRPr="009858B9">
        <w:t>.2 a number of existing guidance manuals developed for similar assessment purposes are reviewed.</w:t>
      </w:r>
      <w:r w:rsidRPr="0091128A">
        <w:t xml:space="preserve">The Manuals 1,2,3, and 4 are in related domains of ecosystem services (e.g. Millennium Ecosystem Assessment and TEEB). The Manual in example 5 is a Guidance Document of DG ENV for Non-Energy Mineral Extraction and Natura 2000. </w:t>
      </w:r>
    </w:p>
    <w:p w:rsidR="001C55F3" w:rsidRPr="009858B9" w:rsidRDefault="001C55F3" w:rsidP="001C55F3">
      <w:pPr>
        <w:spacing w:line="240" w:lineRule="auto"/>
      </w:pPr>
      <w:r w:rsidRPr="009858B9">
        <w:lastRenderedPageBreak/>
        <w:t xml:space="preserve">In </w:t>
      </w:r>
      <w:r>
        <w:t>Section 3the</w:t>
      </w:r>
      <w:r w:rsidRPr="009858B9">
        <w:t xml:space="preserve"> flow chart approach is presented, which functions as the backbone of the Guidance Manual for MAES. Illustrative examples of relevant steps in the charts are provided, and presented to the WG MAES for consultation. </w:t>
      </w:r>
      <w:r>
        <w:t>The intention is to test the Guidance Manual in a workshop context for a limited number of countries before delivering it to the Member States for actual use in Action 5 implementation. We present a few concluding remarks in Section 4.</w:t>
      </w:r>
    </w:p>
    <w:p w:rsidR="001C55F3" w:rsidRDefault="001C55F3" w:rsidP="00622218">
      <w:pPr>
        <w:pStyle w:val="Titre2"/>
        <w:numPr>
          <w:ilvl w:val="1"/>
          <w:numId w:val="128"/>
        </w:numPr>
        <w:ind w:left="851" w:hanging="851"/>
      </w:pPr>
      <w:r>
        <w:t>Guidance Manuals examples</w:t>
      </w:r>
    </w:p>
    <w:p w:rsidR="001C55F3" w:rsidRDefault="001C55F3" w:rsidP="001C55F3">
      <w:pPr>
        <w:pStyle w:val="Titre2"/>
        <w:spacing w:line="240" w:lineRule="auto"/>
        <w:rPr>
          <w:rFonts w:asciiTheme="minorHAnsi" w:hAnsiTheme="minorHAnsi"/>
          <w:b w:val="0"/>
          <w:color w:val="auto"/>
          <w:sz w:val="22"/>
          <w:szCs w:val="22"/>
        </w:rPr>
      </w:pPr>
      <w:r>
        <w:rPr>
          <w:rFonts w:asciiTheme="minorHAnsi" w:hAnsiTheme="minorHAnsi"/>
          <w:b w:val="0"/>
          <w:color w:val="auto"/>
          <w:sz w:val="22"/>
          <w:szCs w:val="22"/>
        </w:rPr>
        <w:t>We have examined a series of Guidance documents, and selected the following five reports on the basis of their expected usefulness to develop a Guidance Manual for MAES Member State mapping activities. To capture the essence of the respective examples in this exploratory chapter we have copied some of the diagrams or summary texts.</w:t>
      </w:r>
    </w:p>
    <w:p w:rsidR="001C55F3" w:rsidRDefault="001C55F3" w:rsidP="001C55F3">
      <w:pPr>
        <w:pStyle w:val="Titre2"/>
        <w:spacing w:before="0" w:line="240" w:lineRule="auto"/>
        <w:rPr>
          <w:color w:val="auto"/>
        </w:rPr>
      </w:pPr>
    </w:p>
    <w:p w:rsidR="001C55F3" w:rsidRDefault="001C55F3" w:rsidP="00622218">
      <w:pPr>
        <w:pStyle w:val="Paragraphedeliste"/>
        <w:numPr>
          <w:ilvl w:val="1"/>
          <w:numId w:val="117"/>
        </w:numPr>
        <w:ind w:left="567" w:hanging="567"/>
        <w:rPr>
          <w:b/>
        </w:rPr>
      </w:pPr>
      <w:r>
        <w:rPr>
          <w:rFonts w:cs="Calibri,Bold"/>
          <w:b/>
          <w:bCs/>
        </w:rPr>
        <w:t xml:space="preserve">A blueprint for mapping and modelling ecosystem services (2013) </w:t>
      </w:r>
      <w:r>
        <w:rPr>
          <w:rFonts w:cs="Calibri"/>
          <w:b/>
        </w:rPr>
        <w:t>Neville D. Crossmanet al. , in Ecosystem Services, Vol 4.</w:t>
      </w:r>
    </w:p>
    <w:p w:rsidR="001C55F3" w:rsidRDefault="001C55F3" w:rsidP="001C55F3">
      <w:pPr>
        <w:autoSpaceDE w:val="0"/>
        <w:autoSpaceDN w:val="0"/>
        <w:adjustRightInd w:val="0"/>
        <w:spacing w:after="0" w:line="240" w:lineRule="auto"/>
        <w:rPr>
          <w:rFonts w:ascii="Calibri" w:hAnsi="Calibri" w:cs="Calibri"/>
          <w:b/>
        </w:rPr>
      </w:pPr>
      <w:r>
        <w:rPr>
          <w:rFonts w:ascii="Calibri" w:hAnsi="Calibri" w:cs="Calibri"/>
        </w:rPr>
        <w:t xml:space="preserve">This paper is the first of the Special Issue of the Ecosystem Services scientific journal, which has appeared in July 2013. In this paper the authors develop and test </w:t>
      </w:r>
      <w:r>
        <w:rPr>
          <w:rFonts w:ascii="Calibri" w:hAnsi="Calibri" w:cs="Calibri"/>
          <w:b/>
          <w:u w:val="single"/>
        </w:rPr>
        <w:t>a blueprint to give guidance on modelling and mapping ecosystem services</w:t>
      </w:r>
      <w:r>
        <w:rPr>
          <w:rFonts w:ascii="Calibri" w:hAnsi="Calibri" w:cs="Calibri"/>
          <w:b/>
        </w:rPr>
        <w:t xml:space="preserve">. </w:t>
      </w:r>
    </w:p>
    <w:p w:rsidR="001C55F3" w:rsidRDefault="001C55F3" w:rsidP="001C55F3">
      <w:pPr>
        <w:autoSpaceDE w:val="0"/>
        <w:autoSpaceDN w:val="0"/>
        <w:adjustRightInd w:val="0"/>
        <w:spacing w:after="0" w:line="240" w:lineRule="auto"/>
        <w:rPr>
          <w:rFonts w:ascii="Calibri" w:hAnsi="Calibri" w:cs="Calibri"/>
        </w:rPr>
      </w:pPr>
    </w:p>
    <w:p w:rsidR="001C55F3" w:rsidRDefault="001C55F3" w:rsidP="001C55F3">
      <w:pPr>
        <w:autoSpaceDE w:val="0"/>
        <w:autoSpaceDN w:val="0"/>
        <w:adjustRightInd w:val="0"/>
        <w:spacing w:after="0" w:line="240" w:lineRule="auto"/>
        <w:rPr>
          <w:rFonts w:ascii="Calibri" w:hAnsi="Calibri" w:cs="Calibri"/>
        </w:rPr>
      </w:pPr>
      <w:r>
        <w:rPr>
          <w:rFonts w:ascii="Calibri" w:hAnsi="Calibri" w:cs="Calibri"/>
          <w:i/>
        </w:rPr>
        <w:t>“ The primary purpose of this blueprint is to provide a template and checklist of information needed for those beginning an ecosystem service modelling and mapping study. A secondary purpose is to provide, over time, a database of completed blueprints that becomes a valuable information resource of methods and information used in previous modelling and mapping studies. We base our blueprint on a literature review, expert opinions and critical assessment of existing techniques used to model and map ecosystem services. A tool such as the blueprint presented here will reduce the uncertainty associated with quantifying ecosystem services and thereby help to close the gap between theory and practice” .</w:t>
      </w:r>
      <w:r>
        <w:rPr>
          <w:rFonts w:ascii="Calibri" w:hAnsi="Calibri" w:cs="Calibri"/>
        </w:rPr>
        <w:t xml:space="preserve">(adapted version of the </w:t>
      </w:r>
      <w:r>
        <w:rPr>
          <w:rFonts w:ascii="Calibri" w:hAnsi="Calibri" w:cs="Calibri"/>
          <w:i/>
        </w:rPr>
        <w:t>abstract of the paper</w:t>
      </w:r>
      <w:r>
        <w:rPr>
          <w:rFonts w:ascii="Calibri" w:hAnsi="Calibri" w:cs="Calibri"/>
        </w:rPr>
        <w:t>)</w:t>
      </w:r>
    </w:p>
    <w:p w:rsidR="001C55F3" w:rsidRDefault="001C55F3" w:rsidP="001C55F3">
      <w:pPr>
        <w:autoSpaceDE w:val="0"/>
        <w:autoSpaceDN w:val="0"/>
        <w:adjustRightInd w:val="0"/>
        <w:spacing w:after="0" w:line="240" w:lineRule="auto"/>
        <w:rPr>
          <w:rFonts w:ascii="Calibri" w:hAnsi="Calibri" w:cs="Calibri"/>
        </w:rPr>
      </w:pPr>
      <w:r>
        <w:rPr>
          <w:rFonts w:ascii="Calibri" w:hAnsi="Calibri" w:cs="Calibri"/>
        </w:rPr>
        <w:t xml:space="preserve">The Special issue contains papers on mapping and modelling ecosystem services, both the biophysical and the economic, and both more theoretical comprehensive and pragmatic specific case based. </w:t>
      </w:r>
    </w:p>
    <w:p w:rsidR="001C55F3" w:rsidRDefault="001C55F3" w:rsidP="001C55F3">
      <w:pPr>
        <w:autoSpaceDE w:val="0"/>
        <w:autoSpaceDN w:val="0"/>
        <w:adjustRightInd w:val="0"/>
        <w:spacing w:after="0" w:line="240" w:lineRule="auto"/>
        <w:ind w:left="360"/>
      </w:pPr>
    </w:p>
    <w:p w:rsidR="001C55F3" w:rsidRDefault="001C55F3" w:rsidP="00622218">
      <w:pPr>
        <w:pStyle w:val="Paragraphedeliste"/>
        <w:numPr>
          <w:ilvl w:val="1"/>
          <w:numId w:val="117"/>
        </w:numPr>
        <w:ind w:left="567" w:hanging="567"/>
        <w:rPr>
          <w:b/>
        </w:rPr>
      </w:pPr>
      <w:r>
        <w:rPr>
          <w:b/>
        </w:rPr>
        <w:t>Guidance Manual for TEEB Country Studies version 1.0 (May 2013) UNEP-TEEB</w:t>
      </w:r>
    </w:p>
    <w:p w:rsidR="001C55F3" w:rsidRDefault="001C55F3" w:rsidP="001C55F3">
      <w:pPr>
        <w:autoSpaceDE w:val="0"/>
        <w:autoSpaceDN w:val="0"/>
        <w:adjustRightInd w:val="0"/>
        <w:spacing w:after="0" w:line="240" w:lineRule="auto"/>
        <w:rPr>
          <w:rFonts w:cs="HelveticaNeue-Light"/>
        </w:rPr>
      </w:pPr>
      <w:r>
        <w:rPr>
          <w:rFonts w:cs="HelveticaNeue-Light"/>
        </w:rPr>
        <w:t xml:space="preserve">After a series of reports and books, starting in 2008 , the TEEB project produced a Guidance Manual for TEEB Country Studies in spring 2013. At the core is the 6-step procedure (see Table of contents below). The Manual does not pay specific attention to Mapping, but seems quite useful for its overall structure and its illustrative use of textboxes with real world examples.It  is designed to provide: </w:t>
      </w:r>
    </w:p>
    <w:p w:rsidR="001C55F3" w:rsidRDefault="001C55F3" w:rsidP="001C55F3">
      <w:pPr>
        <w:autoSpaceDE w:val="0"/>
        <w:autoSpaceDN w:val="0"/>
        <w:adjustRightInd w:val="0"/>
        <w:spacing w:after="0" w:line="240" w:lineRule="auto"/>
        <w:ind w:left="720" w:hanging="436"/>
        <w:rPr>
          <w:rFonts w:cs="HelveticaNeue-Light"/>
          <w:i/>
        </w:rPr>
      </w:pPr>
      <w:r>
        <w:rPr>
          <w:rFonts w:cs="HelveticaNeue-Light"/>
        </w:rPr>
        <w:t xml:space="preserve">1. </w:t>
      </w:r>
      <w:r>
        <w:rPr>
          <w:rFonts w:cs="HelveticaNeue-Light"/>
        </w:rPr>
        <w:tab/>
      </w:r>
      <w:r>
        <w:rPr>
          <w:rFonts w:cs="HelveticaNeue-Light"/>
          <w:i/>
        </w:rPr>
        <w:t xml:space="preserve">An overview of what TEEB is about and how the approach could be used by countries interested in conducting a TEEB country study (TCS). </w:t>
      </w:r>
    </w:p>
    <w:p w:rsidR="001C55F3" w:rsidRDefault="001C55F3" w:rsidP="001C55F3">
      <w:pPr>
        <w:autoSpaceDE w:val="0"/>
        <w:autoSpaceDN w:val="0"/>
        <w:adjustRightInd w:val="0"/>
        <w:spacing w:after="0" w:line="240" w:lineRule="auto"/>
        <w:ind w:left="720" w:hanging="436"/>
        <w:rPr>
          <w:rFonts w:cs="HelveticaNeue-Light"/>
          <w:i/>
        </w:rPr>
      </w:pPr>
      <w:r>
        <w:rPr>
          <w:rFonts w:cs="HelveticaNeue-Light"/>
          <w:i/>
        </w:rPr>
        <w:t xml:space="preserve">2. </w:t>
      </w:r>
      <w:r>
        <w:rPr>
          <w:rFonts w:cs="HelveticaNeue-Light"/>
          <w:i/>
        </w:rPr>
        <w:tab/>
        <w:t xml:space="preserve">Practical information on scoping to identify (a) what studies should be done and (b) how to set up the process of conducting a TEEB country study. </w:t>
      </w:r>
    </w:p>
    <w:p w:rsidR="001C55F3" w:rsidRDefault="001C55F3" w:rsidP="001C55F3">
      <w:pPr>
        <w:autoSpaceDE w:val="0"/>
        <w:autoSpaceDN w:val="0"/>
        <w:adjustRightInd w:val="0"/>
        <w:spacing w:after="0" w:line="240" w:lineRule="auto"/>
        <w:ind w:left="720" w:hanging="436"/>
        <w:rPr>
          <w:rFonts w:cs="HelveticaNeue-Light"/>
          <w:i/>
        </w:rPr>
      </w:pPr>
      <w:r>
        <w:rPr>
          <w:rFonts w:cs="HelveticaNeue-Light"/>
          <w:i/>
        </w:rPr>
        <w:t xml:space="preserve">3. </w:t>
      </w:r>
      <w:r>
        <w:rPr>
          <w:rFonts w:cs="HelveticaNeue-Light"/>
          <w:i/>
        </w:rPr>
        <w:tab/>
      </w:r>
      <w:r>
        <w:rPr>
          <w:rFonts w:cs="HelveticaNeue-Light"/>
          <w:b/>
          <w:i/>
          <w:u w:val="single"/>
        </w:rPr>
        <w:t>Step by step guidance</w:t>
      </w:r>
      <w:r>
        <w:rPr>
          <w:rFonts w:cs="HelveticaNeue-Light"/>
          <w:i/>
        </w:rPr>
        <w:t xml:space="preserve"> on how to apply the TEEB approach for conducting a country level study with a firm foundation in the country’s policy priorities. </w:t>
      </w:r>
    </w:p>
    <w:p w:rsidR="001C55F3" w:rsidRDefault="001C55F3" w:rsidP="001C55F3">
      <w:pPr>
        <w:autoSpaceDE w:val="0"/>
        <w:autoSpaceDN w:val="0"/>
        <w:adjustRightInd w:val="0"/>
        <w:spacing w:after="0" w:line="240" w:lineRule="auto"/>
        <w:ind w:left="720" w:hanging="436"/>
        <w:rPr>
          <w:rFonts w:cs="HelveticaNeue-Light"/>
          <w:i/>
        </w:rPr>
      </w:pPr>
      <w:r>
        <w:rPr>
          <w:rFonts w:cs="HelveticaNeue-Light"/>
          <w:i/>
        </w:rPr>
        <w:t xml:space="preserve">4. </w:t>
      </w:r>
      <w:r>
        <w:rPr>
          <w:rFonts w:cs="HelveticaNeue-Light"/>
          <w:i/>
        </w:rPr>
        <w:tab/>
        <w:t xml:space="preserve">Guidance on how to communicate the results, implement the policy recommendations at the practical level and support possible follow-up initiatives to the study. </w:t>
      </w:r>
    </w:p>
    <w:p w:rsidR="001C55F3" w:rsidRDefault="001C55F3" w:rsidP="001C55F3">
      <w:pPr>
        <w:autoSpaceDE w:val="0"/>
        <w:autoSpaceDN w:val="0"/>
        <w:adjustRightInd w:val="0"/>
        <w:spacing w:after="0" w:line="240" w:lineRule="auto"/>
        <w:ind w:left="720" w:hanging="436"/>
        <w:rPr>
          <w:rFonts w:cs="HelveticaNeue-Light"/>
          <w:i/>
        </w:rPr>
      </w:pPr>
      <w:r>
        <w:rPr>
          <w:rFonts w:cs="HelveticaNeue-Light"/>
          <w:i/>
        </w:rPr>
        <w:t xml:space="preserve">5. </w:t>
      </w:r>
      <w:r>
        <w:rPr>
          <w:rFonts w:cs="HelveticaNeue-Light"/>
          <w:i/>
        </w:rPr>
        <w:tab/>
        <w:t xml:space="preserve">Guidance on the process to follow in order to get the TCS peer-reviewed and endorsed by the Advisory Board of the international TEEB initiative as a formal “TEEB Country Study”. </w:t>
      </w:r>
    </w:p>
    <w:p w:rsidR="001C55F3" w:rsidRDefault="001C55F3" w:rsidP="001C55F3">
      <w:pPr>
        <w:autoSpaceDE w:val="0"/>
        <w:autoSpaceDN w:val="0"/>
        <w:adjustRightInd w:val="0"/>
        <w:spacing w:after="0" w:line="240" w:lineRule="auto"/>
        <w:ind w:left="720" w:hanging="436"/>
        <w:rPr>
          <w:rFonts w:cs="HelveticaNeue-Light"/>
          <w:i/>
        </w:rPr>
      </w:pPr>
      <w:r>
        <w:rPr>
          <w:rFonts w:cs="HelveticaNeue-Light"/>
          <w:i/>
        </w:rPr>
        <w:t xml:space="preserve">6. </w:t>
      </w:r>
      <w:r>
        <w:rPr>
          <w:rFonts w:cs="HelveticaNeue-Light"/>
          <w:i/>
        </w:rPr>
        <w:tab/>
        <w:t xml:space="preserve">An extensive list of references and links to other useful guidance. </w:t>
      </w:r>
    </w:p>
    <w:p w:rsidR="001C55F3" w:rsidRDefault="001C55F3" w:rsidP="001C55F3">
      <w:pPr>
        <w:autoSpaceDE w:val="0"/>
        <w:autoSpaceDN w:val="0"/>
        <w:adjustRightInd w:val="0"/>
        <w:spacing w:after="0" w:line="240" w:lineRule="auto"/>
        <w:rPr>
          <w:rFonts w:cs="HelveticaNeue-LightItalic"/>
          <w:i/>
          <w:iCs/>
        </w:rPr>
      </w:pPr>
      <w:r>
        <w:rPr>
          <w:rFonts w:cs="HelveticaNeue-LightItalic"/>
          <w:i/>
          <w:iCs/>
        </w:rPr>
        <w:t>In addition the TCS guidance webpage (</w:t>
      </w:r>
      <w:hyperlink r:id="rId137" w:history="1">
        <w:r>
          <w:rPr>
            <w:rStyle w:val="Lienhypertexte"/>
            <w:rFonts w:cs="HelveticaNeue-LightItalic"/>
            <w:i/>
            <w:iCs/>
          </w:rPr>
          <w:t>www.teebweb.org/</w:t>
        </w:r>
      </w:hyperlink>
      <w:r>
        <w:rPr>
          <w:rFonts w:cs="HelveticaNeue-LightItalic"/>
          <w:i/>
          <w:iCs/>
        </w:rPr>
        <w:t>teeb-implementation/national-studies/) provides examples of elements from other TEEB country studies (scoping, TORs, stakeholder involvement, etc.).</w:t>
      </w:r>
    </w:p>
    <w:p w:rsidR="001C55F3" w:rsidRDefault="001C55F3" w:rsidP="00622218">
      <w:pPr>
        <w:pStyle w:val="Paragraphedeliste"/>
        <w:numPr>
          <w:ilvl w:val="1"/>
          <w:numId w:val="117"/>
        </w:numPr>
        <w:autoSpaceDE w:val="0"/>
        <w:autoSpaceDN w:val="0"/>
        <w:adjustRightInd w:val="0"/>
        <w:spacing w:after="0" w:line="240" w:lineRule="auto"/>
        <w:ind w:left="567" w:hanging="567"/>
        <w:rPr>
          <w:rFonts w:cs="Gravur-CondensedLight"/>
          <w:b/>
          <w:color w:val="616265"/>
        </w:rPr>
      </w:pPr>
      <w:r>
        <w:rPr>
          <w:rFonts w:cs="Gravur-CondensedBold"/>
          <w:b/>
          <w:bCs/>
        </w:rPr>
        <w:lastRenderedPageBreak/>
        <w:t>GIZ, Integrating Ecosystem Services into Development Planning</w:t>
      </w:r>
      <w:r>
        <w:rPr>
          <w:rFonts w:cs="Gravur-Condensed"/>
          <w:b/>
        </w:rPr>
        <w:t xml:space="preserve"> A stepwise approach for practitioners based on the TEEB approach. </w:t>
      </w:r>
      <w:r>
        <w:rPr>
          <w:rFonts w:cs="Gravur-CondensedLight"/>
          <w:b/>
        </w:rPr>
        <w:t>Deutsche Gesellschaft für Internationale Zusammenarbeit (GIZ) GmbH</w:t>
      </w:r>
      <w:r>
        <w:rPr>
          <w:b/>
        </w:rPr>
        <w:t xml:space="preserve"> (2012)</w:t>
      </w:r>
    </w:p>
    <w:p w:rsidR="001C55F3" w:rsidRDefault="001C55F3" w:rsidP="001C55F3">
      <w:pPr>
        <w:pStyle w:val="Paragraphedeliste"/>
        <w:autoSpaceDE w:val="0"/>
        <w:autoSpaceDN w:val="0"/>
        <w:adjustRightInd w:val="0"/>
        <w:spacing w:after="0" w:line="240" w:lineRule="auto"/>
        <w:ind w:left="567"/>
        <w:rPr>
          <w:rFonts w:cs="Gravur-CondensedLight"/>
          <w:b/>
          <w:color w:val="616265"/>
        </w:rPr>
      </w:pPr>
    </w:p>
    <w:p w:rsidR="001C55F3" w:rsidRDefault="001C55F3" w:rsidP="001C55F3">
      <w:pPr>
        <w:autoSpaceDE w:val="0"/>
        <w:autoSpaceDN w:val="0"/>
        <w:adjustRightInd w:val="0"/>
        <w:spacing w:after="0" w:line="240" w:lineRule="auto"/>
        <w:rPr>
          <w:rFonts w:cs="Gravur-CondensedLight"/>
        </w:rPr>
      </w:pPr>
      <w:r>
        <w:rPr>
          <w:rFonts w:cs="Gravur-CondensedLight"/>
        </w:rPr>
        <w:t xml:space="preserve">This guide aims to help advisors, project staff and development planners in partner countries (of Germany) in recognising the links between nature and development. It does not specifically pay attention to mapping and follows to a large extent the TEEB approach. </w:t>
      </w:r>
    </w:p>
    <w:p w:rsidR="001C55F3" w:rsidRPr="00402015" w:rsidRDefault="001C55F3" w:rsidP="001C55F3">
      <w:pPr>
        <w:autoSpaceDE w:val="0"/>
        <w:autoSpaceDN w:val="0"/>
        <w:adjustRightInd w:val="0"/>
        <w:spacing w:after="0" w:line="240" w:lineRule="auto"/>
        <w:rPr>
          <w:rFonts w:cs="Gravur-CondensedLight"/>
        </w:rPr>
      </w:pPr>
      <w:r w:rsidRPr="00402015">
        <w:rPr>
          <w:rFonts w:cs="Gravur-CondensedLight"/>
        </w:rPr>
        <w:t xml:space="preserve">It considers the environmental and economic trade-offs associated with development measures and helps to systematically incorporate ecosystem service-related opportunities and risks into the planning and development of strategies. </w:t>
      </w:r>
      <w:r w:rsidRPr="00402015">
        <w:rPr>
          <w:rFonts w:cs="Gravur-CondensedLight"/>
          <w:b/>
          <w:u w:val="single"/>
        </w:rPr>
        <w:t>This step-by-step approach</w:t>
      </w:r>
      <w:r w:rsidRPr="00402015">
        <w:rPr>
          <w:rFonts w:cs="Gravur-CondensedLight"/>
        </w:rPr>
        <w:t xml:space="preserve"> aims to support GIZ programmes and partners to integrate ecosystem services into the design and review of development plans, sector-specific and spatial planning, environmental and climate assessments, as well as into project development and proposal formulation.</w:t>
      </w:r>
    </w:p>
    <w:p w:rsidR="001C55F3" w:rsidRDefault="001C55F3" w:rsidP="001C55F3"/>
    <w:p w:rsidR="001C55F3" w:rsidRDefault="001C55F3" w:rsidP="00622218">
      <w:pPr>
        <w:pStyle w:val="Paragraphedeliste"/>
        <w:numPr>
          <w:ilvl w:val="1"/>
          <w:numId w:val="117"/>
        </w:numPr>
        <w:ind w:left="567" w:hanging="567"/>
        <w:rPr>
          <w:b/>
        </w:rPr>
      </w:pPr>
      <w:r>
        <w:rPr>
          <w:rFonts w:cs="HelveticaNeue-Light"/>
          <w:b/>
        </w:rPr>
        <w:t>Ecosystems and Human Well-being: A Manual for Assessment Practitioners, (MA, 2010) Island Press.</w:t>
      </w:r>
    </w:p>
    <w:p w:rsidR="001C55F3" w:rsidRDefault="001C55F3" w:rsidP="001C55F3">
      <w:pPr>
        <w:pStyle w:val="Paragraphedeliste"/>
        <w:autoSpaceDE w:val="0"/>
        <w:autoSpaceDN w:val="0"/>
        <w:adjustRightInd w:val="0"/>
        <w:spacing w:after="0" w:line="240" w:lineRule="auto"/>
        <w:rPr>
          <w:rFonts w:ascii="HelveticaNeue-Bold" w:hAnsi="HelveticaNeue-Bold" w:cs="HelveticaNeue-Bold"/>
          <w:b/>
          <w:bCs/>
          <w:sz w:val="21"/>
          <w:szCs w:val="21"/>
        </w:rPr>
      </w:pPr>
    </w:p>
    <w:p w:rsidR="001C55F3" w:rsidRPr="00AE434C" w:rsidRDefault="001C55F3" w:rsidP="001C55F3">
      <w:pPr>
        <w:pStyle w:val="Paragraphedeliste"/>
        <w:autoSpaceDE w:val="0"/>
        <w:autoSpaceDN w:val="0"/>
        <w:adjustRightInd w:val="0"/>
        <w:spacing w:after="0" w:line="240" w:lineRule="auto"/>
        <w:ind w:left="0"/>
        <w:rPr>
          <w:rFonts w:cs="HelveticaNeue-Bold"/>
          <w:bCs/>
        </w:rPr>
      </w:pPr>
      <w:r>
        <w:rPr>
          <w:rFonts w:cs="HelveticaNeue-Bold"/>
          <w:bCs/>
        </w:rPr>
        <w:t xml:space="preserve">Similarly to the process of TEEB, the Millennium Ecosystem Assessment project produced first a series of scientific books, and synthesis reports, and then published a Manual for Practitioners. </w:t>
      </w:r>
      <w:r w:rsidRPr="00402015">
        <w:rPr>
          <w:rFonts w:cs="Sabon-Roman"/>
        </w:rPr>
        <w:t>The MA Manual makes the methods of the MA and associated sub-global (local and regional) assessments widely accessible. Lessons learned from the MA and other assessments supplement the best practice of ecosystem assessment identified through the MA. The publication of this Manual aims to encourage more assessments at scales which are relevant to policy and decision makers.</w:t>
      </w:r>
    </w:p>
    <w:p w:rsidR="001C55F3" w:rsidRDefault="001C55F3" w:rsidP="001C55F3">
      <w:pPr>
        <w:pStyle w:val="Paragraphedeliste"/>
        <w:autoSpaceDE w:val="0"/>
        <w:autoSpaceDN w:val="0"/>
        <w:adjustRightInd w:val="0"/>
        <w:spacing w:after="0" w:line="240" w:lineRule="auto"/>
        <w:ind w:left="0"/>
        <w:rPr>
          <w:rFonts w:cs="Sabon-Roman"/>
        </w:rPr>
      </w:pPr>
    </w:p>
    <w:p w:rsidR="001C55F3" w:rsidRDefault="001C55F3" w:rsidP="001C55F3">
      <w:pPr>
        <w:pStyle w:val="Paragraphedeliste"/>
        <w:autoSpaceDE w:val="0"/>
        <w:autoSpaceDN w:val="0"/>
        <w:adjustRightInd w:val="0"/>
        <w:spacing w:after="0" w:line="240" w:lineRule="auto"/>
        <w:ind w:left="0"/>
        <w:rPr>
          <w:rFonts w:cs="Sabon-Roman"/>
        </w:rPr>
      </w:pPr>
      <w:r w:rsidRPr="00402015">
        <w:rPr>
          <w:rFonts w:cs="Sabon-Roman"/>
          <w:b/>
          <w:u w:val="single"/>
        </w:rPr>
        <w:t>The Manual is intended to be a “how to” guide for undertaking ecosystem assessments</w:t>
      </w:r>
      <w:r w:rsidRPr="00402015">
        <w:rPr>
          <w:rFonts w:cs="Sabon-Roman"/>
        </w:rPr>
        <w:t>. The Manual contains detailed guidance on conceptual frameworks, assessing status and trends of ecosystems, developing and using scenarios, assessing policy options, and the process for establishing, designing and running an ecosystem assessment, including communications and outreach. The priority audience for the Manual are individuals who are responsible for designing and carrying out environmental or developmental assessments, and individuals responsible for building capacity for ecosystem assessments, either through structured training (such as through developing curricula relating to ecosystem services and development) or assistance in conduc</w:t>
      </w:r>
      <w:r>
        <w:rPr>
          <w:rFonts w:cs="Sabon-Roman"/>
        </w:rPr>
        <w:t>ting assessments on the ground. The MA does not specifically address mapping as a necessary step in the Assessment process.</w:t>
      </w:r>
    </w:p>
    <w:p w:rsidR="001C55F3" w:rsidRDefault="001C55F3" w:rsidP="001C55F3">
      <w:pPr>
        <w:pStyle w:val="Paragraphedeliste"/>
        <w:autoSpaceDE w:val="0"/>
        <w:autoSpaceDN w:val="0"/>
        <w:adjustRightInd w:val="0"/>
        <w:spacing w:after="0" w:line="240" w:lineRule="auto"/>
        <w:ind w:left="0"/>
        <w:rPr>
          <w:rFonts w:cs="Sabon-Roman"/>
        </w:rPr>
      </w:pPr>
    </w:p>
    <w:p w:rsidR="001C55F3" w:rsidRPr="00AE434C" w:rsidRDefault="001C55F3" w:rsidP="00622218">
      <w:pPr>
        <w:pStyle w:val="Paragraphedeliste"/>
        <w:numPr>
          <w:ilvl w:val="1"/>
          <w:numId w:val="117"/>
        </w:numPr>
        <w:autoSpaceDE w:val="0"/>
        <w:autoSpaceDN w:val="0"/>
        <w:adjustRightInd w:val="0"/>
        <w:spacing w:after="0" w:line="240" w:lineRule="auto"/>
        <w:rPr>
          <w:rFonts w:cs="Sabon-Roman"/>
        </w:rPr>
      </w:pPr>
      <w:r w:rsidRPr="00602CEA">
        <w:rPr>
          <w:b/>
        </w:rPr>
        <w:t xml:space="preserve">DG ENV (July 2010) </w:t>
      </w:r>
      <w:r w:rsidRPr="00602CEA">
        <w:rPr>
          <w:i/>
        </w:rPr>
        <w:t>EC guidance on undertaking non-energy extractive activities in accordance with Natura 2000 requirements</w:t>
      </w:r>
    </w:p>
    <w:p w:rsidR="001C55F3" w:rsidRPr="00AE434C" w:rsidRDefault="001C55F3" w:rsidP="001C55F3">
      <w:pPr>
        <w:pStyle w:val="Paragraphedeliste"/>
        <w:autoSpaceDE w:val="0"/>
        <w:autoSpaceDN w:val="0"/>
        <w:adjustRightInd w:val="0"/>
        <w:spacing w:after="0" w:line="240" w:lineRule="auto"/>
        <w:ind w:left="900"/>
        <w:rPr>
          <w:rFonts w:cs="Sabon-Roman"/>
        </w:rPr>
      </w:pPr>
    </w:p>
    <w:p w:rsidR="001C55F3" w:rsidRDefault="001C55F3" w:rsidP="001C55F3">
      <w:pPr>
        <w:pStyle w:val="Titre1"/>
        <w:spacing w:before="0"/>
        <w:rPr>
          <w:rFonts w:asciiTheme="minorHAnsi" w:hAnsiTheme="minorHAnsi"/>
          <w:b w:val="0"/>
          <w:color w:val="auto"/>
          <w:sz w:val="22"/>
          <w:szCs w:val="22"/>
        </w:rPr>
      </w:pPr>
      <w:r>
        <w:rPr>
          <w:rFonts w:asciiTheme="minorHAnsi" w:hAnsiTheme="minorHAnsi"/>
          <w:b w:val="0"/>
          <w:color w:val="auto"/>
          <w:sz w:val="22"/>
          <w:szCs w:val="22"/>
        </w:rPr>
        <w:t>Not the topic, but the structure and lay out of this document is considered instructive for developing a MAES Guidance Manual.</w:t>
      </w:r>
    </w:p>
    <w:p w:rsidR="001C55F3" w:rsidRPr="00AE434C" w:rsidRDefault="001C55F3" w:rsidP="001C55F3">
      <w:pPr>
        <w:spacing w:after="0"/>
      </w:pPr>
    </w:p>
    <w:p w:rsidR="001C55F3" w:rsidRDefault="001C55F3" w:rsidP="001C55F3">
      <w:pPr>
        <w:pStyle w:val="NormalWeb"/>
        <w:rPr>
          <w:rFonts w:asciiTheme="minorHAnsi" w:hAnsiTheme="minorHAnsi"/>
          <w:i/>
          <w:sz w:val="22"/>
          <w:szCs w:val="22"/>
        </w:rPr>
      </w:pPr>
      <w:r>
        <w:rPr>
          <w:rFonts w:asciiTheme="minorHAnsi" w:hAnsiTheme="minorHAnsi"/>
          <w:i/>
          <w:sz w:val="22"/>
          <w:szCs w:val="22"/>
        </w:rPr>
        <w:t>“ To build the economy of tomorrow, we have to take care of our environment today. This means that the extraction of raw materials must be done with a concern for the natural world to ensure sustainability. Natura 2000 is the centrepiece of EU nature and biodiversity policy.</w:t>
      </w:r>
    </w:p>
    <w:p w:rsidR="001C55F3" w:rsidRPr="00602CEA" w:rsidRDefault="001C55F3" w:rsidP="001C55F3">
      <w:pPr>
        <w:pStyle w:val="NormalWeb"/>
        <w:rPr>
          <w:rFonts w:asciiTheme="minorHAnsi" w:hAnsiTheme="minorHAnsi"/>
          <w:i/>
          <w:sz w:val="22"/>
          <w:szCs w:val="22"/>
        </w:rPr>
      </w:pPr>
      <w:r w:rsidRPr="00602CEA">
        <w:rPr>
          <w:rFonts w:asciiTheme="minorHAnsi" w:hAnsiTheme="minorHAnsi"/>
          <w:b/>
          <w:i/>
          <w:sz w:val="22"/>
          <w:szCs w:val="22"/>
        </w:rPr>
        <w:t>These guidelines show how the needs of extractive industry can be met while avoiding adverse effects on wildlife and nature</w:t>
      </w:r>
      <w:r w:rsidRPr="00602CEA">
        <w:rPr>
          <w:rFonts w:asciiTheme="minorHAnsi" w:hAnsiTheme="minorHAnsi"/>
          <w:i/>
          <w:sz w:val="22"/>
          <w:szCs w:val="22"/>
        </w:rPr>
        <w:t xml:space="preserve">. They examine how the potential impacts of extraction activities on nature and biodiversity can be minimised or avoided altogether. They highlight the importance of strategic planning, the appropriate assessment of new developments, and the need for adequate mitigation measures. </w:t>
      </w:r>
    </w:p>
    <w:p w:rsidR="001C55F3" w:rsidRPr="00AE434C" w:rsidRDefault="001C55F3" w:rsidP="001C55F3">
      <w:pPr>
        <w:pStyle w:val="NormalWeb"/>
        <w:rPr>
          <w:rFonts w:asciiTheme="minorHAnsi" w:hAnsiTheme="minorHAnsi"/>
          <w:i/>
          <w:sz w:val="22"/>
          <w:szCs w:val="22"/>
        </w:rPr>
      </w:pPr>
      <w:r w:rsidRPr="00602CEA">
        <w:rPr>
          <w:rFonts w:asciiTheme="minorHAnsi" w:hAnsiTheme="minorHAnsi"/>
          <w:b/>
          <w:i/>
          <w:sz w:val="22"/>
          <w:szCs w:val="22"/>
        </w:rPr>
        <w:lastRenderedPageBreak/>
        <w:t xml:space="preserve">The guidelines contain many examples of best practice, </w:t>
      </w:r>
      <w:r w:rsidRPr="00602CEA">
        <w:rPr>
          <w:rFonts w:asciiTheme="minorHAnsi" w:hAnsiTheme="minorHAnsi"/>
          <w:i/>
          <w:sz w:val="22"/>
          <w:szCs w:val="22"/>
        </w:rPr>
        <w:t xml:space="preserve">and show how some extraction projects can ultimately be beneficial to biodiversity by providing highly quality ecological niches. We are confident that this guidance document will make a substantial contribution to ensuring that these key EU policies can work together, </w:t>
      </w:r>
      <w:r>
        <w:rPr>
          <w:rFonts w:asciiTheme="minorHAnsi" w:hAnsiTheme="minorHAnsi"/>
          <w:i/>
          <w:sz w:val="22"/>
          <w:szCs w:val="22"/>
        </w:rPr>
        <w:t>in a mutually beneficial manner</w:t>
      </w:r>
    </w:p>
    <w:p w:rsidR="001C55F3" w:rsidRDefault="001C55F3" w:rsidP="001C55F3">
      <w:pPr>
        <w:spacing w:after="0" w:line="240" w:lineRule="auto"/>
        <w:rPr>
          <w:b/>
        </w:rPr>
      </w:pPr>
    </w:p>
    <w:p w:rsidR="001C55F3" w:rsidRPr="00602CEA" w:rsidRDefault="001C55F3" w:rsidP="001C55F3">
      <w:pPr>
        <w:spacing w:after="0" w:line="240" w:lineRule="auto"/>
        <w:rPr>
          <w:b/>
        </w:rPr>
      </w:pPr>
      <w:r w:rsidRPr="00602CEA">
        <w:rPr>
          <w:b/>
        </w:rPr>
        <w:t>Preliminary conclusions of the review</w:t>
      </w:r>
    </w:p>
    <w:p w:rsidR="001C55F3" w:rsidRPr="00A42176" w:rsidRDefault="001C55F3" w:rsidP="00622218">
      <w:pPr>
        <w:pStyle w:val="Paragraphedeliste"/>
        <w:numPr>
          <w:ilvl w:val="0"/>
          <w:numId w:val="118"/>
        </w:numPr>
        <w:spacing w:after="0" w:line="240" w:lineRule="auto"/>
      </w:pPr>
      <w:r w:rsidRPr="00A42176">
        <w:t>There are a number of potentially useful published guidance (instruction) manuals available, and the first 4 introduced here all deal with ecosystem services.</w:t>
      </w:r>
    </w:p>
    <w:p w:rsidR="001C55F3" w:rsidRPr="00A42176" w:rsidRDefault="001C55F3" w:rsidP="00622218">
      <w:pPr>
        <w:pStyle w:val="Paragraphedeliste"/>
        <w:numPr>
          <w:ilvl w:val="0"/>
          <w:numId w:val="118"/>
        </w:numPr>
        <w:spacing w:after="0" w:line="240" w:lineRule="auto"/>
      </w:pPr>
      <w:r w:rsidRPr="00A42176">
        <w:t>From all we may learn and partially copy approaches to structure and lay-out the MAES manual.</w:t>
      </w:r>
    </w:p>
    <w:p w:rsidR="001C55F3" w:rsidRPr="00A42176" w:rsidRDefault="001C55F3" w:rsidP="00622218">
      <w:pPr>
        <w:pStyle w:val="Paragraphedeliste"/>
        <w:numPr>
          <w:ilvl w:val="0"/>
          <w:numId w:val="118"/>
        </w:numPr>
        <w:spacing w:after="0" w:line="240" w:lineRule="auto"/>
      </w:pPr>
      <w:r w:rsidRPr="00A42176">
        <w:t xml:space="preserve">None of them, except the Ecosystem Services journal Special Issue address the challenge of Mapping. </w:t>
      </w:r>
    </w:p>
    <w:p w:rsidR="001C55F3" w:rsidRDefault="001C55F3" w:rsidP="001C55F3">
      <w:pPr>
        <w:spacing w:line="240" w:lineRule="auto"/>
        <w:rPr>
          <w:rFonts w:asciiTheme="majorHAnsi" w:eastAsiaTheme="majorEastAsia" w:hAnsiTheme="majorHAnsi" w:cstheme="majorBidi"/>
          <w:b/>
          <w:bCs/>
          <w:color w:val="4F81BD" w:themeColor="accent1"/>
          <w:sz w:val="24"/>
          <w:szCs w:val="24"/>
        </w:rPr>
      </w:pPr>
      <w:r w:rsidRPr="00A42176">
        <w:t>Therefore we endeavour in the next section to begin with</w:t>
      </w:r>
      <w:r>
        <w:t xml:space="preserve"> a formal structure to build su</w:t>
      </w:r>
      <w:r w:rsidRPr="00A42176">
        <w:t>ch a mapping manual.</w:t>
      </w:r>
      <w:r>
        <w:rPr>
          <w:b/>
          <w:sz w:val="24"/>
          <w:szCs w:val="24"/>
        </w:rPr>
        <w:br w:type="page"/>
      </w:r>
    </w:p>
    <w:p w:rsidR="001C55F3" w:rsidRPr="00B6192A" w:rsidRDefault="001C55F3" w:rsidP="00622218">
      <w:pPr>
        <w:pStyle w:val="Titre1"/>
        <w:numPr>
          <w:ilvl w:val="0"/>
          <w:numId w:val="127"/>
        </w:numPr>
        <w:rPr>
          <w:color w:val="4F81BD" w:themeColor="accent1"/>
          <w:sz w:val="36"/>
          <w:szCs w:val="36"/>
        </w:rPr>
      </w:pPr>
      <w:r w:rsidRPr="00B6192A">
        <w:rPr>
          <w:sz w:val="36"/>
          <w:szCs w:val="36"/>
        </w:rPr>
        <w:lastRenderedPageBreak/>
        <w:t>METHODOLOGY:A FLOW CHART APPROACH</w:t>
      </w:r>
    </w:p>
    <w:p w:rsidR="001C55F3" w:rsidRDefault="001C55F3" w:rsidP="001C55F3"/>
    <w:p w:rsidR="001C55F3" w:rsidRDefault="001C55F3" w:rsidP="001C55F3">
      <w:pPr>
        <w:pStyle w:val="Titre2"/>
        <w:rPr>
          <w:lang w:eastAsia="en-GB"/>
        </w:rPr>
      </w:pPr>
      <w:r>
        <w:rPr>
          <w:lang w:eastAsia="en-GB"/>
        </w:rPr>
        <w:t>3.1</w:t>
      </w:r>
      <w:r>
        <w:rPr>
          <w:lang w:eastAsia="en-GB"/>
        </w:rPr>
        <w:tab/>
        <w:t>Introduction</w:t>
      </w:r>
    </w:p>
    <w:p w:rsidR="001C55F3" w:rsidRDefault="001C55F3" w:rsidP="001C55F3">
      <w:pPr>
        <w:spacing w:line="240" w:lineRule="auto"/>
        <w:rPr>
          <w:lang w:eastAsia="en-GB"/>
        </w:rPr>
      </w:pPr>
      <w:r>
        <w:rPr>
          <w:lang w:eastAsia="en-GB"/>
        </w:rPr>
        <w:t>Flowcharts are diagrams for visually representing complex processes. This section provides an introduction to support the visual representation in flowcharts for the Guidance Manual for Mapping and Assessment of Ecosystems and their Services in Europe, the MAES Guidance Manual. A typical flowchart may have the following kinds of symbols  (see figure 4.1):</w:t>
      </w:r>
    </w:p>
    <w:p w:rsidR="001C55F3" w:rsidRDefault="001C55F3" w:rsidP="00622218">
      <w:pPr>
        <w:pStyle w:val="Paragraphedeliste"/>
        <w:numPr>
          <w:ilvl w:val="1"/>
          <w:numId w:val="119"/>
        </w:numPr>
        <w:spacing w:after="0" w:line="240" w:lineRule="auto"/>
        <w:rPr>
          <w:lang w:eastAsia="en-GB"/>
        </w:rPr>
      </w:pPr>
      <w:r>
        <w:rPr>
          <w:bCs/>
          <w:u w:val="single"/>
          <w:lang w:eastAsia="en-GB"/>
        </w:rPr>
        <w:t>Start</w:t>
      </w:r>
      <w:r>
        <w:rPr>
          <w:u w:val="single"/>
          <w:lang w:eastAsia="en-GB"/>
        </w:rPr>
        <w:t xml:space="preserve"> and </w:t>
      </w:r>
      <w:r>
        <w:rPr>
          <w:bCs/>
          <w:u w:val="single"/>
          <w:lang w:eastAsia="en-GB"/>
        </w:rPr>
        <w:t>end</w:t>
      </w:r>
      <w:r>
        <w:rPr>
          <w:u w:val="single"/>
          <w:lang w:eastAsia="en-GB"/>
        </w:rPr>
        <w:t xml:space="preserve"> symbols</w:t>
      </w:r>
      <w:r>
        <w:rPr>
          <w:lang w:eastAsia="en-GB"/>
        </w:rPr>
        <w:t xml:space="preserve">: represented as ovals, usually containing the word "Start" or "End", or another phrase signaling the start or end of a process, such as "submit enquiry" or "receive product". </w:t>
      </w:r>
    </w:p>
    <w:p w:rsidR="001C55F3" w:rsidRDefault="001C55F3" w:rsidP="00622218">
      <w:pPr>
        <w:pStyle w:val="Paragraphedeliste"/>
        <w:numPr>
          <w:ilvl w:val="1"/>
          <w:numId w:val="119"/>
        </w:numPr>
        <w:spacing w:after="0" w:line="240" w:lineRule="auto"/>
        <w:rPr>
          <w:lang w:eastAsia="en-GB"/>
        </w:rPr>
      </w:pPr>
      <w:r>
        <w:rPr>
          <w:bCs/>
          <w:u w:val="single"/>
          <w:lang w:eastAsia="en-GB"/>
        </w:rPr>
        <w:t>Arrows</w:t>
      </w:r>
      <w:r>
        <w:rPr>
          <w:u w:val="single"/>
          <w:lang w:eastAsia="en-GB"/>
        </w:rPr>
        <w:t>:</w:t>
      </w:r>
      <w:r>
        <w:rPr>
          <w:lang w:eastAsia="en-GB"/>
        </w:rPr>
        <w:t xml:space="preserve"> An arrow coming from one symbol and ending at another symbol signifies (information) flow passes to the symbol the arrow points to. </w:t>
      </w:r>
    </w:p>
    <w:p w:rsidR="001C55F3" w:rsidRDefault="001C55F3" w:rsidP="00622218">
      <w:pPr>
        <w:pStyle w:val="Paragraphedeliste"/>
        <w:numPr>
          <w:ilvl w:val="1"/>
          <w:numId w:val="119"/>
        </w:numPr>
        <w:spacing w:after="0" w:line="240" w:lineRule="auto"/>
        <w:rPr>
          <w:lang w:eastAsia="en-GB"/>
        </w:rPr>
      </w:pPr>
      <w:r>
        <w:rPr>
          <w:bCs/>
          <w:u w:val="single"/>
          <w:lang w:eastAsia="en-GB"/>
        </w:rPr>
        <w:t>Processing steps</w:t>
      </w:r>
      <w:r>
        <w:rPr>
          <w:lang w:eastAsia="en-GB"/>
        </w:rPr>
        <w:t xml:space="preserve">, represented as rectangles. </w:t>
      </w:r>
    </w:p>
    <w:p w:rsidR="001C55F3" w:rsidRDefault="001C55F3" w:rsidP="00622218">
      <w:pPr>
        <w:pStyle w:val="Paragraphedeliste"/>
        <w:numPr>
          <w:ilvl w:val="1"/>
          <w:numId w:val="119"/>
        </w:numPr>
        <w:spacing w:after="0" w:line="240" w:lineRule="auto"/>
        <w:rPr>
          <w:lang w:eastAsia="en-GB"/>
        </w:rPr>
      </w:pPr>
      <w:r>
        <w:rPr>
          <w:bCs/>
          <w:u w:val="single"/>
          <w:lang w:eastAsia="en-GB"/>
        </w:rPr>
        <w:t>Input/Output</w:t>
      </w:r>
      <w:r>
        <w:rPr>
          <w:lang w:eastAsia="en-GB"/>
        </w:rPr>
        <w:t xml:space="preserve">, represented as a parallelogram. </w:t>
      </w:r>
    </w:p>
    <w:p w:rsidR="001C55F3" w:rsidRDefault="001C55F3" w:rsidP="00622218">
      <w:pPr>
        <w:pStyle w:val="Paragraphedeliste"/>
        <w:numPr>
          <w:ilvl w:val="1"/>
          <w:numId w:val="119"/>
        </w:numPr>
        <w:spacing w:after="0" w:line="240" w:lineRule="auto"/>
        <w:rPr>
          <w:lang w:eastAsia="en-GB"/>
        </w:rPr>
      </w:pPr>
      <w:r>
        <w:rPr>
          <w:bCs/>
          <w:u w:val="single"/>
          <w:lang w:eastAsia="en-GB"/>
        </w:rPr>
        <w:t>Conditional</w:t>
      </w:r>
      <w:r>
        <w:rPr>
          <w:u w:val="single"/>
          <w:lang w:eastAsia="en-GB"/>
        </w:rPr>
        <w:t xml:space="preserve"> (or </w:t>
      </w:r>
      <w:r>
        <w:rPr>
          <w:bCs/>
          <w:u w:val="single"/>
          <w:lang w:eastAsia="en-GB"/>
        </w:rPr>
        <w:t>decision</w:t>
      </w:r>
      <w:r>
        <w:rPr>
          <w:lang w:eastAsia="en-GB"/>
        </w:rPr>
        <w:t>), represented as a diamond (rhombus). These typically contain a Yes/No question or True/False test. This symbol is unique in that it has two arrows coming out of it, usually from the bottom point and right point, one corresponding to Yes or True, and one corresponding to No or False. The arrows should always be labeled.</w:t>
      </w:r>
    </w:p>
    <w:p w:rsidR="001C55F3" w:rsidRDefault="001C55F3" w:rsidP="00622218">
      <w:pPr>
        <w:pStyle w:val="Paragraphedeliste"/>
        <w:numPr>
          <w:ilvl w:val="1"/>
          <w:numId w:val="119"/>
        </w:numPr>
        <w:spacing w:after="0" w:line="240" w:lineRule="auto"/>
        <w:rPr>
          <w:lang w:eastAsia="en-GB"/>
        </w:rPr>
      </w:pPr>
      <w:r>
        <w:rPr>
          <w:bCs/>
          <w:u w:val="single"/>
          <w:lang w:eastAsia="en-GB"/>
        </w:rPr>
        <w:t>Document</w:t>
      </w:r>
      <w:r>
        <w:rPr>
          <w:lang w:eastAsia="en-GB"/>
        </w:rPr>
        <w:t xml:space="preserve"> represented as a rectangle with a wavy base; </w:t>
      </w:r>
    </w:p>
    <w:p w:rsidR="001C55F3" w:rsidRDefault="001C55F3" w:rsidP="00622218">
      <w:pPr>
        <w:pStyle w:val="Paragraphedeliste"/>
        <w:numPr>
          <w:ilvl w:val="1"/>
          <w:numId w:val="119"/>
        </w:numPr>
        <w:spacing w:after="0" w:line="240" w:lineRule="auto"/>
        <w:rPr>
          <w:lang w:eastAsia="en-GB"/>
        </w:rPr>
      </w:pPr>
      <w:r>
        <w:rPr>
          <w:bCs/>
          <w:u w:val="single"/>
          <w:lang w:eastAsia="en-GB"/>
        </w:rPr>
        <w:t>Data File</w:t>
      </w:r>
      <w:r>
        <w:rPr>
          <w:lang w:eastAsia="en-GB"/>
        </w:rPr>
        <w:t xml:space="preserve"> represented by a cylinder. This shape is used for a step that results in information being stored.</w:t>
      </w:r>
    </w:p>
    <w:p w:rsidR="001C55F3" w:rsidRDefault="001C55F3" w:rsidP="00622218">
      <w:pPr>
        <w:pStyle w:val="Paragraphedeliste"/>
        <w:numPr>
          <w:ilvl w:val="1"/>
          <w:numId w:val="119"/>
        </w:numPr>
        <w:spacing w:after="0" w:line="240" w:lineRule="auto"/>
        <w:rPr>
          <w:lang w:eastAsia="en-GB"/>
        </w:rPr>
      </w:pPr>
      <w:r>
        <w:rPr>
          <w:lang w:eastAsia="en-GB"/>
        </w:rPr>
        <w:t xml:space="preserve">Flowcharts may contain </w:t>
      </w:r>
      <w:r>
        <w:rPr>
          <w:u w:val="single"/>
          <w:lang w:eastAsia="en-GB"/>
        </w:rPr>
        <w:t>connectors</w:t>
      </w:r>
      <w:r>
        <w:rPr>
          <w:lang w:eastAsia="en-GB"/>
        </w:rPr>
        <w:t>, usually represented as circles, to represent converging paths in the flow chart. Circles will have more than one arrow coming into them but only one going out.</w:t>
      </w:r>
    </w:p>
    <w:p w:rsidR="001C55F3" w:rsidRDefault="001C55F3" w:rsidP="001C55F3">
      <w:pPr>
        <w:pStyle w:val="Paragraphedeliste"/>
        <w:spacing w:after="0" w:line="240" w:lineRule="auto"/>
        <w:ind w:left="900"/>
        <w:rPr>
          <w:lang w:eastAsia="en-GB"/>
        </w:rPr>
      </w:pPr>
    </w:p>
    <w:p w:rsidR="001C55F3" w:rsidRDefault="001C55F3" w:rsidP="001C55F3">
      <w:pPr>
        <w:jc w:val="center"/>
        <w:rPr>
          <w:lang w:eastAsia="en-GB"/>
        </w:rPr>
      </w:pPr>
      <w:r>
        <w:rPr>
          <w:noProof/>
          <w:lang w:val="fr-BE" w:eastAsia="fr-BE"/>
        </w:rPr>
        <w:drawing>
          <wp:inline distT="0" distB="0" distL="0" distR="0">
            <wp:extent cx="3607283" cy="3151909"/>
            <wp:effectExtent l="0" t="0" r="0" b="0"/>
            <wp:docPr id="123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7169" cy="3151810"/>
                    </a:xfrm>
                    <a:prstGeom prst="rect">
                      <a:avLst/>
                    </a:prstGeom>
                    <a:noFill/>
                    <a:ln>
                      <a:noFill/>
                    </a:ln>
                  </pic:spPr>
                </pic:pic>
              </a:graphicData>
            </a:graphic>
          </wp:inline>
        </w:drawing>
      </w:r>
    </w:p>
    <w:p w:rsidR="001C55F3" w:rsidRPr="009C7E19" w:rsidRDefault="001C55F3" w:rsidP="001C55F3">
      <w:pPr>
        <w:spacing w:line="240" w:lineRule="auto"/>
        <w:rPr>
          <w:b/>
          <w:lang/>
        </w:rPr>
      </w:pPr>
      <w:r w:rsidRPr="009C7E19">
        <w:rPr>
          <w:b/>
          <w:lang/>
        </w:rPr>
        <w:t>Figure 4.1 Standard Flow Chart Symbols</w:t>
      </w:r>
    </w:p>
    <w:p w:rsidR="001C55F3" w:rsidRDefault="001C55F3">
      <w:pPr>
        <w:rPr>
          <w:b/>
          <w:sz w:val="24"/>
          <w:szCs w:val="24"/>
          <w:lang/>
        </w:rPr>
      </w:pPr>
      <w:r>
        <w:rPr>
          <w:b/>
          <w:sz w:val="24"/>
          <w:szCs w:val="24"/>
          <w:lang/>
        </w:rPr>
        <w:br w:type="page"/>
      </w:r>
    </w:p>
    <w:p w:rsidR="001C55F3" w:rsidRPr="0091128A" w:rsidRDefault="001C55F3" w:rsidP="001C55F3">
      <w:pPr>
        <w:pStyle w:val="Titre2"/>
        <w:rPr>
          <w:lang/>
        </w:rPr>
      </w:pPr>
      <w:r w:rsidRPr="0091128A">
        <w:rPr>
          <w:lang/>
        </w:rPr>
        <w:lastRenderedPageBreak/>
        <w:t xml:space="preserve">3.2 </w:t>
      </w:r>
      <w:r>
        <w:rPr>
          <w:lang/>
        </w:rPr>
        <w:tab/>
      </w:r>
      <w:r w:rsidRPr="0091128A">
        <w:rPr>
          <w:lang/>
        </w:rPr>
        <w:t>Start</w:t>
      </w:r>
    </w:p>
    <w:p w:rsidR="001C55F3" w:rsidRDefault="001C55F3" w:rsidP="001C55F3">
      <w:pPr>
        <w:spacing w:line="240" w:lineRule="auto"/>
        <w:rPr>
          <w:lang/>
        </w:rPr>
      </w:pPr>
      <w:r>
        <w:rPr>
          <w:lang/>
        </w:rPr>
        <w:t xml:space="preserve">In the following sections a  series of diagrams </w:t>
      </w:r>
      <w:r w:rsidRPr="00602CEA">
        <w:rPr>
          <w:lang/>
        </w:rPr>
        <w:t>(numbered 0 through 5)</w:t>
      </w:r>
      <w:r>
        <w:rPr>
          <w:lang/>
        </w:rPr>
        <w:t xml:space="preserve">  constitute the structure for the Guidance Manual to assist the Member States with implementation of Action 5, Mapping and Assessment of Ecosystems and their services.  </w:t>
      </w:r>
    </w:p>
    <w:p w:rsidR="001C55F3" w:rsidRDefault="001C55F3" w:rsidP="001C55F3">
      <w:pPr>
        <w:pStyle w:val="Paragraphedeliste"/>
        <w:rPr>
          <w:lang/>
        </w:rPr>
      </w:pPr>
    </w:p>
    <w:p w:rsidR="001C55F3" w:rsidRDefault="001C55F3" w:rsidP="001C55F3">
      <w:pPr>
        <w:pStyle w:val="Paragraphedeliste"/>
        <w:rPr>
          <w:lang/>
        </w:rPr>
      </w:pPr>
      <w:r>
        <w:rPr>
          <w:noProof/>
          <w:lang w:val="fr-BE" w:eastAsia="fr-BE"/>
        </w:rPr>
        <w:drawing>
          <wp:inline distT="0" distB="0" distL="0" distR="0">
            <wp:extent cx="4544291" cy="3119961"/>
            <wp:effectExtent l="0" t="0" r="8890" b="4445"/>
            <wp:docPr id="123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4291" cy="3119961"/>
                    </a:xfrm>
                    <a:prstGeom prst="rect">
                      <a:avLst/>
                    </a:prstGeom>
                    <a:noFill/>
                    <a:ln>
                      <a:noFill/>
                    </a:ln>
                  </pic:spPr>
                </pic:pic>
              </a:graphicData>
            </a:graphic>
          </wp:inline>
        </w:drawing>
      </w:r>
    </w:p>
    <w:p w:rsidR="001C55F3" w:rsidRDefault="001C55F3" w:rsidP="001C55F3"/>
    <w:p w:rsidR="001C55F3" w:rsidRDefault="001C55F3" w:rsidP="001C55F3">
      <w:pPr>
        <w:spacing w:after="0" w:line="240" w:lineRule="auto"/>
        <w:rPr>
          <w:rFonts w:asciiTheme="majorHAnsi" w:eastAsiaTheme="majorEastAsia" w:hAnsiTheme="majorHAnsi" w:cstheme="majorBidi"/>
          <w:b/>
          <w:bCs/>
          <w:color w:val="365F91" w:themeColor="accent1" w:themeShade="BF"/>
        </w:rPr>
      </w:pPr>
      <w:r>
        <w:rPr>
          <w:b/>
        </w:rPr>
        <w:t>Explanation:</w:t>
      </w:r>
    </w:p>
    <w:p w:rsidR="001C55F3" w:rsidRDefault="001C55F3" w:rsidP="001C55F3">
      <w:pPr>
        <w:spacing w:line="240" w:lineRule="auto"/>
        <w:rPr>
          <w:rFonts w:eastAsiaTheme="majorEastAsia" w:cs="Times New Roman"/>
          <w:bCs/>
        </w:rPr>
      </w:pPr>
      <w:r w:rsidRPr="009C7E19">
        <w:rPr>
          <w:rFonts w:eastAsiaTheme="majorEastAsia" w:cstheme="majorBidi"/>
          <w:bCs/>
        </w:rPr>
        <w:t xml:space="preserve">The </w:t>
      </w:r>
      <w:r w:rsidRPr="009C7E19">
        <w:rPr>
          <w:rFonts w:eastAsiaTheme="majorEastAsia" w:cs="Times New Roman"/>
          <w:bCs/>
        </w:rPr>
        <w:t>first sheet in the sequence ((0. Start) introduces the users to the overall structure, and checks whether and where in the process assistance would be needed to complete Action 5 (part 1: the biophysical mapping and assessment).</w:t>
      </w:r>
    </w:p>
    <w:p w:rsidR="001C55F3" w:rsidRDefault="001C55F3" w:rsidP="00622218">
      <w:pPr>
        <w:pStyle w:val="Paragraphedeliste"/>
        <w:numPr>
          <w:ilvl w:val="0"/>
          <w:numId w:val="123"/>
        </w:numPr>
        <w:shd w:val="clear" w:color="auto" w:fill="EEECE1" w:themeFill="background2"/>
        <w:spacing w:line="240" w:lineRule="auto"/>
        <w:rPr>
          <w:rFonts w:eastAsiaTheme="majorEastAsia" w:cs="Times New Roman"/>
          <w:bCs/>
        </w:rPr>
      </w:pPr>
      <w:r>
        <w:rPr>
          <w:rFonts w:eastAsiaTheme="majorEastAsia" w:cs="Times New Roman"/>
          <w:bCs/>
        </w:rPr>
        <w:t>In the EU wide survey (reported as part of TASK 1) we have asked this question to the Member States with the following results (14 respondents):</w:t>
      </w:r>
    </w:p>
    <w:p w:rsidR="001C55F3" w:rsidRPr="009C7E19" w:rsidRDefault="001C55F3" w:rsidP="001C55F3">
      <w:pPr>
        <w:pStyle w:val="Paragraphedeliste"/>
        <w:jc w:val="center"/>
        <w:rPr>
          <w:rFonts w:eastAsiaTheme="majorEastAsia" w:cs="Times New Roman"/>
          <w:bCs/>
        </w:rPr>
      </w:pPr>
      <w:r>
        <w:rPr>
          <w:rFonts w:eastAsiaTheme="majorEastAsia" w:cs="Times New Roman"/>
          <w:bCs/>
          <w:noProof/>
          <w:lang w:val="fr-BE" w:eastAsia="fr-BE"/>
        </w:rPr>
        <w:drawing>
          <wp:inline distT="0" distB="0" distL="0" distR="0">
            <wp:extent cx="4007473" cy="2708564"/>
            <wp:effectExtent l="0" t="0" r="0" b="0"/>
            <wp:docPr id="123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7471" cy="2708563"/>
                    </a:xfrm>
                    <a:prstGeom prst="rect">
                      <a:avLst/>
                    </a:prstGeom>
                    <a:noFill/>
                    <a:ln>
                      <a:noFill/>
                    </a:ln>
                  </pic:spPr>
                </pic:pic>
              </a:graphicData>
            </a:graphic>
          </wp:inline>
        </w:drawing>
      </w:r>
    </w:p>
    <w:p w:rsidR="001C55F3" w:rsidRPr="009C7E19" w:rsidRDefault="001C55F3" w:rsidP="001C55F3">
      <w:pPr>
        <w:rPr>
          <w:rFonts w:eastAsiaTheme="majorEastAsia" w:cs="Times New Roman"/>
          <w:bCs/>
        </w:rPr>
      </w:pPr>
      <w:r w:rsidRPr="009C7E19">
        <w:rPr>
          <w:rFonts w:eastAsiaTheme="majorEastAsia" w:cs="Times New Roman"/>
          <w:bCs/>
        </w:rPr>
        <w:lastRenderedPageBreak/>
        <w:t xml:space="preserve">If the </w:t>
      </w:r>
      <w:r>
        <w:rPr>
          <w:rFonts w:eastAsiaTheme="majorEastAsia" w:cs="Times New Roman"/>
          <w:bCs/>
        </w:rPr>
        <w:t>Member State</w:t>
      </w:r>
      <w:r w:rsidRPr="009C7E19">
        <w:rPr>
          <w:rFonts w:eastAsiaTheme="majorEastAsia" w:cs="Times New Roman"/>
          <w:bCs/>
        </w:rPr>
        <w:t xml:space="preserve"> Team (</w:t>
      </w:r>
      <w:r w:rsidRPr="00416AF4">
        <w:rPr>
          <w:rFonts w:eastAsiaTheme="majorEastAsia" w:cs="Times New Roman"/>
          <w:bCs/>
          <w:i/>
        </w:rPr>
        <w:t>we assume there will be a team (consortium) to execute the Tasks</w:t>
      </w:r>
      <w:r w:rsidRPr="009C7E19">
        <w:rPr>
          <w:rFonts w:eastAsiaTheme="majorEastAsia" w:cs="Times New Roman"/>
          <w:bCs/>
        </w:rPr>
        <w:t xml:space="preserve">) decides to use the manual, they can select at which phase they would like to enter the process. </w:t>
      </w:r>
    </w:p>
    <w:p w:rsidR="001C55F3" w:rsidRPr="00416AF4" w:rsidRDefault="001C55F3" w:rsidP="00622218">
      <w:pPr>
        <w:pStyle w:val="Paragraphedeliste"/>
        <w:numPr>
          <w:ilvl w:val="0"/>
          <w:numId w:val="123"/>
        </w:numPr>
        <w:shd w:val="clear" w:color="auto" w:fill="EEECE1" w:themeFill="background2"/>
        <w:rPr>
          <w:rFonts w:eastAsiaTheme="majorEastAsia" w:cs="Times New Roman"/>
          <w:bCs/>
          <w:i/>
        </w:rPr>
      </w:pPr>
      <w:r w:rsidRPr="00416AF4">
        <w:rPr>
          <w:rFonts w:eastAsiaTheme="majorEastAsia" w:cs="Times New Roman"/>
          <w:bCs/>
          <w:i/>
        </w:rPr>
        <w:t>In a paper version, one moves to the selected chapter, in a Digital version, one hits the button and is transported to the correct next sheet.</w:t>
      </w:r>
    </w:p>
    <w:p w:rsidR="001C55F3" w:rsidRDefault="001C55F3" w:rsidP="001C55F3">
      <w:pPr>
        <w:spacing w:line="240" w:lineRule="auto"/>
        <w:rPr>
          <w:b/>
          <w:sz w:val="24"/>
          <w:szCs w:val="24"/>
        </w:rPr>
      </w:pPr>
    </w:p>
    <w:p w:rsidR="001C55F3" w:rsidRDefault="001C55F3" w:rsidP="001C55F3">
      <w:pPr>
        <w:pStyle w:val="Titre2"/>
        <w:rPr>
          <w:lang/>
        </w:rPr>
      </w:pPr>
      <w:r w:rsidRPr="0091128A">
        <w:rPr>
          <w:lang/>
        </w:rPr>
        <w:t>3.</w:t>
      </w:r>
      <w:r>
        <w:rPr>
          <w:lang/>
        </w:rPr>
        <w:t>3</w:t>
      </w:r>
      <w:r w:rsidRPr="0091128A">
        <w:rPr>
          <w:lang/>
        </w:rPr>
        <w:tab/>
      </w:r>
      <w:r>
        <w:rPr>
          <w:lang/>
        </w:rPr>
        <w:t>The FLOW CHART steps</w:t>
      </w:r>
    </w:p>
    <w:p w:rsidR="001C55F3" w:rsidRDefault="001C55F3" w:rsidP="001C55F3">
      <w:pPr>
        <w:spacing w:line="240" w:lineRule="auto"/>
        <w:rPr>
          <w:b/>
          <w:sz w:val="24"/>
          <w:szCs w:val="24"/>
          <w:lang/>
        </w:rPr>
      </w:pPr>
    </w:p>
    <w:p w:rsidR="001C55F3" w:rsidRPr="00B6192A" w:rsidRDefault="001C55F3" w:rsidP="001C55F3">
      <w:pPr>
        <w:spacing w:line="240" w:lineRule="auto"/>
        <w:rPr>
          <w:b/>
          <w:sz w:val="24"/>
          <w:szCs w:val="24"/>
          <w:u w:val="single"/>
          <w:lang/>
        </w:rPr>
      </w:pPr>
      <w:r w:rsidRPr="00B6192A">
        <w:rPr>
          <w:b/>
          <w:sz w:val="24"/>
          <w:szCs w:val="24"/>
          <w:u w:val="single"/>
          <w:lang/>
        </w:rPr>
        <w:t>Step 1</w:t>
      </w:r>
      <w:r w:rsidRPr="00B6192A">
        <w:rPr>
          <w:b/>
          <w:sz w:val="24"/>
          <w:szCs w:val="24"/>
          <w:u w:val="single"/>
          <w:lang/>
        </w:rPr>
        <w:tab/>
        <w:t>Project Organisation</w:t>
      </w:r>
    </w:p>
    <w:p w:rsidR="001C55F3" w:rsidRPr="0079590A" w:rsidRDefault="001C55F3" w:rsidP="001C55F3"/>
    <w:p w:rsidR="001C55F3" w:rsidRDefault="001C55F3" w:rsidP="001C55F3">
      <w:pPr>
        <w:spacing w:after="0" w:line="240" w:lineRule="auto"/>
        <w:jc w:val="center"/>
        <w:rPr>
          <w:b/>
        </w:rPr>
      </w:pPr>
      <w:r>
        <w:rPr>
          <w:b/>
          <w:noProof/>
          <w:lang w:val="fr-BE" w:eastAsia="fr-BE"/>
        </w:rPr>
        <w:drawing>
          <wp:inline distT="0" distB="0" distL="0" distR="0">
            <wp:extent cx="5336443" cy="4214316"/>
            <wp:effectExtent l="0" t="0" r="0" b="0"/>
            <wp:docPr id="123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3262" cy="4219701"/>
                    </a:xfrm>
                    <a:prstGeom prst="rect">
                      <a:avLst/>
                    </a:prstGeom>
                    <a:noFill/>
                  </pic:spPr>
                </pic:pic>
              </a:graphicData>
            </a:graphic>
          </wp:inline>
        </w:drawing>
      </w:r>
    </w:p>
    <w:p w:rsidR="001C55F3" w:rsidRDefault="001C55F3" w:rsidP="001C55F3">
      <w:pPr>
        <w:spacing w:after="0" w:line="240" w:lineRule="auto"/>
        <w:rPr>
          <w:b/>
        </w:rPr>
      </w:pPr>
    </w:p>
    <w:p w:rsidR="001C55F3" w:rsidRDefault="001C55F3" w:rsidP="001C55F3">
      <w:pPr>
        <w:spacing w:after="0" w:line="240" w:lineRule="auto"/>
        <w:rPr>
          <w:rFonts w:eastAsiaTheme="majorEastAsia" w:cstheme="majorBidi"/>
          <w:b/>
          <w:bCs/>
          <w:color w:val="365F91" w:themeColor="accent1" w:themeShade="BF"/>
        </w:rPr>
      </w:pPr>
      <w:r>
        <w:rPr>
          <w:b/>
        </w:rPr>
        <w:t>Explanation:</w:t>
      </w:r>
    </w:p>
    <w:p w:rsidR="001C55F3" w:rsidRDefault="001C55F3" w:rsidP="001C55F3">
      <w:pPr>
        <w:spacing w:after="0" w:line="240" w:lineRule="auto"/>
        <w:rPr>
          <w:rFonts w:eastAsiaTheme="majorEastAsia" w:cstheme="majorBidi"/>
          <w:bCs/>
        </w:rPr>
      </w:pPr>
      <w:r w:rsidRPr="0079590A">
        <w:rPr>
          <w:rFonts w:eastAsiaTheme="majorEastAsia" w:cstheme="majorBidi"/>
          <w:bCs/>
        </w:rPr>
        <w:t xml:space="preserve">If a project has to be initiated, then Sheet 1 identifies some of the </w:t>
      </w:r>
      <w:r>
        <w:rPr>
          <w:rFonts w:eastAsiaTheme="majorEastAsia" w:cstheme="majorBidi"/>
          <w:bCs/>
        </w:rPr>
        <w:t>generic</w:t>
      </w:r>
      <w:r w:rsidRPr="0079590A">
        <w:rPr>
          <w:rFonts w:eastAsiaTheme="majorEastAsia" w:cstheme="majorBidi"/>
          <w:bCs/>
        </w:rPr>
        <w:t xml:space="preserve"> steps in project set- up and management structure. Nothing new </w:t>
      </w:r>
      <w:r>
        <w:rPr>
          <w:rFonts w:eastAsiaTheme="majorEastAsia" w:cstheme="majorBidi"/>
          <w:bCs/>
        </w:rPr>
        <w:t xml:space="preserve">is introduced </w:t>
      </w:r>
      <w:r w:rsidRPr="0079590A">
        <w:rPr>
          <w:rFonts w:eastAsiaTheme="majorEastAsia" w:cstheme="majorBidi"/>
          <w:bCs/>
        </w:rPr>
        <w:t>here</w:t>
      </w:r>
      <w:r>
        <w:rPr>
          <w:rFonts w:eastAsiaTheme="majorEastAsia" w:cstheme="majorBidi"/>
          <w:bCs/>
        </w:rPr>
        <w:t>, but it serves as a reminder for Member States to check whether relevant parties have been consulted and included in the process.</w:t>
      </w:r>
    </w:p>
    <w:p w:rsidR="001C55F3" w:rsidRDefault="001C55F3" w:rsidP="001C55F3">
      <w:pPr>
        <w:pStyle w:val="Paragraphedeliste"/>
        <w:spacing w:after="0" w:line="240" w:lineRule="auto"/>
        <w:ind w:left="0"/>
        <w:rPr>
          <w:rFonts w:eastAsiaTheme="majorEastAsia" w:cstheme="majorBidi"/>
          <w:b/>
          <w:bCs/>
        </w:rPr>
      </w:pPr>
    </w:p>
    <w:p w:rsidR="001C55F3" w:rsidRPr="004034CE" w:rsidRDefault="001C55F3" w:rsidP="001C55F3">
      <w:pPr>
        <w:pStyle w:val="Paragraphedeliste"/>
        <w:spacing w:after="0" w:line="240" w:lineRule="auto"/>
        <w:ind w:left="0"/>
        <w:rPr>
          <w:rFonts w:eastAsiaTheme="majorEastAsia" w:cstheme="majorBidi"/>
          <w:b/>
          <w:bCs/>
          <w:u w:val="single"/>
        </w:rPr>
      </w:pPr>
      <w:r w:rsidRPr="004034CE">
        <w:rPr>
          <w:rFonts w:eastAsiaTheme="majorEastAsia" w:cstheme="majorBidi"/>
          <w:b/>
          <w:bCs/>
        </w:rPr>
        <w:t xml:space="preserve">1.0  </w:t>
      </w:r>
      <w:r w:rsidRPr="004034CE">
        <w:rPr>
          <w:rFonts w:eastAsiaTheme="majorEastAsia" w:cstheme="majorBidi"/>
          <w:b/>
          <w:bCs/>
        </w:rPr>
        <w:tab/>
      </w:r>
      <w:r w:rsidRPr="004034CE">
        <w:rPr>
          <w:rFonts w:eastAsiaTheme="majorEastAsia" w:cstheme="majorBidi"/>
          <w:b/>
          <w:bCs/>
          <w:u w:val="single"/>
        </w:rPr>
        <w:t>Scoping study</w:t>
      </w:r>
    </w:p>
    <w:p w:rsidR="001C55F3" w:rsidRDefault="001C55F3" w:rsidP="001C55F3">
      <w:pPr>
        <w:spacing w:after="0" w:line="240" w:lineRule="auto"/>
        <w:rPr>
          <w:rFonts w:eastAsiaTheme="majorEastAsia" w:cstheme="majorBidi"/>
          <w:b/>
          <w:bCs/>
          <w:color w:val="365F91" w:themeColor="accent1" w:themeShade="BF"/>
        </w:rPr>
      </w:pPr>
    </w:p>
    <w:p w:rsidR="001C55F3" w:rsidRDefault="001C55F3" w:rsidP="001C55F3">
      <w:pPr>
        <w:spacing w:after="0" w:line="240" w:lineRule="auto"/>
        <w:rPr>
          <w:rFonts w:eastAsiaTheme="majorEastAsia" w:cstheme="majorBidi"/>
          <w:bCs/>
        </w:rPr>
      </w:pPr>
      <w:r>
        <w:rPr>
          <w:rFonts w:eastAsiaTheme="majorEastAsia" w:cstheme="majorBidi"/>
          <w:bCs/>
        </w:rPr>
        <w:t xml:space="preserve">In many case it will be useful to execute a scoping study to define the ambitions in terms of scale and detail, involvement of stakeholders, expertise needed etc. </w:t>
      </w:r>
    </w:p>
    <w:p w:rsidR="001C55F3" w:rsidRDefault="001C55F3" w:rsidP="001C55F3">
      <w:pPr>
        <w:spacing w:after="0" w:line="240" w:lineRule="auto"/>
        <w:rPr>
          <w:rFonts w:eastAsiaTheme="majorEastAsia" w:cstheme="majorBidi"/>
          <w:b/>
          <w:bCs/>
          <w:color w:val="365F91" w:themeColor="accent1" w:themeShade="BF"/>
        </w:rPr>
      </w:pPr>
    </w:p>
    <w:p w:rsidR="001C55F3" w:rsidRDefault="001C55F3" w:rsidP="001C55F3">
      <w:pPr>
        <w:spacing w:after="0" w:line="240" w:lineRule="auto"/>
        <w:rPr>
          <w:rFonts w:eastAsiaTheme="majorEastAsia" w:cstheme="majorBidi"/>
          <w:b/>
          <w:bCs/>
          <w:color w:val="365F91" w:themeColor="accent1" w:themeShade="BF"/>
        </w:rPr>
      </w:pPr>
    </w:p>
    <w:p w:rsidR="001C55F3" w:rsidRPr="00B6192A" w:rsidRDefault="001C55F3" w:rsidP="00622218">
      <w:pPr>
        <w:pStyle w:val="Paragraphedeliste"/>
        <w:numPr>
          <w:ilvl w:val="1"/>
          <w:numId w:val="120"/>
        </w:numPr>
        <w:spacing w:after="0" w:line="240" w:lineRule="auto"/>
        <w:rPr>
          <w:rFonts w:eastAsiaTheme="majorEastAsia" w:cstheme="majorBidi"/>
          <w:b/>
          <w:bCs/>
          <w:u w:val="single"/>
        </w:rPr>
      </w:pPr>
      <w:r w:rsidRPr="00B6192A">
        <w:rPr>
          <w:rFonts w:eastAsiaTheme="majorEastAsia" w:cstheme="majorBidi"/>
          <w:b/>
          <w:bCs/>
          <w:u w:val="single"/>
        </w:rPr>
        <w:lastRenderedPageBreak/>
        <w:t>Define National Steering Group</w:t>
      </w:r>
    </w:p>
    <w:p w:rsidR="001C55F3" w:rsidRDefault="001C55F3" w:rsidP="001C55F3">
      <w:pPr>
        <w:spacing w:after="0" w:line="240" w:lineRule="auto"/>
        <w:rPr>
          <w:rFonts w:eastAsiaTheme="majorEastAsia" w:cstheme="majorBidi"/>
          <w:bCs/>
        </w:rPr>
      </w:pPr>
      <w:r w:rsidRPr="0079590A">
        <w:rPr>
          <w:rFonts w:eastAsiaTheme="majorEastAsia" w:cstheme="majorBidi"/>
          <w:bCs/>
        </w:rPr>
        <w:t>It is considered relevant for Action 5 activities to be embedded in the National Government structure of the Member states. A Steering group combining government and scientific experts as well as representatives of the Stakeholders may be constituted to supervise the project and its link to national and EU policy developments.</w:t>
      </w:r>
    </w:p>
    <w:p w:rsidR="001C55F3" w:rsidRPr="0079590A" w:rsidRDefault="001C55F3" w:rsidP="001C55F3">
      <w:pPr>
        <w:spacing w:after="0" w:line="240" w:lineRule="auto"/>
        <w:rPr>
          <w:rFonts w:eastAsiaTheme="majorEastAsia" w:cstheme="majorBidi"/>
          <w:bCs/>
        </w:rPr>
      </w:pPr>
    </w:p>
    <w:p w:rsidR="001C55F3" w:rsidRPr="00653ACC" w:rsidRDefault="001C55F3" w:rsidP="00622218">
      <w:pPr>
        <w:pStyle w:val="Paragraphedeliste"/>
        <w:numPr>
          <w:ilvl w:val="0"/>
          <w:numId w:val="121"/>
        </w:numPr>
        <w:shd w:val="clear" w:color="auto" w:fill="EEECE1" w:themeFill="background2"/>
        <w:spacing w:after="0" w:line="240" w:lineRule="auto"/>
        <w:rPr>
          <w:rFonts w:eastAsiaTheme="majorEastAsia" w:cstheme="majorBidi"/>
          <w:bCs/>
        </w:rPr>
      </w:pPr>
      <w:r w:rsidRPr="00653ACC">
        <w:rPr>
          <w:rFonts w:eastAsiaTheme="majorEastAsia" w:cstheme="majorBidi"/>
          <w:bCs/>
        </w:rPr>
        <w:t>In the diagram GD1.1 an example of a project structure is presented which has been designed for the Project Digital Atlas of Natural Capital  (DANK) in the Netherlands.</w:t>
      </w:r>
    </w:p>
    <w:p w:rsidR="001C55F3" w:rsidRPr="0037455D" w:rsidRDefault="001C55F3" w:rsidP="001C55F3">
      <w:pPr>
        <w:pStyle w:val="Paragraphedeliste"/>
        <w:spacing w:after="0" w:line="240" w:lineRule="auto"/>
        <w:rPr>
          <w:rFonts w:eastAsiaTheme="majorEastAsia" w:cstheme="majorBidi"/>
          <w:b/>
          <w:bCs/>
          <w:highlight w:val="yellow"/>
        </w:rPr>
      </w:pPr>
    </w:p>
    <w:p w:rsidR="001C55F3" w:rsidRPr="00E20E3E" w:rsidRDefault="001C55F3" w:rsidP="001C55F3">
      <w:pPr>
        <w:spacing w:after="0" w:line="240" w:lineRule="auto"/>
        <w:jc w:val="center"/>
        <w:rPr>
          <w:rFonts w:eastAsiaTheme="majorEastAsia" w:cstheme="majorBidi"/>
          <w:b/>
          <w:bCs/>
          <w:color w:val="365F91" w:themeColor="accent1" w:themeShade="BF"/>
        </w:rPr>
      </w:pPr>
      <w:r w:rsidRPr="00712A7F">
        <w:rPr>
          <w:rFonts w:ascii="Verdana" w:hAnsi="Verdana"/>
          <w:sz w:val="18"/>
          <w:szCs w:val="18"/>
        </w:rPr>
        <w:object w:dxaOrig="7198" w:dyaOrig="5398">
          <v:shape id="_x0000_i1026" type="#_x0000_t75" style="width:294.55pt;height:221.8pt" o:ole="">
            <v:imagedata r:id="rId141" o:title=""/>
          </v:shape>
          <o:OLEObject Type="Embed" ProgID="PowerPoint.Slide.12" ShapeID="_x0000_i1026" DrawAspect="Content" ObjectID="_1444748973" r:id="rId142"/>
        </w:object>
      </w:r>
    </w:p>
    <w:p w:rsidR="001C55F3" w:rsidRPr="005544D6" w:rsidRDefault="001C55F3">
      <w:pPr>
        <w:rPr>
          <w:rFonts w:eastAsiaTheme="majorEastAsia" w:cstheme="majorBidi"/>
          <w:bCs/>
          <w:i/>
        </w:rPr>
      </w:pPr>
      <w:r w:rsidRPr="005544D6">
        <w:rPr>
          <w:rFonts w:eastAsiaTheme="majorEastAsia" w:cstheme="majorBidi"/>
          <w:bCs/>
          <w:i/>
        </w:rPr>
        <w:t xml:space="preserve">Figure </w:t>
      </w:r>
      <w:r>
        <w:rPr>
          <w:rFonts w:eastAsiaTheme="majorEastAsia" w:cstheme="majorBidi"/>
          <w:bCs/>
          <w:i/>
        </w:rPr>
        <w:t xml:space="preserve">3.1 </w:t>
      </w:r>
      <w:r>
        <w:rPr>
          <w:rFonts w:eastAsiaTheme="majorEastAsia" w:cstheme="majorBidi"/>
          <w:bCs/>
          <w:i/>
        </w:rPr>
        <w:tab/>
      </w:r>
      <w:r w:rsidRPr="005544D6">
        <w:rPr>
          <w:rFonts w:eastAsiaTheme="majorEastAsia" w:cstheme="majorBidi"/>
          <w:bCs/>
          <w:i/>
        </w:rPr>
        <w:t>Organisation diagram for proposed Dutch Mapping Study</w:t>
      </w:r>
    </w:p>
    <w:p w:rsidR="001C55F3" w:rsidRDefault="001C55F3" w:rsidP="001C55F3">
      <w:pPr>
        <w:spacing w:line="240" w:lineRule="auto"/>
        <w:rPr>
          <w:rFonts w:eastAsiaTheme="majorEastAsia" w:cstheme="majorBidi"/>
          <w:bCs/>
        </w:rPr>
      </w:pPr>
      <w:r w:rsidRPr="00C73221">
        <w:rPr>
          <w:rFonts w:eastAsiaTheme="majorEastAsia" w:cstheme="majorBidi"/>
          <w:bCs/>
        </w:rPr>
        <w:t xml:space="preserve">The structure includes the politically responsible person / entity (State Secretary with Parliament), a high level steering group, an advisory group, and a “ambassador” , </w:t>
      </w:r>
      <w:r>
        <w:rPr>
          <w:rFonts w:eastAsiaTheme="majorEastAsia" w:cstheme="majorBidi"/>
          <w:bCs/>
        </w:rPr>
        <w:t>a project group including policy analysts and scientists, which lead the actual team that does the mapping.</w:t>
      </w:r>
    </w:p>
    <w:p w:rsidR="001C55F3" w:rsidRPr="00B6192A" w:rsidRDefault="001C55F3" w:rsidP="00622218">
      <w:pPr>
        <w:pStyle w:val="Paragraphedeliste"/>
        <w:numPr>
          <w:ilvl w:val="1"/>
          <w:numId w:val="120"/>
        </w:numPr>
        <w:spacing w:after="0" w:line="240" w:lineRule="auto"/>
        <w:rPr>
          <w:rFonts w:eastAsiaTheme="majorEastAsia" w:cstheme="majorBidi"/>
          <w:b/>
          <w:bCs/>
          <w:u w:val="single"/>
        </w:rPr>
      </w:pPr>
      <w:r w:rsidRPr="00B6192A">
        <w:rPr>
          <w:rFonts w:eastAsiaTheme="majorEastAsia" w:cstheme="majorBidi"/>
          <w:b/>
          <w:bCs/>
          <w:u w:val="single"/>
        </w:rPr>
        <w:t>Select National MAES implementing consortium</w:t>
      </w:r>
    </w:p>
    <w:p w:rsidR="001C55F3" w:rsidRDefault="001C55F3" w:rsidP="001C55F3">
      <w:pPr>
        <w:spacing w:after="0" w:line="240" w:lineRule="auto"/>
        <w:rPr>
          <w:rFonts w:eastAsiaTheme="majorEastAsia" w:cstheme="majorBidi"/>
          <w:bCs/>
        </w:rPr>
      </w:pPr>
      <w:r w:rsidRPr="0079590A">
        <w:rPr>
          <w:rFonts w:eastAsiaTheme="majorEastAsia" w:cstheme="majorBidi"/>
          <w:bCs/>
        </w:rPr>
        <w:t xml:space="preserve">The work implied  by the definition of Action 5 </w:t>
      </w:r>
      <w:r>
        <w:rPr>
          <w:rFonts w:eastAsiaTheme="majorEastAsia" w:cstheme="majorBidi"/>
          <w:bCs/>
        </w:rPr>
        <w:t xml:space="preserve">(part 1) </w:t>
      </w:r>
      <w:r w:rsidRPr="0079590A">
        <w:rPr>
          <w:rFonts w:eastAsiaTheme="majorEastAsia" w:cstheme="majorBidi"/>
          <w:bCs/>
        </w:rPr>
        <w:t xml:space="preserve">requires a combination of policy awareness, natural science, </w:t>
      </w:r>
      <w:r>
        <w:rPr>
          <w:rFonts w:eastAsiaTheme="majorEastAsia" w:cstheme="majorBidi"/>
          <w:bCs/>
        </w:rPr>
        <w:t xml:space="preserve">some </w:t>
      </w:r>
      <w:r w:rsidRPr="0079590A">
        <w:rPr>
          <w:rFonts w:eastAsiaTheme="majorEastAsia" w:cstheme="majorBidi"/>
          <w:bCs/>
        </w:rPr>
        <w:t>social science (economics) and technical mapping expertise as well as expertise in managing stakeholder input processes. The Member states may want to  consider forming multi-</w:t>
      </w:r>
      <w:r>
        <w:rPr>
          <w:rFonts w:eastAsiaTheme="majorEastAsia" w:cstheme="majorBidi"/>
          <w:bCs/>
        </w:rPr>
        <w:t>disciplinary</w:t>
      </w:r>
      <w:r w:rsidRPr="0079590A">
        <w:rPr>
          <w:rFonts w:eastAsiaTheme="majorEastAsia" w:cstheme="majorBidi"/>
          <w:bCs/>
        </w:rPr>
        <w:t xml:space="preserve"> consortia, which can deal with the different aspects in the first phase of Action 5 (Mapping and Assessment of biophysical aspects of ecosystems and ecosystem services), and possibly have some expertise in economic valuation and accounting (phases 2 and 3 in Action5) as well.This </w:t>
      </w:r>
      <w:r>
        <w:rPr>
          <w:rFonts w:eastAsiaTheme="majorEastAsia" w:cstheme="majorBidi"/>
          <w:bCs/>
        </w:rPr>
        <w:t xml:space="preserve">step in the Flow Chart </w:t>
      </w:r>
      <w:r w:rsidRPr="0079590A">
        <w:rPr>
          <w:rFonts w:eastAsiaTheme="majorEastAsia" w:cstheme="majorBidi"/>
          <w:bCs/>
        </w:rPr>
        <w:t xml:space="preserve">would in </w:t>
      </w:r>
      <w:r>
        <w:rPr>
          <w:rFonts w:eastAsiaTheme="majorEastAsia" w:cstheme="majorBidi"/>
          <w:bCs/>
        </w:rPr>
        <w:t xml:space="preserve">a </w:t>
      </w:r>
      <w:r w:rsidRPr="0079590A">
        <w:rPr>
          <w:rFonts w:eastAsiaTheme="majorEastAsia" w:cstheme="majorBidi"/>
          <w:bCs/>
        </w:rPr>
        <w:t>“more developed” version of the Manual then lead to a page describing which types of expertise and skills, and what type of experience would be most conducive to a success</w:t>
      </w:r>
      <w:r>
        <w:rPr>
          <w:rFonts w:eastAsiaTheme="majorEastAsia" w:cstheme="majorBidi"/>
          <w:bCs/>
        </w:rPr>
        <w:t>, possibly with suggestions of names and institutes per Member state which may provide such expertise</w:t>
      </w:r>
      <w:r w:rsidRPr="0079590A">
        <w:rPr>
          <w:rFonts w:eastAsiaTheme="majorEastAsia" w:cstheme="majorBidi"/>
          <w:bCs/>
        </w:rPr>
        <w:t>.</w:t>
      </w:r>
      <w:r>
        <w:rPr>
          <w:rFonts w:eastAsiaTheme="majorEastAsia" w:cstheme="majorBidi"/>
          <w:bCs/>
        </w:rPr>
        <w:t>This was a recurrent question from members of the WG MAES.</w:t>
      </w:r>
    </w:p>
    <w:p w:rsidR="001C55F3" w:rsidRPr="0079590A" w:rsidRDefault="001C55F3" w:rsidP="001C55F3">
      <w:pPr>
        <w:spacing w:after="0" w:line="240" w:lineRule="auto"/>
        <w:rPr>
          <w:rFonts w:eastAsiaTheme="majorEastAsia" w:cstheme="majorBidi"/>
          <w:bCs/>
        </w:rPr>
      </w:pPr>
      <w:r>
        <w:rPr>
          <w:rFonts w:eastAsiaTheme="majorEastAsia" w:cstheme="majorBidi"/>
          <w:bCs/>
        </w:rPr>
        <w:t>A basic team line-up would include, next to a versatile project leader, (1) natural scientists trained in ecosystem assessment (with or without mapping), with understanding of the concept of ecosystem services, (2) data-handlers, i.e. people which are versed in managing data sets across different platforms and have the capacity to evaluate quality of data, (3) and GIS mapping experts. If the Member state endeavours to develop a long  term project, aiming at implementation of all Actions  of the 2020 Target 2 program, social scientists and accountancy specialists would be needed as well.</w:t>
      </w:r>
    </w:p>
    <w:p w:rsidR="001C55F3" w:rsidRPr="00E20E3E" w:rsidRDefault="001C55F3" w:rsidP="001C55F3">
      <w:pPr>
        <w:spacing w:after="0" w:line="240" w:lineRule="auto"/>
        <w:rPr>
          <w:rFonts w:eastAsiaTheme="majorEastAsia" w:cstheme="majorBidi"/>
          <w:b/>
          <w:bCs/>
          <w:color w:val="365F91" w:themeColor="accent1" w:themeShade="BF"/>
        </w:rPr>
      </w:pPr>
    </w:p>
    <w:p w:rsidR="001C55F3" w:rsidRPr="00B6192A" w:rsidRDefault="001C55F3" w:rsidP="00622218">
      <w:pPr>
        <w:pStyle w:val="Paragraphedeliste"/>
        <w:numPr>
          <w:ilvl w:val="1"/>
          <w:numId w:val="120"/>
        </w:numPr>
        <w:spacing w:after="0" w:line="240" w:lineRule="auto"/>
        <w:rPr>
          <w:rFonts w:eastAsiaTheme="majorEastAsia" w:cstheme="majorBidi"/>
          <w:b/>
          <w:bCs/>
          <w:u w:val="single"/>
        </w:rPr>
      </w:pPr>
      <w:r w:rsidRPr="00B6192A">
        <w:rPr>
          <w:rFonts w:eastAsiaTheme="majorEastAsia" w:cstheme="majorBidi"/>
          <w:b/>
          <w:bCs/>
          <w:u w:val="single"/>
        </w:rPr>
        <w:t>Define terms of reference and budget</w:t>
      </w:r>
    </w:p>
    <w:p w:rsidR="001C55F3" w:rsidRPr="00C73221" w:rsidRDefault="001C55F3" w:rsidP="001C55F3">
      <w:pPr>
        <w:spacing w:after="0" w:line="240" w:lineRule="auto"/>
        <w:rPr>
          <w:rFonts w:eastAsiaTheme="majorEastAsia" w:cstheme="majorBidi"/>
          <w:bCs/>
        </w:rPr>
      </w:pPr>
      <w:r w:rsidRPr="0079590A">
        <w:rPr>
          <w:rFonts w:eastAsiaTheme="majorEastAsia" w:cstheme="majorBidi"/>
          <w:bCs/>
        </w:rPr>
        <w:lastRenderedPageBreak/>
        <w:t>The first phase of Action 5 has a formal deadline of (end of) 2014. The production time, total effort and associated budget will be different per Member state, and will be very much depende</w:t>
      </w:r>
      <w:r>
        <w:rPr>
          <w:rFonts w:eastAsiaTheme="majorEastAsia" w:cstheme="majorBidi"/>
          <w:bCs/>
        </w:rPr>
        <w:t>nt</w:t>
      </w:r>
      <w:r w:rsidRPr="0079590A">
        <w:rPr>
          <w:rFonts w:eastAsiaTheme="majorEastAsia" w:cstheme="majorBidi"/>
          <w:bCs/>
        </w:rPr>
        <w:t xml:space="preserve"> on the amount of useful maps and </w:t>
      </w:r>
      <w:r>
        <w:rPr>
          <w:rFonts w:eastAsiaTheme="majorEastAsia" w:cstheme="majorBidi"/>
          <w:bCs/>
        </w:rPr>
        <w:t xml:space="preserve">readily accessible </w:t>
      </w:r>
      <w:r w:rsidRPr="0079590A">
        <w:rPr>
          <w:rFonts w:eastAsiaTheme="majorEastAsia" w:cstheme="majorBidi"/>
          <w:bCs/>
        </w:rPr>
        <w:t>data already available.</w:t>
      </w:r>
      <w:r>
        <w:rPr>
          <w:rFonts w:eastAsiaTheme="majorEastAsia" w:cstheme="majorBidi"/>
          <w:bCs/>
        </w:rPr>
        <w:t xml:space="preserve">  An team effort of 5-10 person-years must be expected for this phase.</w:t>
      </w:r>
    </w:p>
    <w:p w:rsidR="001C55F3" w:rsidRPr="00E20E3E" w:rsidRDefault="001C55F3" w:rsidP="001C55F3">
      <w:pPr>
        <w:spacing w:after="0" w:line="240" w:lineRule="auto"/>
        <w:rPr>
          <w:rFonts w:eastAsiaTheme="majorEastAsia" w:cstheme="majorBidi"/>
          <w:b/>
          <w:bCs/>
          <w:color w:val="365F91" w:themeColor="accent1" w:themeShade="BF"/>
        </w:rPr>
      </w:pPr>
    </w:p>
    <w:p w:rsidR="001C55F3" w:rsidRPr="00B6192A" w:rsidRDefault="001C55F3" w:rsidP="001C55F3">
      <w:pPr>
        <w:spacing w:after="0" w:line="240" w:lineRule="auto"/>
        <w:rPr>
          <w:rFonts w:eastAsiaTheme="majorEastAsia" w:cstheme="majorBidi"/>
          <w:b/>
          <w:bCs/>
          <w:u w:val="single"/>
        </w:rPr>
      </w:pPr>
      <w:r w:rsidRPr="00B6192A">
        <w:rPr>
          <w:rFonts w:eastAsiaTheme="majorEastAsia" w:cstheme="majorBidi"/>
          <w:b/>
          <w:bCs/>
          <w:u w:val="single"/>
        </w:rPr>
        <w:t>1.4</w:t>
      </w:r>
      <w:r w:rsidRPr="00B6192A">
        <w:rPr>
          <w:rFonts w:eastAsiaTheme="majorEastAsia" w:cstheme="majorBidi"/>
          <w:b/>
          <w:bCs/>
          <w:u w:val="single"/>
        </w:rPr>
        <w:tab/>
        <w:t>Organise stakeholder input</w:t>
      </w:r>
    </w:p>
    <w:p w:rsidR="001C55F3" w:rsidRPr="00662B8B" w:rsidRDefault="001C55F3" w:rsidP="001C55F3">
      <w:pPr>
        <w:spacing w:after="0" w:line="240" w:lineRule="auto"/>
        <w:rPr>
          <w:rFonts w:eastAsiaTheme="majorEastAsia" w:cstheme="majorBidi"/>
          <w:bCs/>
        </w:rPr>
      </w:pPr>
      <w:r w:rsidRPr="0079590A">
        <w:rPr>
          <w:rFonts w:eastAsiaTheme="majorEastAsia" w:cstheme="majorBidi"/>
          <w:bCs/>
        </w:rPr>
        <w:t>The support and long term sustainability of ecosystem services based policies is very much depending on the commitment of the relevant stakeholders in society. For implementation of Action 5 at the national level, stakeholder organisations at that level may be invited to join the Steering group (see 1.1). For actual mapping and assessment, stakeholder workshops at regional / local level are considered essential.</w:t>
      </w:r>
      <w:r w:rsidRPr="00662B8B">
        <w:rPr>
          <w:rFonts w:eastAsiaTheme="majorEastAsia" w:cstheme="majorBidi"/>
          <w:bCs/>
        </w:rPr>
        <w:t xml:space="preserve">Useful information is available in Hauck et al (2012) </w:t>
      </w:r>
    </w:p>
    <w:p w:rsidR="001C55F3" w:rsidRDefault="001C55F3" w:rsidP="001C55F3">
      <w:pPr>
        <w:spacing w:after="0" w:line="240" w:lineRule="auto"/>
        <w:rPr>
          <w:rFonts w:eastAsiaTheme="majorEastAsia" w:cstheme="majorBidi"/>
          <w:b/>
          <w:bCs/>
          <w:color w:val="365F91" w:themeColor="accent1" w:themeShade="BF"/>
        </w:rPr>
      </w:pPr>
    </w:p>
    <w:p w:rsidR="001C55F3" w:rsidRPr="00C73221" w:rsidRDefault="001C55F3" w:rsidP="00622218">
      <w:pPr>
        <w:pStyle w:val="Paragraphedeliste"/>
        <w:numPr>
          <w:ilvl w:val="0"/>
          <w:numId w:val="121"/>
        </w:numPr>
        <w:shd w:val="clear" w:color="auto" w:fill="EEECE1" w:themeFill="background2"/>
        <w:spacing w:after="0" w:line="240" w:lineRule="auto"/>
      </w:pPr>
      <w:r w:rsidRPr="00C73221">
        <w:t>Jennifer Hauck, Christoph Gorg, RikuVarjopuro, Outi Ratamaki, Joachim Maes, Heidi Wittmer, KurtJax (2012)</w:t>
      </w:r>
      <w:r w:rsidRPr="00662B8B">
        <w:rPr>
          <w:b/>
        </w:rPr>
        <w:t>‘‘Maps have an air of authority’’: Potential benefits and challenges of ecosystem service maps at different levels of decision making</w:t>
      </w:r>
      <w:r>
        <w:t>. Ecosystem Services Vol 4: 25-32</w:t>
      </w:r>
    </w:p>
    <w:p w:rsidR="001C55F3" w:rsidRPr="00C73221" w:rsidRDefault="001C55F3" w:rsidP="001C55F3">
      <w:pPr>
        <w:spacing w:after="0" w:line="240" w:lineRule="auto"/>
      </w:pPr>
    </w:p>
    <w:p w:rsidR="001C55F3" w:rsidRDefault="001C55F3">
      <w:pPr>
        <w:rPr>
          <w:rFonts w:eastAsiaTheme="majorEastAsia" w:cs="Times New Roman"/>
          <w:b/>
          <w:bCs/>
          <w:sz w:val="24"/>
          <w:szCs w:val="24"/>
        </w:rPr>
      </w:pPr>
      <w:r>
        <w:rPr>
          <w:rFonts w:eastAsiaTheme="majorEastAsia"/>
          <w:szCs w:val="24"/>
        </w:rPr>
        <w:br w:type="page"/>
      </w:r>
    </w:p>
    <w:p w:rsidR="001C55F3" w:rsidRPr="00B27036" w:rsidRDefault="001C55F3" w:rsidP="001C55F3">
      <w:pPr>
        <w:pStyle w:val="Titre6"/>
        <w:tabs>
          <w:tab w:val="clear" w:pos="1152"/>
          <w:tab w:val="left" w:pos="720"/>
        </w:tabs>
        <w:rPr>
          <w:rFonts w:asciiTheme="minorHAnsi" w:eastAsiaTheme="majorEastAsia" w:hAnsiTheme="minorHAnsi"/>
          <w:szCs w:val="24"/>
        </w:rPr>
      </w:pPr>
      <w:r>
        <w:rPr>
          <w:rFonts w:asciiTheme="minorHAnsi" w:eastAsiaTheme="majorEastAsia" w:hAnsiTheme="minorHAnsi"/>
          <w:szCs w:val="24"/>
        </w:rPr>
        <w:lastRenderedPageBreak/>
        <w:t xml:space="preserve">Step 2: </w:t>
      </w:r>
      <w:r w:rsidRPr="00B27036">
        <w:rPr>
          <w:rFonts w:asciiTheme="minorHAnsi" w:eastAsiaTheme="majorEastAsia" w:hAnsiTheme="minorHAnsi"/>
          <w:szCs w:val="24"/>
        </w:rPr>
        <w:t>Mapping and Assessment Frameworks and Procedures</w:t>
      </w:r>
    </w:p>
    <w:p w:rsidR="001C55F3" w:rsidRDefault="001C55F3" w:rsidP="001C55F3"/>
    <w:p w:rsidR="001C55F3" w:rsidRDefault="001C55F3" w:rsidP="001C55F3">
      <w:pPr>
        <w:jc w:val="center"/>
        <w:rPr>
          <w:rFonts w:eastAsiaTheme="majorEastAsia"/>
          <w:sz w:val="32"/>
          <w:szCs w:val="32"/>
        </w:rPr>
      </w:pPr>
      <w:r>
        <w:rPr>
          <w:rFonts w:eastAsiaTheme="majorEastAsia"/>
          <w:noProof/>
          <w:sz w:val="32"/>
          <w:szCs w:val="32"/>
          <w:lang w:val="fr-BE" w:eastAsia="fr-BE"/>
        </w:rPr>
        <w:drawing>
          <wp:inline distT="0" distB="0" distL="0" distR="0">
            <wp:extent cx="4819650" cy="3547746"/>
            <wp:effectExtent l="0" t="0" r="0" b="0"/>
            <wp:docPr id="123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24701" cy="3551464"/>
                    </a:xfrm>
                    <a:prstGeom prst="rect">
                      <a:avLst/>
                    </a:prstGeom>
                    <a:noFill/>
                    <a:ln>
                      <a:noFill/>
                    </a:ln>
                  </pic:spPr>
                </pic:pic>
              </a:graphicData>
            </a:graphic>
          </wp:inline>
        </w:drawing>
      </w:r>
    </w:p>
    <w:p w:rsidR="001C55F3" w:rsidRDefault="001C55F3" w:rsidP="001C55F3">
      <w:pPr>
        <w:spacing w:after="0" w:line="240" w:lineRule="auto"/>
        <w:rPr>
          <w:b/>
        </w:rPr>
      </w:pPr>
      <w:r>
        <w:rPr>
          <w:b/>
        </w:rPr>
        <w:t>Explanation:</w:t>
      </w:r>
    </w:p>
    <w:p w:rsidR="001C55F3" w:rsidRPr="00371740" w:rsidRDefault="001C55F3" w:rsidP="001C55F3">
      <w:pPr>
        <w:autoSpaceDE w:val="0"/>
        <w:autoSpaceDN w:val="0"/>
        <w:adjustRightInd w:val="0"/>
        <w:spacing w:after="0" w:line="240" w:lineRule="auto"/>
      </w:pPr>
      <w:r w:rsidRPr="001D3FA2">
        <w:t xml:space="preserve">All teams will need to be informed </w:t>
      </w:r>
      <w:r>
        <w:t xml:space="preserve">of </w:t>
      </w:r>
      <w:r w:rsidRPr="001D3FA2">
        <w:t xml:space="preserve">the basic frameworks to work with in the MAES context. Clearly the </w:t>
      </w:r>
      <w:r w:rsidRPr="00B27036">
        <w:rPr>
          <w:b/>
        </w:rPr>
        <w:t>MAES Analytical Framework document</w:t>
      </w:r>
      <w:r>
        <w:t xml:space="preserve">(Maes et al., 2013) </w:t>
      </w:r>
      <w:r w:rsidRPr="001D3FA2">
        <w:t xml:space="preserve">will </w:t>
      </w:r>
      <w:r>
        <w:t>be part of the input documents(Full reference:</w:t>
      </w:r>
      <w:r w:rsidRPr="00371740">
        <w:rPr>
          <w:rFonts w:cs="EC Square Sans Cond Pro"/>
        </w:rPr>
        <w:t>Maes J, Teller A, Erhard M, Liquete C, Braat L, Berry P, Egoh B, Puydarrieux P, Fiorina C, Santos F, Paracchini ML,Keune H, Wittmer H, Hauck J, Fiala I, Verburg PH, Condé S, Schägner JP, San Miguel J, Estreguil C, Ostermann O,Barredo JI, Pereira HM, Stott A, Laporte V, Meiner A, Olah B, Royo Gelabert E, Spyropoulou R, Petersen JE, MaguireC, Zal N, Achilleos E, Rubin A, Ledoux L, Brown C, Raes C, Jacobs S, Vandewalle M, Connor D, Bidoglio G (2013)</w:t>
      </w:r>
      <w:r w:rsidRPr="00371740">
        <w:rPr>
          <w:rFonts w:cs="EC Square Sans Cond Pro"/>
          <w:b/>
        </w:rPr>
        <w:t>Mapping and Assessment of Ecosystems and their Services. An analytical framework for ecosystem assessments under action 5 of the EU biodiversity strategy to 2020</w:t>
      </w:r>
      <w:r w:rsidRPr="00371740">
        <w:rPr>
          <w:rFonts w:cs="EC Square Sans Cond Pro"/>
        </w:rPr>
        <w:t>. Publications office of the European Union, Luxembourg.</w:t>
      </w:r>
      <w:r>
        <w:rPr>
          <w:rFonts w:cs="EC Square Sans Cond Pro"/>
        </w:rPr>
        <w:t>)</w:t>
      </w:r>
    </w:p>
    <w:p w:rsidR="001C55F3" w:rsidRPr="001D3FA2" w:rsidRDefault="001C55F3" w:rsidP="001C55F3">
      <w:pPr>
        <w:spacing w:after="0" w:line="240" w:lineRule="auto"/>
      </w:pPr>
    </w:p>
    <w:p w:rsidR="001C55F3" w:rsidRDefault="001C55F3" w:rsidP="001C55F3">
      <w:pPr>
        <w:spacing w:after="0" w:line="240" w:lineRule="auto"/>
      </w:pPr>
      <w:r w:rsidRPr="001D3FA2">
        <w:t>In addition a preferred list of indicators per Service / Ecosystem combination in the MAES Matrix must be provided</w:t>
      </w:r>
      <w:r>
        <w:t xml:space="preserve"> (see for suggestions: Egoh et al., 2012).</w:t>
      </w:r>
    </w:p>
    <w:p w:rsidR="001C55F3" w:rsidRPr="00AD7462" w:rsidRDefault="001C55F3" w:rsidP="00622218">
      <w:pPr>
        <w:pStyle w:val="Paragraphedeliste"/>
        <w:numPr>
          <w:ilvl w:val="0"/>
          <w:numId w:val="121"/>
        </w:numPr>
        <w:shd w:val="clear" w:color="auto" w:fill="EEECE1" w:themeFill="background2"/>
        <w:spacing w:after="0" w:line="240" w:lineRule="auto"/>
        <w:rPr>
          <w:rFonts w:eastAsiaTheme="majorEastAsia" w:cstheme="majorBidi"/>
          <w:b/>
          <w:bCs/>
        </w:rPr>
      </w:pPr>
      <w:r w:rsidRPr="00B27036">
        <w:rPr>
          <w:lang w:val="nl-NL"/>
        </w:rPr>
        <w:t xml:space="preserve">Egoh, B., Drakou, E.G., Dunbar, M.B., Maes, J., Willemen, L., 2012. </w:t>
      </w:r>
      <w:r w:rsidRPr="00B27036">
        <w:t>Indicators for mapping ecosystem services: a review. Report EUR 25456 EN. Publications Office of the European Union, Luxembourg.</w:t>
      </w:r>
    </w:p>
    <w:p w:rsidR="001C55F3" w:rsidRPr="00AD7462" w:rsidRDefault="001C55F3" w:rsidP="001C55F3">
      <w:pPr>
        <w:spacing w:after="0" w:line="240" w:lineRule="auto"/>
        <w:rPr>
          <w:rFonts w:eastAsiaTheme="majorEastAsia" w:cstheme="majorBidi"/>
          <w:bCs/>
          <w:color w:val="365F91" w:themeColor="accent1" w:themeShade="BF"/>
        </w:rPr>
      </w:pPr>
      <w:r w:rsidRPr="001D3FA2">
        <w:t>The Country team defines which of the listed ecosystems and services are relevant in the country and thus creates the Country Specific MAES MATRIX (prefab available in a generic form). When the preferred indicators are selected then the COUNTRY X MAES matrix is ready for Step 3.</w:t>
      </w:r>
    </w:p>
    <w:p w:rsidR="001C55F3" w:rsidRPr="00D93D78" w:rsidRDefault="001C55F3" w:rsidP="001C55F3">
      <w:pPr>
        <w:pStyle w:val="Paragraphedeliste"/>
        <w:shd w:val="clear" w:color="auto" w:fill="EEECE1" w:themeFill="background2"/>
        <w:spacing w:after="0" w:line="240" w:lineRule="auto"/>
        <w:rPr>
          <w:rFonts w:eastAsiaTheme="majorEastAsia" w:cstheme="majorBidi"/>
          <w:b/>
          <w:bCs/>
          <w:highlight w:val="yellow"/>
        </w:rPr>
      </w:pPr>
      <w:r w:rsidRPr="00D93D78">
        <w:t xml:space="preserve">Neville D. Crossman, Benjamin Burkhard, Stoyan Nedkov, Louise Willemen, Katalin Petz, Ignacio Palomo, Evangelia G. Drakou, Berta Martın-Lopez, Timon McPhearson, Kremena Boyanova, Rob Alkemade, Benis Egoh, Martha B.Dunbar, Joachim Maes (2012) </w:t>
      </w:r>
      <w:r w:rsidRPr="00D93D78">
        <w:rPr>
          <w:b/>
        </w:rPr>
        <w:t>A blueprint for mapping and modelling ecosystem services</w:t>
      </w:r>
      <w:r>
        <w:t>. Ec</w:t>
      </w:r>
      <w:r w:rsidRPr="00D93D78">
        <w:t>osystem Services Vol 4: 4-14</w:t>
      </w:r>
    </w:p>
    <w:p w:rsidR="001C55F3" w:rsidRPr="008514D7" w:rsidRDefault="001C55F3" w:rsidP="001C55F3">
      <w:pPr>
        <w:pStyle w:val="Paragraphedeliste"/>
        <w:spacing w:after="0" w:line="240" w:lineRule="auto"/>
        <w:rPr>
          <w:rFonts w:eastAsiaTheme="majorEastAsia" w:cstheme="majorBidi"/>
          <w:b/>
          <w:bCs/>
          <w:highlight w:val="yellow"/>
        </w:rPr>
      </w:pPr>
    </w:p>
    <w:p w:rsidR="001C55F3" w:rsidRPr="00AD7462" w:rsidRDefault="001C55F3" w:rsidP="001C55F3">
      <w:pPr>
        <w:spacing w:after="0" w:line="240" w:lineRule="auto"/>
        <w:rPr>
          <w:rFonts w:eastAsiaTheme="majorEastAsia" w:cstheme="majorBidi"/>
          <w:b/>
          <w:bCs/>
          <w:u w:val="single"/>
        </w:rPr>
      </w:pPr>
      <w:r w:rsidRPr="00AD7462">
        <w:rPr>
          <w:rFonts w:eastAsiaTheme="majorEastAsia" w:cstheme="majorBidi"/>
          <w:b/>
          <w:bCs/>
          <w:u w:val="single"/>
        </w:rPr>
        <w:t>2.1</w:t>
      </w:r>
      <w:r w:rsidRPr="00AD7462">
        <w:rPr>
          <w:rFonts w:eastAsiaTheme="majorEastAsia" w:cstheme="majorBidi"/>
          <w:b/>
          <w:bCs/>
          <w:u w:val="single"/>
        </w:rPr>
        <w:tab/>
        <w:t>Organise Stakeholder Input</w:t>
      </w:r>
    </w:p>
    <w:p w:rsidR="001C55F3" w:rsidRPr="00E35B72" w:rsidRDefault="001C55F3" w:rsidP="001C55F3">
      <w:pPr>
        <w:spacing w:after="0" w:line="240" w:lineRule="auto"/>
        <w:rPr>
          <w:rFonts w:eastAsiaTheme="majorEastAsia" w:cstheme="majorBidi"/>
          <w:bCs/>
        </w:rPr>
      </w:pPr>
      <w:r>
        <w:rPr>
          <w:rFonts w:eastAsiaTheme="majorEastAsia" w:cstheme="majorBidi"/>
          <w:bCs/>
        </w:rPr>
        <w:lastRenderedPageBreak/>
        <w:t xml:space="preserve">The MESEU project has not analysed successful approaches to involving Stakeholders at different levels of mapping. </w:t>
      </w:r>
      <w:r w:rsidRPr="00E35B72">
        <w:rPr>
          <w:rFonts w:eastAsiaTheme="majorEastAsia" w:cstheme="majorBidi"/>
          <w:bCs/>
        </w:rPr>
        <w:t xml:space="preserve">No special guidance is </w:t>
      </w:r>
      <w:r>
        <w:rPr>
          <w:rFonts w:eastAsiaTheme="majorEastAsia" w:cstheme="majorBidi"/>
          <w:bCs/>
        </w:rPr>
        <w:t xml:space="preserve">therefore </w:t>
      </w:r>
      <w:r w:rsidRPr="00E35B72">
        <w:rPr>
          <w:rFonts w:eastAsiaTheme="majorEastAsia" w:cstheme="majorBidi"/>
          <w:bCs/>
        </w:rPr>
        <w:t>offered at this stage, other than the paper by Hauck et al., 2012 mentioned in step 1.4.</w:t>
      </w:r>
    </w:p>
    <w:p w:rsidR="001C55F3" w:rsidRDefault="001C55F3" w:rsidP="001C55F3">
      <w:pPr>
        <w:spacing w:after="0" w:line="240" w:lineRule="auto"/>
        <w:rPr>
          <w:rFonts w:eastAsiaTheme="majorEastAsia" w:cstheme="majorBidi"/>
          <w:b/>
          <w:bCs/>
          <w:color w:val="365F91" w:themeColor="accent1" w:themeShade="BF"/>
        </w:rPr>
      </w:pPr>
    </w:p>
    <w:p w:rsidR="001C55F3" w:rsidRPr="00AD7462" w:rsidRDefault="001C55F3" w:rsidP="00622218">
      <w:pPr>
        <w:pStyle w:val="Paragraphedeliste"/>
        <w:numPr>
          <w:ilvl w:val="1"/>
          <w:numId w:val="122"/>
        </w:numPr>
        <w:spacing w:after="0" w:line="240" w:lineRule="auto"/>
        <w:rPr>
          <w:rFonts w:eastAsiaTheme="majorEastAsia" w:cstheme="majorBidi"/>
          <w:b/>
          <w:bCs/>
          <w:u w:val="single"/>
        </w:rPr>
      </w:pPr>
      <w:r w:rsidRPr="00AD7462">
        <w:rPr>
          <w:rFonts w:eastAsiaTheme="majorEastAsia" w:cstheme="majorBidi"/>
          <w:b/>
          <w:bCs/>
          <w:u w:val="single"/>
        </w:rPr>
        <w:t>Select Ecosystems</w:t>
      </w:r>
    </w:p>
    <w:p w:rsidR="001C55F3" w:rsidRDefault="001C55F3" w:rsidP="001C55F3">
      <w:pPr>
        <w:pStyle w:val="Paragraphedeliste"/>
        <w:spacing w:after="0" w:line="240" w:lineRule="auto"/>
        <w:ind w:left="0"/>
        <w:rPr>
          <w:rFonts w:eastAsiaTheme="majorEastAsia" w:cstheme="majorBidi"/>
          <w:bCs/>
        </w:rPr>
      </w:pPr>
      <w:r w:rsidRPr="00B27036">
        <w:rPr>
          <w:rFonts w:eastAsiaTheme="majorEastAsia" w:cstheme="majorBidi"/>
          <w:bCs/>
        </w:rPr>
        <w:t xml:space="preserve">In line with the TEEB approach, it is suggested that a systematic selection process is used to arrive at a Member state specific set of ecosystems. </w:t>
      </w:r>
      <w:r>
        <w:rPr>
          <w:rFonts w:eastAsiaTheme="majorEastAsia" w:cstheme="majorBidi"/>
          <w:bCs/>
        </w:rPr>
        <w:t xml:space="preserve">There are 2 major advantages to working with a common checklist: (1) it avoids missing particular ecosystems, which may not be prominent in area, not been researched extensively or part of the historical landscapes, while possibly important for the welfare of some stakeholders; (2) it creates a basis for comparison and aggregation at the EU level, which in turn facilitates exchange of experience, data and knowledge. </w:t>
      </w:r>
      <w:r w:rsidRPr="00161972">
        <w:rPr>
          <w:rFonts w:eastAsiaTheme="majorEastAsia" w:cstheme="majorBidi"/>
          <w:bCs/>
        </w:rPr>
        <w:t>Obviously, the most important document to start with is:</w:t>
      </w:r>
      <w:r>
        <w:rPr>
          <w:rFonts w:eastAsiaTheme="majorEastAsia" w:cstheme="majorBidi"/>
          <w:bCs/>
        </w:rPr>
        <w:t xml:space="preserve">the </w:t>
      </w:r>
      <w:r w:rsidRPr="00161972">
        <w:rPr>
          <w:rFonts w:eastAsiaTheme="majorEastAsia" w:cstheme="majorBidi"/>
          <w:b/>
          <w:bCs/>
        </w:rPr>
        <w:t>MAES Analytical Framework (MAF),  Ecosystems Table = Maes et al., 2013: ANNEX 2 (Table 3) links to CORINE land cover classes (see below</w:t>
      </w:r>
      <w:r>
        <w:rPr>
          <w:rFonts w:eastAsiaTheme="majorEastAsia" w:cstheme="majorBidi"/>
          <w:bCs/>
        </w:rPr>
        <w:t>.</w:t>
      </w:r>
      <w:r w:rsidRPr="00161972">
        <w:rPr>
          <w:rFonts w:eastAsiaTheme="majorEastAsia" w:cstheme="majorBidi"/>
          <w:bCs/>
        </w:rPr>
        <w:t xml:space="preserve">A description of the ecosystem types is available in this documents, </w:t>
      </w:r>
      <w:r>
        <w:rPr>
          <w:rFonts w:eastAsiaTheme="majorEastAsia" w:cstheme="majorBidi"/>
          <w:bCs/>
        </w:rPr>
        <w:t>which facilitates comparison wi</w:t>
      </w:r>
      <w:r w:rsidRPr="00161972">
        <w:rPr>
          <w:rFonts w:eastAsiaTheme="majorEastAsia" w:cstheme="majorBidi"/>
          <w:bCs/>
        </w:rPr>
        <w:t>th existing ecosystem classifications in the different Member states</w:t>
      </w:r>
      <w:r>
        <w:rPr>
          <w:rFonts w:eastAsiaTheme="majorEastAsia" w:cstheme="majorBidi"/>
          <w:bCs/>
        </w:rPr>
        <w:t>:</w:t>
      </w:r>
    </w:p>
    <w:p w:rsidR="001C55F3" w:rsidRDefault="001C55F3" w:rsidP="001C55F3">
      <w:pPr>
        <w:pStyle w:val="Paragraphedeliste"/>
        <w:spacing w:after="0" w:line="240" w:lineRule="auto"/>
        <w:ind w:left="0"/>
        <w:rPr>
          <w:rFonts w:eastAsiaTheme="majorEastAsia" w:cstheme="majorBidi"/>
          <w:bCs/>
        </w:rPr>
      </w:pPr>
    </w:p>
    <w:p w:rsidR="001C55F3" w:rsidRDefault="001C55F3" w:rsidP="001C55F3">
      <w:pPr>
        <w:shd w:val="clear" w:color="auto" w:fill="EEECE1" w:themeFill="background2"/>
        <w:spacing w:after="0" w:line="240" w:lineRule="auto"/>
        <w:rPr>
          <w:rFonts w:cs="EC Square Sans Cond Pro,Bold"/>
          <w:b/>
          <w:bCs/>
          <w:color w:val="000000"/>
          <w:sz w:val="23"/>
          <w:szCs w:val="23"/>
          <w:u w:val="single"/>
        </w:rPr>
      </w:pPr>
      <w:r w:rsidRPr="00E35B72">
        <w:rPr>
          <w:rFonts w:cs="EC Square Sans Cond Pro,Bold"/>
          <w:b/>
          <w:bCs/>
          <w:color w:val="000000"/>
          <w:sz w:val="23"/>
          <w:szCs w:val="23"/>
          <w:u w:val="single"/>
        </w:rPr>
        <w:t>Terrestrial ecosystems</w:t>
      </w:r>
    </w:p>
    <w:p w:rsidR="001C55F3" w:rsidRPr="001627FA" w:rsidRDefault="001C55F3" w:rsidP="001C55F3">
      <w:pPr>
        <w:shd w:val="clear" w:color="auto" w:fill="EEECE1" w:themeFill="background2"/>
        <w:spacing w:line="240" w:lineRule="auto"/>
        <w:rPr>
          <w:rFonts w:cs="EC Square Sans Cond Pro,Bold"/>
          <w:b/>
          <w:bCs/>
          <w:color w:val="000000"/>
          <w:sz w:val="23"/>
          <w:szCs w:val="23"/>
          <w:u w:val="single"/>
        </w:rPr>
      </w:pPr>
      <w:r w:rsidRPr="00E35B72">
        <w:rPr>
          <w:rFonts w:cs="EC Square Sans Cond Pro"/>
          <w:color w:val="000000"/>
        </w:rPr>
        <w:t>The terrestrial ecosystems as delineated from Corine Land Cover classification and map are subdivided into urban systems, cropland, grassland, woodland and forest, heathland and shrub, sparsely vegetated land and wetlands.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Bold"/>
          <w:b/>
          <w:bCs/>
          <w:color w:val="000000"/>
          <w:sz w:val="20"/>
          <w:szCs w:val="20"/>
        </w:rPr>
        <w:t xml:space="preserve">Urban ecosystems </w:t>
      </w:r>
      <w:r w:rsidRPr="00E35B72">
        <w:rPr>
          <w:rFonts w:cs="EC Square Sans Cond Pro"/>
          <w:color w:val="000000"/>
          <w:sz w:val="20"/>
          <w:szCs w:val="20"/>
        </w:rPr>
        <w:t>are areas where most of the human population lives and it is also a class significantly affecting other ecosystem types. Urban areas represent mainly human habitats but they usually include significant areas for synanthropic species, which are associated with urban habitats. This class includes urban, industrial, commercial, and transport areas, urban green areas, mines, dumping and construction sites.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Bold"/>
          <w:b/>
          <w:bCs/>
          <w:color w:val="000000"/>
          <w:sz w:val="20"/>
          <w:szCs w:val="20"/>
        </w:rPr>
        <w:t xml:space="preserve">Cropland </w:t>
      </w:r>
      <w:r w:rsidRPr="00E35B72">
        <w:rPr>
          <w:rFonts w:cs="EC Square Sans Cond Pro"/>
          <w:color w:val="000000"/>
          <w:sz w:val="20"/>
          <w:szCs w:val="20"/>
        </w:rPr>
        <w:t>is the main food production area including both intensively managed ecosystems and multifunctional areas supporting many semi- and natural species along with food production (lower intensity management). It includes regularly or recently cultivated agricultural, horticultural and domestic habitats and agro-ecosystems with significant coverage of natural vegetation (agricultural mosaics).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Bold"/>
          <w:b/>
          <w:bCs/>
          <w:color w:val="000000"/>
          <w:sz w:val="20"/>
          <w:szCs w:val="20"/>
        </w:rPr>
        <w:t xml:space="preserve">Grassland </w:t>
      </w:r>
      <w:r w:rsidRPr="00E35B72">
        <w:rPr>
          <w:rFonts w:cs="EC Square Sans Cond Pro"/>
          <w:color w:val="000000"/>
          <w:sz w:val="20"/>
          <w:szCs w:val="20"/>
        </w:rPr>
        <w:t>covers areas dominated by grassy vegetation (including tall forbs, mosses and lichens) of two kinds – managed pastures and (semi-)natural (extensively managed) grasslands.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Bold"/>
          <w:b/>
          <w:bCs/>
          <w:color w:val="000000"/>
          <w:sz w:val="20"/>
          <w:szCs w:val="20"/>
        </w:rPr>
        <w:t xml:space="preserve">Woodland and forest </w:t>
      </w:r>
      <w:r w:rsidRPr="00E35B72">
        <w:rPr>
          <w:rFonts w:cs="EC Square Sans Cond Pro"/>
          <w:color w:val="000000"/>
          <w:sz w:val="20"/>
          <w:szCs w:val="20"/>
        </w:rPr>
        <w:t>are areas dominated by woody vegetation of various age or they have succession climax vegetation types on most of the area supporting many ecosystem services.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Bold"/>
          <w:b/>
          <w:bCs/>
          <w:color w:val="000000"/>
          <w:sz w:val="20"/>
          <w:szCs w:val="20"/>
        </w:rPr>
        <w:t xml:space="preserve">Heathland and shrub </w:t>
      </w:r>
      <w:r w:rsidRPr="00E35B72">
        <w:rPr>
          <w:rFonts w:cs="EC Square Sans Cond Pro"/>
          <w:color w:val="000000"/>
          <w:sz w:val="20"/>
          <w:szCs w:val="20"/>
        </w:rPr>
        <w:t>are areas with vegetation dominated by shrubs or dwarf shrubs. They are mostly secondary ecosystems with unfavourable natural conditions. They include moors, heathland and sclerophyllous vegetation.</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Bold"/>
          <w:b/>
          <w:bCs/>
          <w:color w:val="000000"/>
          <w:sz w:val="20"/>
          <w:szCs w:val="20"/>
        </w:rPr>
        <w:t xml:space="preserve">Sparsely or unvegetated land </w:t>
      </w:r>
      <w:r w:rsidRPr="00E35B72">
        <w:rPr>
          <w:rFonts w:cs="EC Square Sans Cond Pro"/>
          <w:color w:val="000000"/>
          <w:sz w:val="20"/>
          <w:szCs w:val="20"/>
        </w:rPr>
        <w:t>are all unvegetated or sparsely vegetated habitats (naturally unvegetated areas). Often these ecosystems have extreme natural conditions that might support particular species. They include bare rocks, glaciers and dunes, beaches and sand plains.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Bold"/>
          <w:b/>
          <w:bCs/>
          <w:color w:val="000000"/>
          <w:sz w:val="20"/>
          <w:szCs w:val="20"/>
        </w:rPr>
        <w:t xml:space="preserve">Inland wetlands </w:t>
      </w:r>
      <w:r w:rsidRPr="00E35B72">
        <w:rPr>
          <w:rFonts w:cs="EC Square Sans Cond Pro"/>
          <w:color w:val="000000"/>
          <w:sz w:val="20"/>
          <w:szCs w:val="20"/>
        </w:rPr>
        <w:t>are predominantly water-logged specific plant and animal communities supporting water regulation and peat-related processes. This class includes natural or modified mires, bogs and fens, as well as peat extraction sites.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Bold"/>
          <w:b/>
          <w:bCs/>
          <w:color w:val="000000"/>
          <w:sz w:val="23"/>
          <w:szCs w:val="23"/>
        </w:rPr>
      </w:pP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Bold"/>
          <w:b/>
          <w:bCs/>
          <w:color w:val="000000"/>
          <w:sz w:val="23"/>
          <w:szCs w:val="23"/>
          <w:u w:val="single"/>
        </w:rPr>
      </w:pPr>
      <w:r w:rsidRPr="00E35B72">
        <w:rPr>
          <w:rFonts w:cs="EC Square Sans Cond Pro,Bold"/>
          <w:b/>
          <w:bCs/>
          <w:color w:val="000000"/>
          <w:sz w:val="23"/>
          <w:szCs w:val="23"/>
          <w:u w:val="single"/>
        </w:rPr>
        <w:t>Freshwater ecosystems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rPr>
      </w:pPr>
      <w:r w:rsidRPr="00E35B72">
        <w:rPr>
          <w:rFonts w:cs="EC Square Sans Cond Pro"/>
          <w:color w:val="000000"/>
        </w:rPr>
        <w:t>Freshwater ecosystems include at level 2 one single class: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Bold"/>
          <w:b/>
          <w:bCs/>
          <w:color w:val="000000"/>
          <w:sz w:val="20"/>
          <w:szCs w:val="20"/>
        </w:rPr>
        <w:t xml:space="preserve">Rivers and lakes </w:t>
      </w:r>
      <w:r w:rsidRPr="00E35B72">
        <w:rPr>
          <w:rFonts w:cs="EC Square Sans Cond Pro"/>
          <w:color w:val="000000"/>
          <w:sz w:val="20"/>
          <w:szCs w:val="20"/>
        </w:rPr>
        <w:t>which are the permanent freshwater inland surface waters. This class includes water courses and water bodies.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Bold"/>
          <w:b/>
          <w:bCs/>
          <w:color w:val="000000"/>
          <w:sz w:val="23"/>
          <w:szCs w:val="23"/>
        </w:rPr>
      </w:pP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Bold"/>
          <w:b/>
          <w:bCs/>
          <w:color w:val="000000"/>
          <w:sz w:val="23"/>
          <w:szCs w:val="23"/>
          <w:u w:val="single"/>
        </w:rPr>
      </w:pPr>
      <w:r w:rsidRPr="00E35B72">
        <w:rPr>
          <w:rFonts w:cs="EC Square Sans Cond Pro,Bold"/>
          <w:b/>
          <w:bCs/>
          <w:color w:val="000000"/>
          <w:sz w:val="23"/>
          <w:szCs w:val="23"/>
          <w:u w:val="single"/>
        </w:rPr>
        <w:t>Marine ecosystems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rPr>
      </w:pPr>
      <w:r w:rsidRPr="00E35B72">
        <w:rPr>
          <w:rFonts w:cs="EC Square Sans Cond Pro"/>
          <w:color w:val="000000"/>
        </w:rPr>
        <w:t>The typology of marine ecosystems reduces the 3-dimensional structure of the ocean to the 2 dimensions of the seabed (benthic) habitats, attributing the 3rd dimension, the water column (pelagic habitats), to depth zones. Brackish water and marine ecosystems in the land-sea interface are grouped together in a single type.</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lastRenderedPageBreak/>
        <w:t xml:space="preserve"> </w:t>
      </w:r>
      <w:r w:rsidRPr="00E35B72">
        <w:rPr>
          <w:rFonts w:cs="EC Square Sans Cond Pro,Bold"/>
          <w:b/>
          <w:bCs/>
          <w:color w:val="000000"/>
          <w:sz w:val="20"/>
          <w:szCs w:val="20"/>
        </w:rPr>
        <w:t xml:space="preserve">Marine inlets and transitional waters </w:t>
      </w:r>
      <w:r w:rsidRPr="00E35B72">
        <w:rPr>
          <w:rFonts w:cs="EC Square Sans Cond Pro"/>
          <w:color w:val="000000"/>
          <w:sz w:val="20"/>
          <w:szCs w:val="20"/>
        </w:rPr>
        <w:t>are ecosystems on the land-water interface under the influence of tides and with salinity higher than 0.5 ‰. They include coastal wetlands, lagoons, estuaries and other transitional waters, fjords and sea lochs as well as embayments.</w:t>
      </w:r>
    </w:p>
    <w:p w:rsidR="001C55F3" w:rsidRPr="00E35B72"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
          <w:color w:val="000000"/>
          <w:sz w:val="20"/>
          <w:szCs w:val="20"/>
        </w:rPr>
        <w:t xml:space="preserve">The </w:t>
      </w:r>
      <w:r w:rsidRPr="00E35B72">
        <w:rPr>
          <w:rFonts w:cs="EC Square Sans Cond Pro,Bold"/>
          <w:b/>
          <w:bCs/>
          <w:color w:val="000000"/>
          <w:sz w:val="20"/>
          <w:szCs w:val="20"/>
        </w:rPr>
        <w:t xml:space="preserve">coastal areas </w:t>
      </w:r>
      <w:r w:rsidRPr="00E35B72">
        <w:rPr>
          <w:rFonts w:cs="EC Square Sans Cond Pro"/>
          <w:color w:val="000000"/>
          <w:sz w:val="20"/>
          <w:szCs w:val="20"/>
        </w:rPr>
        <w:t>refer to coastal, shallow, marine systems that experience significant land-based influences. These systems undergo diurnal fluctuations in temperature, salinity and turbidity, and are subject to wave disturbance. Depth is between 50 and 70 m.</w:t>
      </w:r>
    </w:p>
    <w:p w:rsidR="001C55F3" w:rsidRDefault="001C55F3" w:rsidP="001C55F3">
      <w:pPr>
        <w:shd w:val="clear" w:color="auto" w:fill="EEECE1" w:themeFill="background2"/>
        <w:autoSpaceDE w:val="0"/>
        <w:autoSpaceDN w:val="0"/>
        <w:adjustRightInd w:val="0"/>
        <w:spacing w:after="0" w:line="240" w:lineRule="auto"/>
        <w:rPr>
          <w:rFonts w:cs="EC Square Sans Cond Pro"/>
          <w:color w:val="000000"/>
          <w:sz w:val="20"/>
          <w:szCs w:val="20"/>
        </w:rPr>
      </w:pPr>
      <w:r w:rsidRPr="00E35B72">
        <w:rPr>
          <w:rFonts w:cs="Symbol"/>
          <w:color w:val="000000"/>
          <w:sz w:val="20"/>
          <w:szCs w:val="20"/>
        </w:rPr>
        <w:t xml:space="preserve"> </w:t>
      </w:r>
      <w:r w:rsidRPr="00E35B72">
        <w:rPr>
          <w:rFonts w:cs="EC Square Sans Cond Pro"/>
          <w:color w:val="000000"/>
          <w:sz w:val="20"/>
          <w:szCs w:val="20"/>
        </w:rPr>
        <w:t xml:space="preserve">The </w:t>
      </w:r>
      <w:r w:rsidRPr="00E35B72">
        <w:rPr>
          <w:rFonts w:cs="EC Square Sans Cond Pro,Bold"/>
          <w:b/>
          <w:bCs/>
          <w:color w:val="000000"/>
          <w:sz w:val="20"/>
          <w:szCs w:val="20"/>
        </w:rPr>
        <w:t xml:space="preserve">shelf </w:t>
      </w:r>
      <w:r w:rsidRPr="00E35B72">
        <w:rPr>
          <w:rFonts w:cs="EC Square Sans Cond Pro"/>
          <w:color w:val="000000"/>
          <w:sz w:val="20"/>
          <w:szCs w:val="20"/>
        </w:rPr>
        <w:t>refers to marine systems away from coastal influence, down to the shelf break. They experience more stable temperature and salinity regimes than coastal systems, and their seabed is below wave disturbance. They are usually about 200 m deep.</w:t>
      </w:r>
    </w:p>
    <w:p w:rsidR="001C55F3" w:rsidRPr="00E35B72" w:rsidRDefault="001C55F3" w:rsidP="001C55F3">
      <w:pPr>
        <w:shd w:val="clear" w:color="auto" w:fill="EEECE1" w:themeFill="background2"/>
        <w:autoSpaceDE w:val="0"/>
        <w:autoSpaceDN w:val="0"/>
        <w:adjustRightInd w:val="0"/>
        <w:spacing w:after="0" w:line="240" w:lineRule="auto"/>
        <w:rPr>
          <w:rFonts w:eastAsiaTheme="majorEastAsia" w:cstheme="majorBidi"/>
          <w:b/>
          <w:bCs/>
          <w:sz w:val="20"/>
          <w:szCs w:val="20"/>
          <w:highlight w:val="yellow"/>
        </w:rPr>
      </w:pPr>
    </w:p>
    <w:p w:rsidR="001C55F3" w:rsidRPr="00E35B72" w:rsidRDefault="001C55F3" w:rsidP="001C55F3">
      <w:pPr>
        <w:spacing w:after="0" w:line="240" w:lineRule="auto"/>
        <w:jc w:val="center"/>
        <w:rPr>
          <w:rFonts w:eastAsiaTheme="majorEastAsia" w:cstheme="majorBidi"/>
          <w:b/>
          <w:bCs/>
          <w:sz w:val="20"/>
          <w:szCs w:val="20"/>
          <w:highlight w:val="yellow"/>
        </w:rPr>
      </w:pPr>
      <w:r>
        <w:rPr>
          <w:rFonts w:eastAsiaTheme="majorEastAsia" w:cstheme="majorBidi"/>
          <w:b/>
          <w:bCs/>
          <w:noProof/>
          <w:sz w:val="20"/>
          <w:szCs w:val="20"/>
          <w:lang w:val="fr-BE" w:eastAsia="fr-BE"/>
        </w:rPr>
        <w:drawing>
          <wp:inline distT="0" distB="0" distL="0" distR="0">
            <wp:extent cx="5067586" cy="6354372"/>
            <wp:effectExtent l="0" t="0" r="0" b="8890"/>
            <wp:docPr id="123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1984" cy="6372426"/>
                    </a:xfrm>
                    <a:prstGeom prst="rect">
                      <a:avLst/>
                    </a:prstGeom>
                    <a:noFill/>
                    <a:ln>
                      <a:noFill/>
                    </a:ln>
                  </pic:spPr>
                </pic:pic>
              </a:graphicData>
            </a:graphic>
          </wp:inline>
        </w:drawing>
      </w:r>
    </w:p>
    <w:p w:rsidR="001C55F3" w:rsidRDefault="001C55F3" w:rsidP="001C55F3">
      <w:pPr>
        <w:spacing w:after="0" w:line="240" w:lineRule="auto"/>
        <w:rPr>
          <w:rFonts w:eastAsiaTheme="majorEastAsia" w:cstheme="majorBidi"/>
          <w:b/>
          <w:bCs/>
          <w:highlight w:val="yellow"/>
        </w:rPr>
      </w:pPr>
    </w:p>
    <w:p w:rsidR="001C55F3" w:rsidRPr="00AD7462" w:rsidRDefault="001C55F3" w:rsidP="001C55F3">
      <w:pPr>
        <w:pStyle w:val="Paragraphedeliste"/>
        <w:spacing w:after="0" w:line="240" w:lineRule="auto"/>
        <w:ind w:left="0"/>
        <w:rPr>
          <w:rFonts w:eastAsiaTheme="majorEastAsia" w:cstheme="majorBidi"/>
          <w:b/>
          <w:bCs/>
        </w:rPr>
      </w:pPr>
      <w:r w:rsidRPr="00730E7C">
        <w:rPr>
          <w:rFonts w:eastAsiaTheme="majorEastAsia" w:cstheme="majorBidi"/>
          <w:bCs/>
        </w:rPr>
        <w:t>Clearly individual member states will have to make a selection in line with their biogeographical context</w:t>
      </w:r>
      <w:r>
        <w:rPr>
          <w:rFonts w:eastAsiaTheme="majorEastAsia" w:cstheme="majorBidi"/>
          <w:b/>
          <w:bCs/>
        </w:rPr>
        <w:t xml:space="preserve">. </w:t>
      </w:r>
      <w:r w:rsidRPr="00AD7462">
        <w:rPr>
          <w:rFonts w:eastAsiaTheme="majorEastAsia" w:cstheme="majorBidi"/>
          <w:b/>
          <w:bCs/>
        </w:rPr>
        <w:t>A EU wide map to assist the member states is not yet available, so to harmonise the actual delineations of ecosystems (following the above classification) will be a challenge for the near future.</w:t>
      </w:r>
    </w:p>
    <w:p w:rsidR="001C55F3" w:rsidRPr="00AD7462" w:rsidRDefault="001C55F3" w:rsidP="001C55F3">
      <w:pPr>
        <w:spacing w:after="0" w:line="240" w:lineRule="auto"/>
        <w:rPr>
          <w:rFonts w:eastAsiaTheme="majorEastAsia" w:cstheme="majorBidi"/>
          <w:b/>
          <w:bCs/>
          <w:u w:val="single"/>
        </w:rPr>
      </w:pPr>
      <w:r w:rsidRPr="00AD7462">
        <w:rPr>
          <w:rFonts w:eastAsiaTheme="majorEastAsia" w:cstheme="majorBidi"/>
          <w:b/>
          <w:bCs/>
          <w:u w:val="single"/>
        </w:rPr>
        <w:lastRenderedPageBreak/>
        <w:t xml:space="preserve">2.3 </w:t>
      </w:r>
      <w:r w:rsidRPr="00AD7462">
        <w:rPr>
          <w:rFonts w:eastAsiaTheme="majorEastAsia" w:cstheme="majorBidi"/>
          <w:b/>
          <w:bCs/>
          <w:u w:val="single"/>
        </w:rPr>
        <w:tab/>
        <w:t>Select Ecosystem Services</w:t>
      </w:r>
    </w:p>
    <w:p w:rsidR="001C55F3" w:rsidRDefault="001C55F3" w:rsidP="001C55F3">
      <w:pPr>
        <w:spacing w:after="0" w:line="240" w:lineRule="auto"/>
        <w:rPr>
          <w:rFonts w:eastAsiaTheme="majorEastAsia" w:cstheme="majorBidi"/>
          <w:bCs/>
        </w:rPr>
      </w:pPr>
      <w:r w:rsidRPr="00791E4C">
        <w:rPr>
          <w:rFonts w:eastAsiaTheme="majorEastAsia" w:cstheme="majorBidi"/>
          <w:bCs/>
        </w:rPr>
        <w:t>The intention is to have the Action 5 m</w:t>
      </w:r>
      <w:r>
        <w:rPr>
          <w:rFonts w:eastAsiaTheme="majorEastAsia" w:cstheme="majorBidi"/>
          <w:bCs/>
        </w:rPr>
        <w:t>apping be harmon</w:t>
      </w:r>
      <w:r w:rsidRPr="00791E4C">
        <w:rPr>
          <w:rFonts w:eastAsiaTheme="majorEastAsia" w:cstheme="majorBidi"/>
          <w:bCs/>
        </w:rPr>
        <w:t>ised across the EU, and to use the CICES system of ecosystem services in all MS.</w:t>
      </w:r>
      <w:r>
        <w:rPr>
          <w:rFonts w:eastAsiaTheme="majorEastAsia" w:cstheme="majorBidi"/>
          <w:bCs/>
        </w:rPr>
        <w:t xml:space="preserve"> However, at this moment, there are 2 major obstacles to this ambition: (1) The CICES system is still being refined, and (minor) changes and additions may be expected. (2) Many of the currently available ecosystem services studies, including mapping efforts, are based on Millennium Ecosystem Assessment or TEEB classifications of ecosystem services. And to facilitate Member states which prefer to work with existing maps, a pragmatic interim solution is offered by using a translation table (see below) which connects CICES to the MA and TEEB.</w:t>
      </w:r>
    </w:p>
    <w:p w:rsidR="001C55F3" w:rsidRPr="00791E4C" w:rsidRDefault="001C55F3" w:rsidP="001C55F3">
      <w:pPr>
        <w:spacing w:after="0" w:line="240" w:lineRule="auto"/>
        <w:rPr>
          <w:rFonts w:eastAsiaTheme="majorEastAsia" w:cstheme="majorBidi"/>
          <w:bCs/>
        </w:rPr>
      </w:pPr>
    </w:p>
    <w:p w:rsidR="001C55F3" w:rsidRDefault="001C55F3">
      <w:pPr>
        <w:rPr>
          <w:rFonts w:eastAsiaTheme="majorEastAsia" w:cstheme="majorBidi"/>
          <w:b/>
          <w:bCs/>
        </w:rPr>
      </w:pPr>
      <w:r w:rsidRPr="00AD7462">
        <w:rPr>
          <w:rFonts w:eastAsiaTheme="majorEastAsia" w:cstheme="majorBidi"/>
          <w:b/>
          <w:bCs/>
          <w:noProof/>
          <w:lang w:val="fr-BE" w:eastAsia="fr-BE"/>
        </w:rPr>
        <w:drawing>
          <wp:inline distT="0" distB="0" distL="0" distR="0">
            <wp:extent cx="5761512" cy="6384175"/>
            <wp:effectExtent l="0" t="0" r="0" b="0"/>
            <wp:docPr id="123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3857" cy="6386773"/>
                    </a:xfrm>
                    <a:prstGeom prst="rect">
                      <a:avLst/>
                    </a:prstGeom>
                    <a:noFill/>
                    <a:ln>
                      <a:noFill/>
                    </a:ln>
                    <a:effectLst/>
                    <a:extLst/>
                  </pic:spPr>
                </pic:pic>
              </a:graphicData>
            </a:graphic>
          </wp:inline>
        </w:drawing>
      </w:r>
    </w:p>
    <w:p w:rsidR="001C55F3" w:rsidRPr="00161972" w:rsidRDefault="001C55F3" w:rsidP="001C55F3">
      <w:pPr>
        <w:spacing w:after="0" w:line="240" w:lineRule="auto"/>
        <w:rPr>
          <w:rFonts w:eastAsiaTheme="majorEastAsia" w:cstheme="majorBidi"/>
          <w:b/>
          <w:bCs/>
        </w:rPr>
      </w:pPr>
      <w:r w:rsidRPr="00026DAB">
        <w:rPr>
          <w:rFonts w:eastAsiaTheme="majorEastAsia" w:cstheme="majorBidi"/>
          <w:bCs/>
        </w:rPr>
        <w:t xml:space="preserve">TheMAES Analytical Framework (MAF) CICES Ecosystem Services Table is available in ANNEX 3 in Maes et al., 2013 (the heading of a multipage table is copied  below). </w:t>
      </w:r>
      <w:r>
        <w:rPr>
          <w:rFonts w:eastAsiaTheme="majorEastAsia" w:cstheme="majorBidi"/>
          <w:b/>
          <w:bCs/>
        </w:rPr>
        <w:t>In the more developed version of the Guidance document, this table must be included in full version, possibly as a digital document, to allow users to select the relevant services for their country.</w:t>
      </w:r>
    </w:p>
    <w:p w:rsidR="001C55F3" w:rsidRDefault="001C55F3" w:rsidP="001C55F3">
      <w:pPr>
        <w:spacing w:after="0" w:line="240" w:lineRule="auto"/>
        <w:ind w:left="360"/>
        <w:rPr>
          <w:rFonts w:eastAsiaTheme="majorEastAsia" w:cstheme="majorBidi"/>
          <w:b/>
          <w:bCs/>
          <w:highlight w:val="yellow"/>
        </w:rPr>
      </w:pPr>
    </w:p>
    <w:p w:rsidR="001C55F3" w:rsidRPr="00791E4C" w:rsidRDefault="001C55F3" w:rsidP="001C55F3">
      <w:pPr>
        <w:spacing w:after="0" w:line="240" w:lineRule="auto"/>
        <w:ind w:left="360"/>
        <w:rPr>
          <w:rFonts w:eastAsiaTheme="majorEastAsia" w:cstheme="majorBidi"/>
          <w:b/>
          <w:bCs/>
          <w:highlight w:val="yellow"/>
        </w:rPr>
      </w:pPr>
    </w:p>
    <w:p w:rsidR="001C55F3" w:rsidRDefault="001C55F3" w:rsidP="001C55F3">
      <w:pPr>
        <w:spacing w:after="0" w:line="240" w:lineRule="auto"/>
        <w:rPr>
          <w:rFonts w:eastAsiaTheme="majorEastAsia" w:cstheme="majorBidi"/>
          <w:b/>
          <w:bCs/>
          <w:color w:val="365F91" w:themeColor="accent1" w:themeShade="BF"/>
        </w:rPr>
      </w:pPr>
      <w:r>
        <w:rPr>
          <w:rFonts w:eastAsiaTheme="majorEastAsia" w:cstheme="majorBidi"/>
          <w:b/>
          <w:bCs/>
          <w:noProof/>
          <w:color w:val="365F91" w:themeColor="accent1" w:themeShade="BF"/>
          <w:lang w:val="fr-BE" w:eastAsia="fr-BE"/>
        </w:rPr>
        <w:drawing>
          <wp:inline distT="0" distB="0" distL="0" distR="0">
            <wp:extent cx="5760720" cy="1567880"/>
            <wp:effectExtent l="0" t="0" r="0" b="0"/>
            <wp:docPr id="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1567880"/>
                    </a:xfrm>
                    <a:prstGeom prst="rect">
                      <a:avLst/>
                    </a:prstGeom>
                    <a:noFill/>
                    <a:ln>
                      <a:noFill/>
                    </a:ln>
                  </pic:spPr>
                </pic:pic>
              </a:graphicData>
            </a:graphic>
          </wp:inline>
        </w:drawing>
      </w:r>
    </w:p>
    <w:p w:rsidR="001C55F3" w:rsidRDefault="001C55F3" w:rsidP="001C55F3">
      <w:pPr>
        <w:spacing w:after="0" w:line="240" w:lineRule="auto"/>
        <w:rPr>
          <w:rFonts w:eastAsiaTheme="majorEastAsia" w:cstheme="majorBidi"/>
          <w:b/>
          <w:bCs/>
          <w:color w:val="365F91" w:themeColor="accent1" w:themeShade="BF"/>
        </w:rPr>
      </w:pPr>
    </w:p>
    <w:p w:rsidR="001C55F3" w:rsidRPr="00161972" w:rsidRDefault="001C55F3" w:rsidP="001C55F3">
      <w:pPr>
        <w:spacing w:line="240" w:lineRule="auto"/>
        <w:rPr>
          <w:rFonts w:eastAsiaTheme="majorEastAsia" w:cstheme="majorBidi"/>
          <w:bCs/>
        </w:rPr>
      </w:pPr>
      <w:r w:rsidRPr="00161972">
        <w:rPr>
          <w:rFonts w:eastAsiaTheme="majorEastAsia" w:cstheme="majorBidi"/>
          <w:bCs/>
        </w:rPr>
        <w:t>From the selection of Ecosystems and Ecosystem Services, a matrix can be constructed, which in the Flow Chart is indicated in the Green symbol with the text:</w:t>
      </w:r>
    </w:p>
    <w:p w:rsidR="001C55F3" w:rsidRPr="00356695" w:rsidRDefault="001C55F3" w:rsidP="00622218">
      <w:pPr>
        <w:pStyle w:val="Paragraphedeliste"/>
        <w:numPr>
          <w:ilvl w:val="0"/>
          <w:numId w:val="121"/>
        </w:numPr>
        <w:shd w:val="clear" w:color="auto" w:fill="92D050"/>
        <w:spacing w:after="0" w:line="240" w:lineRule="auto"/>
        <w:rPr>
          <w:rFonts w:eastAsiaTheme="majorEastAsia" w:cstheme="majorBidi"/>
          <w:b/>
          <w:bCs/>
        </w:rPr>
      </w:pPr>
      <w:r w:rsidRPr="00356695">
        <w:rPr>
          <w:rFonts w:eastAsiaTheme="majorEastAsia" w:cstheme="majorBidi"/>
          <w:b/>
          <w:bCs/>
        </w:rPr>
        <w:t>COUNTRY X (COMBINATION) MATRIX ECOSYSTEMS – ECOSYSTEM SERVICES version 1</w:t>
      </w:r>
    </w:p>
    <w:p w:rsidR="001C55F3" w:rsidRDefault="001C55F3" w:rsidP="001C55F3">
      <w:pPr>
        <w:spacing w:after="0" w:line="240" w:lineRule="auto"/>
        <w:rPr>
          <w:rFonts w:eastAsiaTheme="majorEastAsia" w:cstheme="majorBidi"/>
          <w:b/>
          <w:bCs/>
          <w:color w:val="365F91" w:themeColor="accent1" w:themeShade="BF"/>
        </w:rPr>
      </w:pPr>
    </w:p>
    <w:p w:rsidR="001C55F3" w:rsidRDefault="001C55F3" w:rsidP="001C55F3">
      <w:pPr>
        <w:spacing w:after="0" w:line="240" w:lineRule="auto"/>
        <w:rPr>
          <w:rFonts w:eastAsiaTheme="majorEastAsia" w:cstheme="majorBidi"/>
          <w:bCs/>
        </w:rPr>
      </w:pPr>
      <w:r w:rsidRPr="005E17AA">
        <w:rPr>
          <w:rFonts w:eastAsiaTheme="majorEastAsia" w:cstheme="majorBidi"/>
          <w:bCs/>
        </w:rPr>
        <w:t xml:space="preserve">For the EU Thematic pilots (i.c. the ecosystem pilots agro-ecosystems, forest, fresh water and marine) </w:t>
      </w:r>
      <w:r>
        <w:rPr>
          <w:rFonts w:eastAsiaTheme="majorEastAsia" w:cstheme="majorBidi"/>
          <w:bCs/>
        </w:rPr>
        <w:t xml:space="preserve">such </w:t>
      </w:r>
      <w:r w:rsidRPr="005E17AA">
        <w:rPr>
          <w:rFonts w:eastAsiaTheme="majorEastAsia" w:cstheme="majorBidi"/>
          <w:bCs/>
        </w:rPr>
        <w:t>a combination matri</w:t>
      </w:r>
      <w:r>
        <w:rPr>
          <w:rFonts w:eastAsiaTheme="majorEastAsia" w:cstheme="majorBidi"/>
          <w:bCs/>
        </w:rPr>
        <w:t>x</w:t>
      </w:r>
      <w:r w:rsidRPr="005E17AA">
        <w:rPr>
          <w:rFonts w:eastAsiaTheme="majorEastAsia" w:cstheme="majorBidi"/>
          <w:bCs/>
        </w:rPr>
        <w:t xml:space="preserve"> has</w:t>
      </w:r>
      <w:r>
        <w:rPr>
          <w:rFonts w:eastAsiaTheme="majorEastAsia" w:cstheme="majorBidi"/>
          <w:bCs/>
        </w:rPr>
        <w:t xml:space="preserve"> already </w:t>
      </w:r>
      <w:r w:rsidRPr="005E17AA">
        <w:rPr>
          <w:rFonts w:eastAsiaTheme="majorEastAsia" w:cstheme="majorBidi"/>
          <w:bCs/>
        </w:rPr>
        <w:t>been constructed with (vertically) the ecosystem services and (horizontally) the ecosystems and in the cells information about data sources, indicators, constraints etc.</w:t>
      </w:r>
      <w:r>
        <w:rPr>
          <w:rFonts w:eastAsiaTheme="majorEastAsia" w:cstheme="majorBidi"/>
          <w:bCs/>
        </w:rPr>
        <w:t>An example is available (in Dutch) for the proposed system for the Netherlands (DANK = Digitale Atlas voor Naturlijk Kapitaal; Braat &amp; Hendriks, 2013).</w:t>
      </w:r>
    </w:p>
    <w:p w:rsidR="001C55F3" w:rsidRDefault="001C55F3" w:rsidP="001C55F3">
      <w:pPr>
        <w:spacing w:after="0" w:line="240" w:lineRule="auto"/>
        <w:rPr>
          <w:rFonts w:eastAsiaTheme="majorEastAsia" w:cstheme="majorBidi"/>
          <w:b/>
          <w:bCs/>
          <w:color w:val="365F91" w:themeColor="accent1" w:themeShade="BF"/>
        </w:rPr>
      </w:pPr>
    </w:p>
    <w:p w:rsidR="001C55F3" w:rsidRDefault="001C55F3" w:rsidP="001C55F3">
      <w:pPr>
        <w:spacing w:after="0" w:line="240" w:lineRule="auto"/>
        <w:rPr>
          <w:rFonts w:eastAsiaTheme="majorEastAsia" w:cstheme="majorBidi"/>
          <w:b/>
          <w:bCs/>
          <w:color w:val="365F91" w:themeColor="accent1" w:themeShade="BF"/>
        </w:rPr>
      </w:pPr>
      <w:r w:rsidRPr="00932D05">
        <w:rPr>
          <w:noProof/>
          <w:lang w:val="fr-BE" w:eastAsia="fr-BE"/>
        </w:rPr>
        <w:drawing>
          <wp:inline distT="0" distB="0" distL="0" distR="0">
            <wp:extent cx="5760720" cy="2461717"/>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461717"/>
                    </a:xfrm>
                    <a:prstGeom prst="rect">
                      <a:avLst/>
                    </a:prstGeom>
                    <a:noFill/>
                    <a:ln>
                      <a:noFill/>
                    </a:ln>
                  </pic:spPr>
                </pic:pic>
              </a:graphicData>
            </a:graphic>
          </wp:inline>
        </w:drawing>
      </w:r>
    </w:p>
    <w:p w:rsidR="001C55F3" w:rsidRDefault="001C55F3" w:rsidP="001C55F3">
      <w:pPr>
        <w:spacing w:after="0" w:line="240" w:lineRule="auto"/>
        <w:rPr>
          <w:rFonts w:eastAsiaTheme="majorEastAsia" w:cstheme="majorBidi"/>
          <w:b/>
          <w:bCs/>
          <w:color w:val="365F91" w:themeColor="accent1" w:themeShade="BF"/>
        </w:rPr>
      </w:pPr>
    </w:p>
    <w:p w:rsidR="001C55F3" w:rsidRPr="00AD7462" w:rsidRDefault="001C55F3" w:rsidP="001C55F3">
      <w:pPr>
        <w:spacing w:after="0" w:line="240" w:lineRule="auto"/>
        <w:rPr>
          <w:rFonts w:eastAsiaTheme="majorEastAsia" w:cstheme="majorBidi"/>
          <w:b/>
          <w:bCs/>
          <w:u w:val="single"/>
        </w:rPr>
      </w:pPr>
      <w:r w:rsidRPr="00AD7462">
        <w:rPr>
          <w:rFonts w:eastAsiaTheme="majorEastAsia" w:cstheme="majorBidi"/>
          <w:b/>
          <w:bCs/>
          <w:u w:val="single"/>
        </w:rPr>
        <w:t xml:space="preserve">2.4 </w:t>
      </w:r>
      <w:r w:rsidRPr="00AD7462">
        <w:rPr>
          <w:rFonts w:eastAsiaTheme="majorEastAsia" w:cstheme="majorBidi"/>
          <w:b/>
          <w:bCs/>
          <w:u w:val="single"/>
        </w:rPr>
        <w:tab/>
        <w:t>Select Indicators</w:t>
      </w:r>
    </w:p>
    <w:p w:rsidR="001C55F3" w:rsidRPr="00356695" w:rsidRDefault="001C55F3" w:rsidP="001C55F3">
      <w:pPr>
        <w:spacing w:after="0" w:line="240" w:lineRule="auto"/>
        <w:rPr>
          <w:rFonts w:eastAsiaTheme="majorEastAsia" w:cstheme="majorBidi"/>
          <w:b/>
          <w:bCs/>
        </w:rPr>
      </w:pPr>
      <w:r w:rsidRPr="00356695">
        <w:t>There is a wealth of scientific literature presenting case studies of ecosystem services assessments where indicators are used, and  there are some special reports discussing the most adequate indicators for different services. In all cases the literature is helpful but intelligent choices must be made in each Member State to select scientifically (most) adequate and pragmatically most feasible indicators.</w:t>
      </w:r>
    </w:p>
    <w:p w:rsidR="001C55F3" w:rsidRPr="00C23F3E" w:rsidRDefault="001C55F3" w:rsidP="001C55F3">
      <w:pPr>
        <w:pStyle w:val="Paragraphedeliste"/>
        <w:shd w:val="clear" w:color="auto" w:fill="EEECE1" w:themeFill="background2"/>
        <w:autoSpaceDE w:val="0"/>
        <w:autoSpaceDN w:val="0"/>
        <w:adjustRightInd w:val="0"/>
        <w:spacing w:after="0" w:line="240" w:lineRule="auto"/>
        <w:rPr>
          <w:rFonts w:eastAsiaTheme="majorEastAsia" w:cstheme="majorBidi"/>
          <w:bCs/>
        </w:rPr>
      </w:pPr>
      <w:r w:rsidRPr="00C23F3E">
        <w:rPr>
          <w:rFonts w:cs="GulliverRM"/>
        </w:rPr>
        <w:t xml:space="preserve">Christian Layke, Abisha Mapendembeb, Claire Brown, Matt Walpole, Jonathan Winn (2012) Indicators from the global and sub-global Millennium Ecosystem Assessments: An analysis and next steps. </w:t>
      </w:r>
      <w:r w:rsidRPr="00C23F3E">
        <w:rPr>
          <w:rFonts w:eastAsiaTheme="majorEastAsia" w:cstheme="majorBidi"/>
          <w:bCs/>
        </w:rPr>
        <w:t>Ecological Indicators (2012) 77-87</w:t>
      </w:r>
    </w:p>
    <w:p w:rsidR="001C55F3" w:rsidRPr="001627FA" w:rsidRDefault="001C55F3" w:rsidP="001C55F3">
      <w:pPr>
        <w:pStyle w:val="Paragraphedeliste"/>
        <w:shd w:val="clear" w:color="auto" w:fill="EEECE1" w:themeFill="background2"/>
        <w:spacing w:after="0" w:line="240" w:lineRule="auto"/>
      </w:pPr>
    </w:p>
    <w:p w:rsidR="001C55F3" w:rsidRPr="00356695" w:rsidRDefault="001C55F3" w:rsidP="001C55F3">
      <w:pPr>
        <w:pStyle w:val="Paragraphedeliste"/>
        <w:shd w:val="clear" w:color="auto" w:fill="EEECE1" w:themeFill="background2"/>
        <w:spacing w:after="0" w:line="240" w:lineRule="auto"/>
        <w:rPr>
          <w:rFonts w:eastAsiaTheme="majorEastAsia" w:cstheme="majorBidi"/>
          <w:b/>
          <w:bCs/>
          <w:highlight w:val="yellow"/>
        </w:rPr>
      </w:pPr>
      <w:r w:rsidRPr="0021679B">
        <w:t xml:space="preserve">Egoh, B., Drakou, E.G., Dunbar, M.B., Maes, J., Willemen, L., 2012. </w:t>
      </w:r>
      <w:r w:rsidRPr="00356695">
        <w:t>Indicators for mapping ecosystem services: a review. Report EUR 25456 EN. Publications Office of the European Union, Luxembourg</w:t>
      </w:r>
      <w:r w:rsidRPr="007C07D5">
        <w:rPr>
          <w:b/>
          <w:i/>
        </w:rPr>
        <w:t>. (see Table 1 below)</w:t>
      </w:r>
    </w:p>
    <w:p w:rsidR="001C55F3" w:rsidRDefault="001C55F3" w:rsidP="001C55F3">
      <w:pPr>
        <w:spacing w:after="0" w:line="240" w:lineRule="auto"/>
        <w:rPr>
          <w:rFonts w:eastAsiaTheme="majorEastAsia" w:cstheme="majorBidi"/>
          <w:bCs/>
        </w:rPr>
      </w:pPr>
    </w:p>
    <w:p w:rsidR="001C55F3" w:rsidRDefault="001C55F3" w:rsidP="001C55F3">
      <w:pPr>
        <w:spacing w:after="0" w:line="240" w:lineRule="auto"/>
        <w:jc w:val="center"/>
        <w:rPr>
          <w:rFonts w:eastAsiaTheme="majorEastAsia" w:cstheme="majorBidi"/>
          <w:b/>
          <w:bCs/>
          <w:color w:val="4F81BD" w:themeColor="accent1"/>
        </w:rPr>
      </w:pPr>
      <w:r>
        <w:rPr>
          <w:rFonts w:eastAsiaTheme="majorEastAsia" w:cstheme="majorBidi"/>
          <w:b/>
          <w:bCs/>
          <w:noProof/>
          <w:color w:val="4F81BD" w:themeColor="accent1"/>
          <w:lang w:val="fr-BE" w:eastAsia="fr-BE"/>
        </w:rPr>
        <w:drawing>
          <wp:inline distT="0" distB="0" distL="0" distR="0">
            <wp:extent cx="4714875" cy="5486400"/>
            <wp:effectExtent l="0" t="0" r="9525" b="0"/>
            <wp:docPr id="3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4875" cy="5486400"/>
                    </a:xfrm>
                    <a:prstGeom prst="rect">
                      <a:avLst/>
                    </a:prstGeom>
                    <a:noFill/>
                    <a:ln>
                      <a:noFill/>
                    </a:ln>
                  </pic:spPr>
                </pic:pic>
              </a:graphicData>
            </a:graphic>
          </wp:inline>
        </w:drawing>
      </w:r>
    </w:p>
    <w:p w:rsidR="001C55F3" w:rsidRDefault="001C55F3" w:rsidP="001C55F3">
      <w:pPr>
        <w:spacing w:after="0" w:line="240" w:lineRule="auto"/>
        <w:jc w:val="center"/>
        <w:rPr>
          <w:rFonts w:eastAsiaTheme="majorEastAsia" w:cstheme="majorBidi"/>
          <w:b/>
          <w:bCs/>
          <w:color w:val="4F81BD" w:themeColor="accent1"/>
        </w:rPr>
      </w:pPr>
      <w:r>
        <w:rPr>
          <w:rFonts w:eastAsiaTheme="majorEastAsia" w:cstheme="majorBidi"/>
          <w:b/>
          <w:bCs/>
          <w:noProof/>
          <w:color w:val="4F81BD" w:themeColor="accent1"/>
          <w:lang w:val="fr-BE" w:eastAsia="fr-BE"/>
        </w:rPr>
        <w:drawing>
          <wp:inline distT="0" distB="0" distL="0" distR="0">
            <wp:extent cx="4804757" cy="1809452"/>
            <wp:effectExtent l="0" t="0" r="0" b="635"/>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7095" cy="1810333"/>
                    </a:xfrm>
                    <a:prstGeom prst="rect">
                      <a:avLst/>
                    </a:prstGeom>
                    <a:noFill/>
                    <a:ln>
                      <a:noFill/>
                    </a:ln>
                  </pic:spPr>
                </pic:pic>
              </a:graphicData>
            </a:graphic>
          </wp:inline>
        </w:drawing>
      </w:r>
      <w:r>
        <w:rPr>
          <w:rFonts w:eastAsiaTheme="majorEastAsia" w:cstheme="majorBidi"/>
          <w:b/>
          <w:bCs/>
          <w:noProof/>
          <w:color w:val="4F81BD" w:themeColor="accent1"/>
          <w:lang w:val="fr-BE" w:eastAsia="fr-BE"/>
        </w:rPr>
        <w:drawing>
          <wp:inline distT="0" distB="0" distL="0" distR="0">
            <wp:extent cx="4591050" cy="171450"/>
            <wp:effectExtent l="0" t="0" r="0" b="0"/>
            <wp:docPr id="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1050" cy="171450"/>
                    </a:xfrm>
                    <a:prstGeom prst="rect">
                      <a:avLst/>
                    </a:prstGeom>
                    <a:noFill/>
                    <a:ln>
                      <a:noFill/>
                    </a:ln>
                  </pic:spPr>
                </pic:pic>
              </a:graphicData>
            </a:graphic>
          </wp:inline>
        </w:drawing>
      </w:r>
    </w:p>
    <w:p w:rsidR="001C55F3" w:rsidRDefault="001C55F3" w:rsidP="001C55F3">
      <w:pPr>
        <w:spacing w:after="0" w:line="240" w:lineRule="auto"/>
        <w:jc w:val="center"/>
        <w:rPr>
          <w:rFonts w:eastAsiaTheme="majorEastAsia" w:cstheme="majorBidi"/>
          <w:b/>
          <w:bCs/>
          <w:color w:val="4F81BD" w:themeColor="accent1"/>
        </w:rPr>
      </w:pPr>
      <w:r>
        <w:rPr>
          <w:rFonts w:eastAsiaTheme="majorEastAsia" w:cstheme="majorBidi"/>
          <w:b/>
          <w:bCs/>
          <w:noProof/>
          <w:color w:val="4F81BD" w:themeColor="accent1"/>
          <w:lang w:val="fr-BE" w:eastAsia="fr-BE"/>
        </w:rPr>
        <w:drawing>
          <wp:inline distT="0" distB="0" distL="0" distR="0">
            <wp:extent cx="4480560" cy="348004"/>
            <wp:effectExtent l="0" t="0" r="0" b="0"/>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1350" cy="348065"/>
                    </a:xfrm>
                    <a:prstGeom prst="rect">
                      <a:avLst/>
                    </a:prstGeom>
                    <a:noFill/>
                    <a:ln>
                      <a:noFill/>
                    </a:ln>
                  </pic:spPr>
                </pic:pic>
              </a:graphicData>
            </a:graphic>
          </wp:inline>
        </w:drawing>
      </w:r>
    </w:p>
    <w:p w:rsidR="001C55F3" w:rsidRDefault="001C55F3" w:rsidP="001C55F3">
      <w:pPr>
        <w:spacing w:after="0" w:line="240" w:lineRule="auto"/>
        <w:rPr>
          <w:rFonts w:eastAsiaTheme="majorEastAsia" w:cstheme="majorBidi"/>
          <w:b/>
          <w:bCs/>
          <w:color w:val="4F81BD" w:themeColor="accent1"/>
        </w:rPr>
      </w:pPr>
    </w:p>
    <w:p w:rsidR="001C55F3" w:rsidRDefault="001C55F3" w:rsidP="001C55F3">
      <w:pPr>
        <w:spacing w:after="0" w:line="240" w:lineRule="auto"/>
        <w:jc w:val="center"/>
        <w:rPr>
          <w:rFonts w:eastAsiaTheme="majorEastAsia" w:cstheme="majorBidi"/>
          <w:b/>
          <w:bCs/>
          <w:color w:val="4F81BD" w:themeColor="accent1"/>
        </w:rPr>
      </w:pPr>
      <w:r>
        <w:rPr>
          <w:rFonts w:eastAsiaTheme="majorEastAsia" w:cstheme="majorBidi"/>
          <w:b/>
          <w:bCs/>
          <w:noProof/>
          <w:color w:val="4F81BD" w:themeColor="accent1"/>
          <w:lang w:val="fr-BE" w:eastAsia="fr-BE"/>
        </w:rPr>
        <w:lastRenderedPageBreak/>
        <w:drawing>
          <wp:inline distT="0" distB="0" distL="0" distR="0">
            <wp:extent cx="4352925" cy="4581525"/>
            <wp:effectExtent l="0" t="0" r="9525" b="9525"/>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52925" cy="4581525"/>
                    </a:xfrm>
                    <a:prstGeom prst="rect">
                      <a:avLst/>
                    </a:prstGeom>
                    <a:noFill/>
                    <a:ln>
                      <a:noFill/>
                    </a:ln>
                  </pic:spPr>
                </pic:pic>
              </a:graphicData>
            </a:graphic>
          </wp:inline>
        </w:drawing>
      </w:r>
    </w:p>
    <w:p w:rsidR="001C55F3" w:rsidRDefault="001C55F3">
      <w:pPr>
        <w:rPr>
          <w:rFonts w:eastAsiaTheme="majorEastAsia" w:cstheme="majorBidi"/>
          <w:b/>
          <w:bCs/>
          <w:color w:val="4F81BD" w:themeColor="accent1"/>
        </w:rPr>
      </w:pPr>
    </w:p>
    <w:p w:rsidR="001C55F3" w:rsidRPr="00AD7462" w:rsidRDefault="001C55F3" w:rsidP="001C55F3">
      <w:pPr>
        <w:spacing w:after="0" w:line="240" w:lineRule="auto"/>
        <w:rPr>
          <w:rFonts w:eastAsiaTheme="majorEastAsia" w:cstheme="majorBidi"/>
          <w:b/>
          <w:bCs/>
          <w:u w:val="single"/>
        </w:rPr>
      </w:pPr>
      <w:r w:rsidRPr="00AD7462">
        <w:rPr>
          <w:rFonts w:eastAsiaTheme="majorEastAsia" w:cstheme="majorBidi"/>
          <w:b/>
          <w:bCs/>
          <w:u w:val="single"/>
        </w:rPr>
        <w:t>2.5</w:t>
      </w:r>
      <w:r w:rsidRPr="00AD7462">
        <w:rPr>
          <w:rFonts w:eastAsiaTheme="majorEastAsia" w:cstheme="majorBidi"/>
          <w:b/>
          <w:bCs/>
          <w:u w:val="single"/>
        </w:rPr>
        <w:tab/>
        <w:t>Place Indicators in Matrix</w:t>
      </w:r>
    </w:p>
    <w:p w:rsidR="001C55F3" w:rsidRDefault="001C55F3" w:rsidP="001C55F3">
      <w:pPr>
        <w:spacing w:after="0" w:line="240" w:lineRule="auto"/>
        <w:rPr>
          <w:rFonts w:eastAsiaTheme="majorEastAsia"/>
        </w:rPr>
      </w:pPr>
      <w:r>
        <w:rPr>
          <w:rFonts w:eastAsiaTheme="majorEastAsia"/>
        </w:rPr>
        <w:t>When indicators are selected, and placed in the matrix version 2 of the Country specific matrix comes into existence.</w:t>
      </w:r>
    </w:p>
    <w:p w:rsidR="001C55F3" w:rsidRPr="003136F2" w:rsidRDefault="001C55F3" w:rsidP="001C55F3">
      <w:pPr>
        <w:shd w:val="clear" w:color="auto" w:fill="92D050"/>
        <w:spacing w:after="0" w:line="240" w:lineRule="auto"/>
        <w:rPr>
          <w:rFonts w:eastAsiaTheme="majorEastAsia" w:cstheme="majorBidi"/>
          <w:b/>
          <w:bCs/>
        </w:rPr>
      </w:pPr>
      <w:r w:rsidRPr="008514D7">
        <w:rPr>
          <w:rFonts w:eastAsiaTheme="majorEastAsia" w:cstheme="majorBidi"/>
          <w:b/>
          <w:bCs/>
        </w:rPr>
        <w:t>COUNTRY X (COMBINATION) MATRIX ECOSYSTEMS – ECOSYSTEM SERVICES</w:t>
      </w:r>
      <w:r>
        <w:rPr>
          <w:rFonts w:eastAsiaTheme="majorEastAsia" w:cstheme="majorBidi"/>
          <w:b/>
          <w:bCs/>
        </w:rPr>
        <w:t xml:space="preserve"> version 2</w:t>
      </w:r>
    </w:p>
    <w:p w:rsidR="001C55F3" w:rsidRDefault="001C55F3" w:rsidP="001C55F3">
      <w:pPr>
        <w:spacing w:after="0" w:line="240" w:lineRule="auto"/>
        <w:rPr>
          <w:rFonts w:eastAsiaTheme="majorEastAsia"/>
        </w:rPr>
      </w:pPr>
      <w:r>
        <w:rPr>
          <w:rFonts w:eastAsiaTheme="majorEastAsia"/>
        </w:rPr>
        <w:t>This Matrix is then the starting point for the next step in the Flow Chart process.</w:t>
      </w:r>
    </w:p>
    <w:p w:rsidR="001C55F3" w:rsidRDefault="001C55F3" w:rsidP="001C55F3">
      <w:pPr>
        <w:spacing w:after="0" w:line="240" w:lineRule="auto"/>
        <w:rPr>
          <w:rFonts w:eastAsiaTheme="majorEastAsia"/>
        </w:rPr>
      </w:pPr>
    </w:p>
    <w:p w:rsidR="001C55F3" w:rsidRDefault="001C55F3" w:rsidP="001C55F3">
      <w:pPr>
        <w:spacing w:after="0" w:line="240" w:lineRule="auto"/>
        <w:rPr>
          <w:rFonts w:eastAsiaTheme="majorEastAsia"/>
        </w:rPr>
      </w:pPr>
      <w:r>
        <w:rPr>
          <w:b/>
          <w:sz w:val="24"/>
          <w:szCs w:val="24"/>
        </w:rPr>
        <w:t>Example: Indicators per Ecosystem and Service type used in the Spanish NEA</w:t>
      </w:r>
    </w:p>
    <w:tbl>
      <w:tblPr>
        <w:tblStyle w:val="Titre5Car"/>
        <w:tblW w:w="0" w:type="auto"/>
        <w:jc w:val="center"/>
        <w:tblLook w:val="04A0"/>
      </w:tblPr>
      <w:tblGrid>
        <w:gridCol w:w="3881"/>
        <w:gridCol w:w="1240"/>
        <w:gridCol w:w="1100"/>
        <w:gridCol w:w="874"/>
        <w:gridCol w:w="640"/>
      </w:tblGrid>
      <w:tr w:rsidR="001C55F3" w:rsidRPr="00A1508D" w:rsidTr="001C55F3">
        <w:trPr>
          <w:jc w:val="center"/>
        </w:trPr>
        <w:tc>
          <w:tcPr>
            <w:tcW w:w="0" w:type="auto"/>
          </w:tcPr>
          <w:p w:rsidR="001C55F3" w:rsidRPr="007B3286" w:rsidRDefault="001C55F3" w:rsidP="001C55F3">
            <w:pPr>
              <w:jc w:val="both"/>
              <w:rPr>
                <w:b/>
                <w:sz w:val="20"/>
                <w:szCs w:val="20"/>
              </w:rPr>
            </w:pPr>
            <w:r w:rsidRPr="007B3286">
              <w:rPr>
                <w:b/>
                <w:sz w:val="20"/>
                <w:szCs w:val="20"/>
              </w:rPr>
              <w:t>Ecosystems / Service Type</w:t>
            </w:r>
          </w:p>
        </w:tc>
        <w:tc>
          <w:tcPr>
            <w:tcW w:w="0" w:type="auto"/>
          </w:tcPr>
          <w:p w:rsidR="001C55F3" w:rsidRPr="00A1508D" w:rsidRDefault="001C55F3" w:rsidP="001C55F3">
            <w:pPr>
              <w:jc w:val="both"/>
              <w:rPr>
                <w:b/>
                <w:sz w:val="20"/>
                <w:szCs w:val="20"/>
              </w:rPr>
            </w:pPr>
            <w:r w:rsidRPr="00A1508D">
              <w:rPr>
                <w:b/>
                <w:sz w:val="20"/>
                <w:szCs w:val="20"/>
              </w:rPr>
              <w:t>Provisioning</w:t>
            </w:r>
          </w:p>
        </w:tc>
        <w:tc>
          <w:tcPr>
            <w:tcW w:w="0" w:type="auto"/>
          </w:tcPr>
          <w:p w:rsidR="001C55F3" w:rsidRPr="00A1508D" w:rsidRDefault="001C55F3" w:rsidP="001C55F3">
            <w:pPr>
              <w:jc w:val="both"/>
              <w:rPr>
                <w:b/>
                <w:sz w:val="20"/>
                <w:szCs w:val="20"/>
              </w:rPr>
            </w:pPr>
            <w:r w:rsidRPr="00A1508D">
              <w:rPr>
                <w:b/>
                <w:sz w:val="20"/>
                <w:szCs w:val="20"/>
              </w:rPr>
              <w:t>Regulating</w:t>
            </w:r>
          </w:p>
        </w:tc>
        <w:tc>
          <w:tcPr>
            <w:tcW w:w="0" w:type="auto"/>
          </w:tcPr>
          <w:p w:rsidR="001C55F3" w:rsidRPr="00A1508D" w:rsidRDefault="001C55F3" w:rsidP="001C55F3">
            <w:pPr>
              <w:jc w:val="both"/>
              <w:rPr>
                <w:b/>
                <w:sz w:val="20"/>
                <w:szCs w:val="20"/>
              </w:rPr>
            </w:pPr>
            <w:r w:rsidRPr="00A1508D">
              <w:rPr>
                <w:b/>
                <w:sz w:val="20"/>
                <w:szCs w:val="20"/>
              </w:rPr>
              <w:t>Cultural</w:t>
            </w:r>
          </w:p>
        </w:tc>
        <w:tc>
          <w:tcPr>
            <w:tcW w:w="0" w:type="auto"/>
          </w:tcPr>
          <w:p w:rsidR="001C55F3" w:rsidRPr="008632B8" w:rsidRDefault="001C55F3" w:rsidP="001C55F3">
            <w:pPr>
              <w:jc w:val="both"/>
              <w:rPr>
                <w:b/>
                <w:sz w:val="20"/>
                <w:szCs w:val="20"/>
              </w:rPr>
            </w:pPr>
            <w:r w:rsidRPr="008632B8">
              <w:rPr>
                <w:b/>
                <w:sz w:val="20"/>
                <w:szCs w:val="20"/>
              </w:rPr>
              <w:t>Total</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Agro</w:t>
            </w:r>
            <w:r>
              <w:rPr>
                <w:sz w:val="20"/>
                <w:szCs w:val="20"/>
              </w:rPr>
              <w:t>-</w:t>
            </w:r>
            <w:r w:rsidRPr="00A1508D">
              <w:rPr>
                <w:sz w:val="20"/>
                <w:szCs w:val="20"/>
              </w:rPr>
              <w:t>ecosystems</w:t>
            </w:r>
          </w:p>
        </w:tc>
        <w:tc>
          <w:tcPr>
            <w:tcW w:w="0" w:type="auto"/>
            <w:vAlign w:val="bottom"/>
          </w:tcPr>
          <w:p w:rsidR="001C55F3" w:rsidRPr="00A1508D" w:rsidRDefault="001C55F3" w:rsidP="001C55F3">
            <w:pPr>
              <w:jc w:val="both"/>
              <w:rPr>
                <w:sz w:val="20"/>
                <w:szCs w:val="20"/>
              </w:rPr>
            </w:pPr>
            <w:r>
              <w:rPr>
                <w:rFonts w:ascii="Calibri" w:hAnsi="Calibri"/>
                <w:color w:val="000000"/>
              </w:rPr>
              <w:t>19</w:t>
            </w:r>
          </w:p>
        </w:tc>
        <w:tc>
          <w:tcPr>
            <w:tcW w:w="0" w:type="auto"/>
            <w:vAlign w:val="bottom"/>
          </w:tcPr>
          <w:p w:rsidR="001C55F3" w:rsidRPr="00A1508D" w:rsidRDefault="001C55F3" w:rsidP="001C55F3">
            <w:pPr>
              <w:jc w:val="both"/>
              <w:rPr>
                <w:sz w:val="20"/>
                <w:szCs w:val="20"/>
              </w:rPr>
            </w:pPr>
            <w:r>
              <w:rPr>
                <w:rFonts w:ascii="Calibri" w:hAnsi="Calibri"/>
                <w:color w:val="000000"/>
              </w:rPr>
              <w:t>22</w:t>
            </w:r>
          </w:p>
        </w:tc>
        <w:tc>
          <w:tcPr>
            <w:tcW w:w="0" w:type="auto"/>
            <w:vAlign w:val="bottom"/>
          </w:tcPr>
          <w:p w:rsidR="001C55F3" w:rsidRPr="00A1508D" w:rsidRDefault="001C55F3" w:rsidP="001C55F3">
            <w:pPr>
              <w:jc w:val="both"/>
              <w:rPr>
                <w:sz w:val="20"/>
                <w:szCs w:val="20"/>
              </w:rPr>
            </w:pPr>
            <w:r>
              <w:rPr>
                <w:rFonts w:ascii="Calibri" w:hAnsi="Calibri"/>
                <w:color w:val="000000"/>
              </w:rPr>
              <w:t>12</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53</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Atlantic forest</w:t>
            </w:r>
          </w:p>
        </w:tc>
        <w:tc>
          <w:tcPr>
            <w:tcW w:w="0" w:type="auto"/>
            <w:vAlign w:val="bottom"/>
          </w:tcPr>
          <w:p w:rsidR="001C55F3" w:rsidRPr="00A1508D" w:rsidRDefault="001C55F3" w:rsidP="001C55F3">
            <w:pPr>
              <w:jc w:val="both"/>
              <w:rPr>
                <w:sz w:val="20"/>
                <w:szCs w:val="20"/>
              </w:rPr>
            </w:pPr>
            <w:r>
              <w:rPr>
                <w:rFonts w:ascii="Calibri" w:hAnsi="Calibri"/>
                <w:color w:val="000000"/>
              </w:rPr>
              <w:t>28</w:t>
            </w:r>
          </w:p>
        </w:tc>
        <w:tc>
          <w:tcPr>
            <w:tcW w:w="0" w:type="auto"/>
            <w:vAlign w:val="bottom"/>
          </w:tcPr>
          <w:p w:rsidR="001C55F3" w:rsidRPr="00A1508D" w:rsidRDefault="001C55F3" w:rsidP="001C55F3">
            <w:pPr>
              <w:jc w:val="both"/>
              <w:rPr>
                <w:sz w:val="20"/>
                <w:szCs w:val="20"/>
              </w:rPr>
            </w:pPr>
            <w:r>
              <w:rPr>
                <w:rFonts w:ascii="Calibri" w:hAnsi="Calibri"/>
                <w:color w:val="000000"/>
              </w:rPr>
              <w:t>31</w:t>
            </w:r>
          </w:p>
        </w:tc>
        <w:tc>
          <w:tcPr>
            <w:tcW w:w="0" w:type="auto"/>
            <w:vAlign w:val="bottom"/>
          </w:tcPr>
          <w:p w:rsidR="001C55F3" w:rsidRPr="00A1508D" w:rsidRDefault="001C55F3" w:rsidP="001C55F3">
            <w:pPr>
              <w:jc w:val="both"/>
              <w:rPr>
                <w:sz w:val="20"/>
                <w:szCs w:val="20"/>
              </w:rPr>
            </w:pPr>
            <w:r>
              <w:rPr>
                <w:rFonts w:ascii="Calibri" w:hAnsi="Calibri"/>
                <w:color w:val="000000"/>
              </w:rPr>
              <w:t>22</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81</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Mediterranean continental forest and shrubs</w:t>
            </w:r>
          </w:p>
        </w:tc>
        <w:tc>
          <w:tcPr>
            <w:tcW w:w="0" w:type="auto"/>
            <w:vAlign w:val="bottom"/>
          </w:tcPr>
          <w:p w:rsidR="001C55F3" w:rsidRPr="00A1508D" w:rsidRDefault="001C55F3" w:rsidP="001C55F3">
            <w:pPr>
              <w:jc w:val="both"/>
              <w:rPr>
                <w:sz w:val="20"/>
                <w:szCs w:val="20"/>
              </w:rPr>
            </w:pPr>
            <w:r>
              <w:rPr>
                <w:rFonts w:ascii="Calibri" w:hAnsi="Calibri"/>
                <w:color w:val="000000"/>
              </w:rPr>
              <w:t>24</w:t>
            </w:r>
          </w:p>
        </w:tc>
        <w:tc>
          <w:tcPr>
            <w:tcW w:w="0" w:type="auto"/>
            <w:vAlign w:val="bottom"/>
          </w:tcPr>
          <w:p w:rsidR="001C55F3" w:rsidRPr="00A1508D" w:rsidRDefault="001C55F3" w:rsidP="001C55F3">
            <w:pPr>
              <w:jc w:val="both"/>
              <w:rPr>
                <w:sz w:val="20"/>
                <w:szCs w:val="20"/>
              </w:rPr>
            </w:pPr>
            <w:r>
              <w:rPr>
                <w:rFonts w:ascii="Calibri" w:hAnsi="Calibri"/>
                <w:color w:val="000000"/>
              </w:rPr>
              <w:t>14</w:t>
            </w:r>
          </w:p>
        </w:tc>
        <w:tc>
          <w:tcPr>
            <w:tcW w:w="0" w:type="auto"/>
            <w:vAlign w:val="bottom"/>
          </w:tcPr>
          <w:p w:rsidR="001C55F3" w:rsidRPr="00A1508D" w:rsidRDefault="001C55F3" w:rsidP="001C55F3">
            <w:pPr>
              <w:jc w:val="both"/>
              <w:rPr>
                <w:sz w:val="20"/>
                <w:szCs w:val="20"/>
              </w:rPr>
            </w:pPr>
            <w:r>
              <w:rPr>
                <w:rFonts w:ascii="Calibri" w:hAnsi="Calibri"/>
                <w:color w:val="000000"/>
              </w:rPr>
              <w:t>21</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59</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Sclerophylous forest and shrub</w:t>
            </w:r>
          </w:p>
        </w:tc>
        <w:tc>
          <w:tcPr>
            <w:tcW w:w="0" w:type="auto"/>
            <w:vAlign w:val="bottom"/>
          </w:tcPr>
          <w:p w:rsidR="001C55F3" w:rsidRPr="00A1508D" w:rsidRDefault="001C55F3" w:rsidP="001C55F3">
            <w:pPr>
              <w:jc w:val="both"/>
              <w:rPr>
                <w:sz w:val="20"/>
                <w:szCs w:val="20"/>
              </w:rPr>
            </w:pPr>
            <w:r>
              <w:rPr>
                <w:rFonts w:ascii="Calibri" w:hAnsi="Calibri"/>
                <w:color w:val="000000"/>
              </w:rPr>
              <w:t>16</w:t>
            </w:r>
          </w:p>
        </w:tc>
        <w:tc>
          <w:tcPr>
            <w:tcW w:w="0" w:type="auto"/>
            <w:vAlign w:val="bottom"/>
          </w:tcPr>
          <w:p w:rsidR="001C55F3" w:rsidRPr="00A1508D" w:rsidRDefault="001C55F3" w:rsidP="001C55F3">
            <w:pPr>
              <w:jc w:val="both"/>
              <w:rPr>
                <w:sz w:val="20"/>
                <w:szCs w:val="20"/>
              </w:rPr>
            </w:pPr>
            <w:r>
              <w:rPr>
                <w:rFonts w:ascii="Calibri" w:hAnsi="Calibri"/>
                <w:color w:val="000000"/>
              </w:rPr>
              <w:t>9</w:t>
            </w:r>
          </w:p>
        </w:tc>
        <w:tc>
          <w:tcPr>
            <w:tcW w:w="0" w:type="auto"/>
            <w:vAlign w:val="bottom"/>
          </w:tcPr>
          <w:p w:rsidR="001C55F3" w:rsidRPr="00A1508D" w:rsidRDefault="001C55F3" w:rsidP="001C55F3">
            <w:pPr>
              <w:jc w:val="both"/>
              <w:rPr>
                <w:sz w:val="20"/>
                <w:szCs w:val="20"/>
              </w:rPr>
            </w:pPr>
            <w:r>
              <w:rPr>
                <w:rFonts w:ascii="Calibri" w:hAnsi="Calibri"/>
                <w:color w:val="000000"/>
              </w:rPr>
              <w:t>6</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31</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Alpine mountain</w:t>
            </w:r>
          </w:p>
        </w:tc>
        <w:tc>
          <w:tcPr>
            <w:tcW w:w="0" w:type="auto"/>
            <w:vAlign w:val="bottom"/>
          </w:tcPr>
          <w:p w:rsidR="001C55F3" w:rsidRPr="00A1508D" w:rsidRDefault="001C55F3" w:rsidP="001C55F3">
            <w:pPr>
              <w:jc w:val="both"/>
              <w:rPr>
                <w:sz w:val="20"/>
                <w:szCs w:val="20"/>
              </w:rPr>
            </w:pPr>
            <w:r>
              <w:rPr>
                <w:rFonts w:ascii="Calibri" w:hAnsi="Calibri"/>
                <w:color w:val="000000"/>
              </w:rPr>
              <w:t>23</w:t>
            </w:r>
          </w:p>
        </w:tc>
        <w:tc>
          <w:tcPr>
            <w:tcW w:w="0" w:type="auto"/>
            <w:vAlign w:val="bottom"/>
          </w:tcPr>
          <w:p w:rsidR="001C55F3" w:rsidRPr="00A1508D" w:rsidRDefault="001C55F3" w:rsidP="001C55F3">
            <w:pPr>
              <w:jc w:val="both"/>
              <w:rPr>
                <w:sz w:val="20"/>
                <w:szCs w:val="20"/>
              </w:rPr>
            </w:pPr>
            <w:r>
              <w:rPr>
                <w:rFonts w:ascii="Calibri" w:hAnsi="Calibri"/>
                <w:color w:val="000000"/>
              </w:rPr>
              <w:t>14</w:t>
            </w:r>
          </w:p>
        </w:tc>
        <w:tc>
          <w:tcPr>
            <w:tcW w:w="0" w:type="auto"/>
            <w:vAlign w:val="bottom"/>
          </w:tcPr>
          <w:p w:rsidR="001C55F3" w:rsidRPr="00A1508D" w:rsidRDefault="001C55F3" w:rsidP="001C55F3">
            <w:pPr>
              <w:jc w:val="both"/>
              <w:rPr>
                <w:sz w:val="20"/>
                <w:szCs w:val="20"/>
              </w:rPr>
            </w:pPr>
            <w:r>
              <w:rPr>
                <w:rFonts w:ascii="Calibri" w:hAnsi="Calibri"/>
                <w:color w:val="000000"/>
              </w:rPr>
              <w:t>22</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59</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Mediterranean mountain</w:t>
            </w:r>
          </w:p>
        </w:tc>
        <w:tc>
          <w:tcPr>
            <w:tcW w:w="0" w:type="auto"/>
            <w:vAlign w:val="bottom"/>
          </w:tcPr>
          <w:p w:rsidR="001C55F3" w:rsidRPr="00A1508D" w:rsidRDefault="001C55F3" w:rsidP="001C55F3">
            <w:pPr>
              <w:jc w:val="both"/>
              <w:rPr>
                <w:sz w:val="20"/>
                <w:szCs w:val="20"/>
              </w:rPr>
            </w:pPr>
            <w:r>
              <w:rPr>
                <w:rFonts w:ascii="Calibri" w:hAnsi="Calibri"/>
                <w:color w:val="000000"/>
              </w:rPr>
              <w:t>25</w:t>
            </w:r>
          </w:p>
        </w:tc>
        <w:tc>
          <w:tcPr>
            <w:tcW w:w="0" w:type="auto"/>
            <w:vAlign w:val="bottom"/>
          </w:tcPr>
          <w:p w:rsidR="001C55F3" w:rsidRPr="00A1508D" w:rsidRDefault="001C55F3" w:rsidP="001C55F3">
            <w:pPr>
              <w:jc w:val="both"/>
              <w:rPr>
                <w:sz w:val="20"/>
                <w:szCs w:val="20"/>
              </w:rPr>
            </w:pPr>
            <w:r>
              <w:rPr>
                <w:rFonts w:ascii="Calibri" w:hAnsi="Calibri"/>
                <w:color w:val="000000"/>
              </w:rPr>
              <w:t>33</w:t>
            </w:r>
          </w:p>
        </w:tc>
        <w:tc>
          <w:tcPr>
            <w:tcW w:w="0" w:type="auto"/>
            <w:vAlign w:val="bottom"/>
          </w:tcPr>
          <w:p w:rsidR="001C55F3" w:rsidRPr="00A1508D" w:rsidRDefault="001C55F3" w:rsidP="001C55F3">
            <w:pPr>
              <w:jc w:val="both"/>
              <w:rPr>
                <w:sz w:val="20"/>
                <w:szCs w:val="20"/>
              </w:rPr>
            </w:pPr>
            <w:r>
              <w:rPr>
                <w:rFonts w:ascii="Calibri" w:hAnsi="Calibri"/>
                <w:color w:val="000000"/>
              </w:rPr>
              <w:t>33</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91</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Arid zones</w:t>
            </w:r>
          </w:p>
        </w:tc>
        <w:tc>
          <w:tcPr>
            <w:tcW w:w="0" w:type="auto"/>
            <w:vAlign w:val="bottom"/>
          </w:tcPr>
          <w:p w:rsidR="001C55F3" w:rsidRPr="00A1508D" w:rsidRDefault="001C55F3" w:rsidP="001C55F3">
            <w:pPr>
              <w:jc w:val="both"/>
              <w:rPr>
                <w:sz w:val="20"/>
                <w:szCs w:val="20"/>
              </w:rPr>
            </w:pPr>
            <w:r>
              <w:rPr>
                <w:rFonts w:ascii="Calibri" w:hAnsi="Calibri"/>
                <w:color w:val="000000"/>
              </w:rPr>
              <w:t>21</w:t>
            </w:r>
          </w:p>
        </w:tc>
        <w:tc>
          <w:tcPr>
            <w:tcW w:w="0" w:type="auto"/>
            <w:vAlign w:val="bottom"/>
          </w:tcPr>
          <w:p w:rsidR="001C55F3" w:rsidRPr="00A1508D" w:rsidRDefault="001C55F3" w:rsidP="001C55F3">
            <w:pPr>
              <w:jc w:val="both"/>
              <w:rPr>
                <w:sz w:val="20"/>
                <w:szCs w:val="20"/>
              </w:rPr>
            </w:pPr>
            <w:r>
              <w:rPr>
                <w:rFonts w:ascii="Calibri" w:hAnsi="Calibri"/>
                <w:color w:val="000000"/>
              </w:rPr>
              <w:t>7</w:t>
            </w:r>
          </w:p>
        </w:tc>
        <w:tc>
          <w:tcPr>
            <w:tcW w:w="0" w:type="auto"/>
            <w:vAlign w:val="bottom"/>
          </w:tcPr>
          <w:p w:rsidR="001C55F3" w:rsidRPr="00A1508D" w:rsidRDefault="001C55F3" w:rsidP="001C55F3">
            <w:pPr>
              <w:jc w:val="both"/>
              <w:rPr>
                <w:sz w:val="20"/>
                <w:szCs w:val="20"/>
              </w:rPr>
            </w:pPr>
            <w:r>
              <w:rPr>
                <w:rFonts w:ascii="Calibri" w:hAnsi="Calibri"/>
                <w:color w:val="000000"/>
              </w:rPr>
              <w:t>19</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47</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Wetlands and lakes</w:t>
            </w:r>
          </w:p>
        </w:tc>
        <w:tc>
          <w:tcPr>
            <w:tcW w:w="0" w:type="auto"/>
            <w:vAlign w:val="bottom"/>
          </w:tcPr>
          <w:p w:rsidR="001C55F3" w:rsidRPr="00A1508D" w:rsidRDefault="001C55F3" w:rsidP="001C55F3">
            <w:pPr>
              <w:jc w:val="both"/>
              <w:rPr>
                <w:sz w:val="20"/>
                <w:szCs w:val="20"/>
              </w:rPr>
            </w:pPr>
            <w:r>
              <w:rPr>
                <w:rFonts w:ascii="Calibri" w:hAnsi="Calibri"/>
                <w:color w:val="000000"/>
              </w:rPr>
              <w:t>28</w:t>
            </w:r>
          </w:p>
        </w:tc>
        <w:tc>
          <w:tcPr>
            <w:tcW w:w="0" w:type="auto"/>
            <w:vAlign w:val="bottom"/>
          </w:tcPr>
          <w:p w:rsidR="001C55F3" w:rsidRPr="00A1508D" w:rsidRDefault="001C55F3" w:rsidP="001C55F3">
            <w:pPr>
              <w:jc w:val="both"/>
              <w:rPr>
                <w:sz w:val="20"/>
                <w:szCs w:val="20"/>
              </w:rPr>
            </w:pPr>
            <w:r>
              <w:rPr>
                <w:rFonts w:ascii="Calibri" w:hAnsi="Calibri"/>
                <w:color w:val="000000"/>
              </w:rPr>
              <w:t>15</w:t>
            </w:r>
          </w:p>
        </w:tc>
        <w:tc>
          <w:tcPr>
            <w:tcW w:w="0" w:type="auto"/>
            <w:vAlign w:val="bottom"/>
          </w:tcPr>
          <w:p w:rsidR="001C55F3" w:rsidRPr="00A1508D" w:rsidRDefault="001C55F3" w:rsidP="001C55F3">
            <w:pPr>
              <w:jc w:val="both"/>
              <w:rPr>
                <w:sz w:val="20"/>
                <w:szCs w:val="20"/>
              </w:rPr>
            </w:pPr>
            <w:r>
              <w:rPr>
                <w:rFonts w:ascii="Calibri" w:hAnsi="Calibri"/>
                <w:color w:val="000000"/>
              </w:rPr>
              <w:t>24</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67</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Aquifers</w:t>
            </w:r>
          </w:p>
        </w:tc>
        <w:tc>
          <w:tcPr>
            <w:tcW w:w="0" w:type="auto"/>
            <w:vAlign w:val="bottom"/>
          </w:tcPr>
          <w:p w:rsidR="001C55F3" w:rsidRPr="00A1508D" w:rsidRDefault="001C55F3" w:rsidP="001C55F3">
            <w:pPr>
              <w:jc w:val="both"/>
              <w:rPr>
                <w:sz w:val="20"/>
                <w:szCs w:val="20"/>
              </w:rPr>
            </w:pPr>
            <w:r>
              <w:rPr>
                <w:rFonts w:ascii="Calibri" w:hAnsi="Calibri"/>
                <w:color w:val="000000"/>
              </w:rPr>
              <w:t>11</w:t>
            </w:r>
          </w:p>
        </w:tc>
        <w:tc>
          <w:tcPr>
            <w:tcW w:w="0" w:type="auto"/>
            <w:vAlign w:val="bottom"/>
          </w:tcPr>
          <w:p w:rsidR="001C55F3" w:rsidRPr="00A1508D" w:rsidRDefault="001C55F3" w:rsidP="001C55F3">
            <w:pPr>
              <w:jc w:val="both"/>
              <w:rPr>
                <w:sz w:val="20"/>
                <w:szCs w:val="20"/>
              </w:rPr>
            </w:pPr>
            <w:r>
              <w:rPr>
                <w:rFonts w:ascii="Calibri" w:hAnsi="Calibri"/>
                <w:color w:val="000000"/>
              </w:rPr>
              <w:t>7</w:t>
            </w:r>
          </w:p>
        </w:tc>
        <w:tc>
          <w:tcPr>
            <w:tcW w:w="0" w:type="auto"/>
            <w:vAlign w:val="bottom"/>
          </w:tcPr>
          <w:p w:rsidR="001C55F3" w:rsidRPr="00A1508D" w:rsidRDefault="001C55F3" w:rsidP="001C55F3">
            <w:pPr>
              <w:jc w:val="both"/>
              <w:rPr>
                <w:sz w:val="20"/>
                <w:szCs w:val="20"/>
              </w:rPr>
            </w:pPr>
            <w:r>
              <w:rPr>
                <w:rFonts w:ascii="Calibri" w:hAnsi="Calibri"/>
                <w:color w:val="000000"/>
              </w:rPr>
              <w:t>7</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25</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Coastal</w:t>
            </w:r>
          </w:p>
        </w:tc>
        <w:tc>
          <w:tcPr>
            <w:tcW w:w="0" w:type="auto"/>
            <w:vAlign w:val="bottom"/>
          </w:tcPr>
          <w:p w:rsidR="001C55F3" w:rsidRPr="00A1508D" w:rsidRDefault="001C55F3" w:rsidP="001C55F3">
            <w:pPr>
              <w:jc w:val="both"/>
              <w:rPr>
                <w:sz w:val="20"/>
                <w:szCs w:val="20"/>
              </w:rPr>
            </w:pPr>
            <w:r>
              <w:rPr>
                <w:rFonts w:ascii="Calibri" w:hAnsi="Calibri"/>
                <w:color w:val="000000"/>
              </w:rPr>
              <w:t>5</w:t>
            </w:r>
          </w:p>
        </w:tc>
        <w:tc>
          <w:tcPr>
            <w:tcW w:w="0" w:type="auto"/>
            <w:vAlign w:val="bottom"/>
          </w:tcPr>
          <w:p w:rsidR="001C55F3" w:rsidRPr="00A1508D" w:rsidRDefault="001C55F3" w:rsidP="001C55F3">
            <w:pPr>
              <w:jc w:val="both"/>
              <w:rPr>
                <w:sz w:val="20"/>
                <w:szCs w:val="20"/>
              </w:rPr>
            </w:pPr>
            <w:r>
              <w:rPr>
                <w:rFonts w:ascii="Calibri" w:hAnsi="Calibri"/>
                <w:color w:val="000000"/>
              </w:rPr>
              <w:t>7</w:t>
            </w:r>
          </w:p>
        </w:tc>
        <w:tc>
          <w:tcPr>
            <w:tcW w:w="0" w:type="auto"/>
            <w:vAlign w:val="bottom"/>
          </w:tcPr>
          <w:p w:rsidR="001C55F3" w:rsidRPr="00A1508D" w:rsidRDefault="001C55F3" w:rsidP="001C55F3">
            <w:pPr>
              <w:jc w:val="both"/>
              <w:rPr>
                <w:sz w:val="20"/>
                <w:szCs w:val="20"/>
              </w:rPr>
            </w:pPr>
            <w:r>
              <w:rPr>
                <w:rFonts w:ascii="Calibri" w:hAnsi="Calibri"/>
                <w:color w:val="000000"/>
              </w:rPr>
              <w:t>9</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21</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 xml:space="preserve">Insular </w:t>
            </w:r>
          </w:p>
        </w:tc>
        <w:tc>
          <w:tcPr>
            <w:tcW w:w="0" w:type="auto"/>
            <w:vAlign w:val="bottom"/>
          </w:tcPr>
          <w:p w:rsidR="001C55F3" w:rsidRPr="00A1508D" w:rsidRDefault="001C55F3" w:rsidP="001C55F3">
            <w:pPr>
              <w:jc w:val="both"/>
              <w:rPr>
                <w:sz w:val="20"/>
                <w:szCs w:val="20"/>
              </w:rPr>
            </w:pPr>
            <w:r>
              <w:rPr>
                <w:rFonts w:ascii="Calibri" w:hAnsi="Calibri"/>
                <w:color w:val="000000"/>
              </w:rPr>
              <w:t>14</w:t>
            </w:r>
          </w:p>
        </w:tc>
        <w:tc>
          <w:tcPr>
            <w:tcW w:w="0" w:type="auto"/>
            <w:vAlign w:val="bottom"/>
          </w:tcPr>
          <w:p w:rsidR="001C55F3" w:rsidRPr="00A1508D" w:rsidRDefault="001C55F3" w:rsidP="001C55F3">
            <w:pPr>
              <w:jc w:val="both"/>
              <w:rPr>
                <w:sz w:val="20"/>
                <w:szCs w:val="20"/>
              </w:rPr>
            </w:pPr>
            <w:r>
              <w:rPr>
                <w:rFonts w:ascii="Calibri" w:hAnsi="Calibri"/>
                <w:color w:val="000000"/>
              </w:rPr>
              <w:t>11</w:t>
            </w:r>
          </w:p>
        </w:tc>
        <w:tc>
          <w:tcPr>
            <w:tcW w:w="0" w:type="auto"/>
            <w:vAlign w:val="bottom"/>
          </w:tcPr>
          <w:p w:rsidR="001C55F3" w:rsidRPr="00A1508D" w:rsidRDefault="001C55F3" w:rsidP="001C55F3">
            <w:pPr>
              <w:jc w:val="both"/>
              <w:rPr>
                <w:sz w:val="20"/>
                <w:szCs w:val="20"/>
              </w:rPr>
            </w:pPr>
            <w:r>
              <w:rPr>
                <w:rFonts w:ascii="Calibri" w:hAnsi="Calibri"/>
                <w:color w:val="000000"/>
              </w:rPr>
              <w:t>11</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36</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Rivers and shores</w:t>
            </w:r>
          </w:p>
        </w:tc>
        <w:tc>
          <w:tcPr>
            <w:tcW w:w="0" w:type="auto"/>
            <w:vAlign w:val="bottom"/>
          </w:tcPr>
          <w:p w:rsidR="001C55F3" w:rsidRPr="00A1508D" w:rsidRDefault="001C55F3" w:rsidP="001C55F3">
            <w:pPr>
              <w:jc w:val="both"/>
              <w:rPr>
                <w:sz w:val="20"/>
                <w:szCs w:val="20"/>
              </w:rPr>
            </w:pPr>
            <w:r>
              <w:rPr>
                <w:rFonts w:ascii="Calibri" w:hAnsi="Calibri"/>
                <w:color w:val="000000"/>
              </w:rPr>
              <w:t>50</w:t>
            </w:r>
          </w:p>
        </w:tc>
        <w:tc>
          <w:tcPr>
            <w:tcW w:w="0" w:type="auto"/>
            <w:vAlign w:val="bottom"/>
          </w:tcPr>
          <w:p w:rsidR="001C55F3" w:rsidRPr="00A1508D" w:rsidRDefault="001C55F3" w:rsidP="001C55F3">
            <w:pPr>
              <w:jc w:val="both"/>
              <w:rPr>
                <w:sz w:val="20"/>
                <w:szCs w:val="20"/>
              </w:rPr>
            </w:pPr>
            <w:r>
              <w:rPr>
                <w:rFonts w:ascii="Calibri" w:hAnsi="Calibri"/>
                <w:color w:val="000000"/>
              </w:rPr>
              <w:t>55</w:t>
            </w:r>
          </w:p>
        </w:tc>
        <w:tc>
          <w:tcPr>
            <w:tcW w:w="0" w:type="auto"/>
            <w:vAlign w:val="bottom"/>
          </w:tcPr>
          <w:p w:rsidR="001C55F3" w:rsidRPr="00A1508D" w:rsidRDefault="001C55F3" w:rsidP="001C55F3">
            <w:pPr>
              <w:jc w:val="both"/>
              <w:rPr>
                <w:sz w:val="20"/>
                <w:szCs w:val="20"/>
              </w:rPr>
            </w:pPr>
            <w:r>
              <w:rPr>
                <w:rFonts w:ascii="Calibri" w:hAnsi="Calibri"/>
                <w:color w:val="000000"/>
              </w:rPr>
              <w:t>33</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138</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Marine</w:t>
            </w:r>
          </w:p>
        </w:tc>
        <w:tc>
          <w:tcPr>
            <w:tcW w:w="0" w:type="auto"/>
            <w:vAlign w:val="bottom"/>
          </w:tcPr>
          <w:p w:rsidR="001C55F3" w:rsidRPr="00A1508D" w:rsidRDefault="001C55F3" w:rsidP="001C55F3">
            <w:pPr>
              <w:jc w:val="both"/>
              <w:rPr>
                <w:sz w:val="20"/>
                <w:szCs w:val="20"/>
              </w:rPr>
            </w:pPr>
            <w:r>
              <w:rPr>
                <w:rFonts w:ascii="Calibri" w:hAnsi="Calibri"/>
                <w:color w:val="000000"/>
              </w:rPr>
              <w:t>44</w:t>
            </w:r>
          </w:p>
        </w:tc>
        <w:tc>
          <w:tcPr>
            <w:tcW w:w="0" w:type="auto"/>
            <w:vAlign w:val="bottom"/>
          </w:tcPr>
          <w:p w:rsidR="001C55F3" w:rsidRPr="00A1508D" w:rsidRDefault="001C55F3" w:rsidP="001C55F3">
            <w:pPr>
              <w:jc w:val="both"/>
              <w:rPr>
                <w:sz w:val="20"/>
                <w:szCs w:val="20"/>
              </w:rPr>
            </w:pPr>
            <w:r>
              <w:rPr>
                <w:rFonts w:ascii="Calibri" w:hAnsi="Calibri"/>
                <w:color w:val="000000"/>
              </w:rPr>
              <w:t>13</w:t>
            </w:r>
          </w:p>
        </w:tc>
        <w:tc>
          <w:tcPr>
            <w:tcW w:w="0" w:type="auto"/>
            <w:vAlign w:val="bottom"/>
          </w:tcPr>
          <w:p w:rsidR="001C55F3" w:rsidRPr="00A1508D" w:rsidRDefault="001C55F3" w:rsidP="001C55F3">
            <w:pPr>
              <w:jc w:val="both"/>
              <w:rPr>
                <w:sz w:val="20"/>
                <w:szCs w:val="20"/>
              </w:rPr>
            </w:pPr>
            <w:r>
              <w:rPr>
                <w:rFonts w:ascii="Calibri" w:hAnsi="Calibri"/>
                <w:color w:val="000000"/>
              </w:rPr>
              <w:t>31</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88</w:t>
            </w:r>
          </w:p>
        </w:tc>
      </w:tr>
      <w:tr w:rsidR="001C55F3" w:rsidRPr="00A1508D" w:rsidTr="001C55F3">
        <w:trPr>
          <w:jc w:val="center"/>
        </w:trPr>
        <w:tc>
          <w:tcPr>
            <w:tcW w:w="0" w:type="auto"/>
          </w:tcPr>
          <w:p w:rsidR="001C55F3" w:rsidRPr="00A1508D" w:rsidRDefault="001C55F3" w:rsidP="001C55F3">
            <w:pPr>
              <w:jc w:val="both"/>
              <w:rPr>
                <w:sz w:val="20"/>
                <w:szCs w:val="20"/>
              </w:rPr>
            </w:pPr>
            <w:r w:rsidRPr="00A1508D">
              <w:rPr>
                <w:sz w:val="20"/>
                <w:szCs w:val="20"/>
              </w:rPr>
              <w:t>Urban</w:t>
            </w:r>
          </w:p>
        </w:tc>
        <w:tc>
          <w:tcPr>
            <w:tcW w:w="0" w:type="auto"/>
            <w:vAlign w:val="bottom"/>
          </w:tcPr>
          <w:p w:rsidR="001C55F3" w:rsidRPr="00A1508D" w:rsidRDefault="001C55F3" w:rsidP="001C55F3">
            <w:pPr>
              <w:jc w:val="both"/>
              <w:rPr>
                <w:sz w:val="20"/>
                <w:szCs w:val="20"/>
              </w:rPr>
            </w:pPr>
            <w:r>
              <w:rPr>
                <w:rFonts w:ascii="Calibri" w:hAnsi="Calibri"/>
                <w:color w:val="000000"/>
              </w:rPr>
              <w:t>7</w:t>
            </w:r>
          </w:p>
        </w:tc>
        <w:tc>
          <w:tcPr>
            <w:tcW w:w="0" w:type="auto"/>
            <w:vAlign w:val="bottom"/>
          </w:tcPr>
          <w:p w:rsidR="001C55F3" w:rsidRPr="00A1508D" w:rsidRDefault="001C55F3" w:rsidP="001C55F3">
            <w:pPr>
              <w:jc w:val="both"/>
              <w:rPr>
                <w:sz w:val="20"/>
                <w:szCs w:val="20"/>
              </w:rPr>
            </w:pPr>
            <w:r>
              <w:rPr>
                <w:rFonts w:ascii="Calibri" w:hAnsi="Calibri"/>
                <w:color w:val="000000"/>
              </w:rPr>
              <w:t>8</w:t>
            </w:r>
          </w:p>
        </w:tc>
        <w:tc>
          <w:tcPr>
            <w:tcW w:w="0" w:type="auto"/>
            <w:vAlign w:val="bottom"/>
          </w:tcPr>
          <w:p w:rsidR="001C55F3" w:rsidRPr="00A1508D" w:rsidRDefault="001C55F3" w:rsidP="001C55F3">
            <w:pPr>
              <w:jc w:val="both"/>
              <w:rPr>
                <w:sz w:val="20"/>
                <w:szCs w:val="20"/>
              </w:rPr>
            </w:pPr>
            <w:r>
              <w:rPr>
                <w:rFonts w:ascii="Calibri" w:hAnsi="Calibri"/>
                <w:color w:val="000000"/>
              </w:rPr>
              <w:t>7</w:t>
            </w:r>
          </w:p>
        </w:tc>
        <w:tc>
          <w:tcPr>
            <w:tcW w:w="0" w:type="auto"/>
            <w:vAlign w:val="bottom"/>
          </w:tcPr>
          <w:p w:rsidR="001C55F3" w:rsidRPr="008632B8" w:rsidRDefault="001C55F3" w:rsidP="001C55F3">
            <w:pPr>
              <w:jc w:val="both"/>
              <w:rPr>
                <w:b/>
                <w:sz w:val="20"/>
                <w:szCs w:val="20"/>
              </w:rPr>
            </w:pPr>
            <w:r w:rsidRPr="008632B8">
              <w:rPr>
                <w:rFonts w:ascii="Calibri" w:hAnsi="Calibri"/>
                <w:b/>
                <w:color w:val="000000"/>
              </w:rPr>
              <w:t>22</w:t>
            </w:r>
          </w:p>
        </w:tc>
      </w:tr>
    </w:tbl>
    <w:p w:rsidR="001C55F3" w:rsidRPr="001627FA" w:rsidRDefault="001C55F3" w:rsidP="001C55F3">
      <w:pPr>
        <w:spacing w:after="0" w:line="240" w:lineRule="auto"/>
        <w:rPr>
          <w:rFonts w:eastAsiaTheme="majorEastAsia"/>
          <w:b/>
          <w:sz w:val="24"/>
          <w:szCs w:val="24"/>
        </w:rPr>
      </w:pPr>
      <w:r>
        <w:rPr>
          <w:rFonts w:eastAsiaTheme="majorEastAsia"/>
        </w:rPr>
        <w:br w:type="page"/>
      </w:r>
      <w:r w:rsidRPr="001627FA">
        <w:rPr>
          <w:rFonts w:eastAsiaTheme="majorEastAsia"/>
          <w:b/>
          <w:sz w:val="24"/>
          <w:szCs w:val="24"/>
        </w:rPr>
        <w:lastRenderedPageBreak/>
        <w:t>Step 3 Data and Data-Analysis</w:t>
      </w:r>
    </w:p>
    <w:p w:rsidR="001C55F3" w:rsidRPr="00F07DF4" w:rsidRDefault="001C55F3" w:rsidP="001C55F3"/>
    <w:p w:rsidR="001C55F3" w:rsidRDefault="001C55F3" w:rsidP="001C55F3">
      <w:pPr>
        <w:jc w:val="center"/>
        <w:rPr>
          <w:rFonts w:eastAsiaTheme="majorEastAsia"/>
          <w:sz w:val="32"/>
          <w:szCs w:val="32"/>
        </w:rPr>
      </w:pPr>
      <w:r>
        <w:rPr>
          <w:rFonts w:eastAsiaTheme="majorEastAsia"/>
          <w:noProof/>
          <w:sz w:val="32"/>
          <w:szCs w:val="32"/>
          <w:lang w:val="fr-BE" w:eastAsia="fr-BE"/>
        </w:rPr>
        <w:drawing>
          <wp:inline distT="0" distB="0" distL="0" distR="0">
            <wp:extent cx="5098083" cy="3719646"/>
            <wp:effectExtent l="0" t="0" r="7620" b="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8222" cy="3719748"/>
                    </a:xfrm>
                    <a:prstGeom prst="rect">
                      <a:avLst/>
                    </a:prstGeom>
                    <a:noFill/>
                    <a:ln>
                      <a:noFill/>
                    </a:ln>
                  </pic:spPr>
                </pic:pic>
              </a:graphicData>
            </a:graphic>
          </wp:inline>
        </w:drawing>
      </w:r>
    </w:p>
    <w:p w:rsidR="001C55F3" w:rsidRDefault="001C55F3" w:rsidP="001C55F3">
      <w:pPr>
        <w:spacing w:after="0" w:line="240" w:lineRule="auto"/>
        <w:rPr>
          <w:b/>
        </w:rPr>
      </w:pPr>
      <w:r>
        <w:rPr>
          <w:b/>
        </w:rPr>
        <w:t>Explanation:</w:t>
      </w:r>
    </w:p>
    <w:p w:rsidR="001C55F3" w:rsidRPr="00DB5738" w:rsidRDefault="001C55F3" w:rsidP="001C55F3">
      <w:pPr>
        <w:spacing w:after="0" w:line="240" w:lineRule="auto"/>
      </w:pPr>
      <w:r>
        <w:t xml:space="preserve">With the Country specific matrix as starting point the next step involves the collection and processing of data to quantify the indicators. </w:t>
      </w:r>
      <w:r w:rsidRPr="00F07DF4">
        <w:t>Data collection is a process which can be structured very well, and the diagram of course only give</w:t>
      </w:r>
      <w:r>
        <w:t>s</w:t>
      </w:r>
      <w:r w:rsidRPr="00F07DF4">
        <w:t xml:space="preserve"> a few aggregate steps. Scientific literature, country statistics and local / regional filed knowledge (experts) will have to </w:t>
      </w:r>
      <w:r>
        <w:t>b</w:t>
      </w:r>
      <w:r w:rsidRPr="00F07DF4">
        <w:t>e brought in to make the EU generic maps and date customised for COUNTRY X.Location of ecosystems and ecosystem services are the first steps (put the Matrix on the Map). Next an iterative process of Selection of indicators &lt;-&gt; Search for Data will have to take place, and data availability  / accessibility determine the level of sophistication, Where country specific data are not available, data from other countries may work, combined with local expert judgment.</w:t>
      </w:r>
    </w:p>
    <w:p w:rsidR="001C55F3" w:rsidRDefault="001C55F3" w:rsidP="001C55F3">
      <w:pPr>
        <w:spacing w:after="0"/>
        <w:rPr>
          <w:rFonts w:eastAsiaTheme="majorEastAsia"/>
          <w:b/>
          <w:u w:val="single"/>
        </w:rPr>
      </w:pPr>
    </w:p>
    <w:p w:rsidR="001C55F3" w:rsidRPr="00AD7462" w:rsidRDefault="001C55F3" w:rsidP="001C55F3">
      <w:pPr>
        <w:spacing w:after="0"/>
        <w:rPr>
          <w:rFonts w:eastAsiaTheme="majorEastAsia"/>
          <w:b/>
          <w:u w:val="single"/>
        </w:rPr>
      </w:pPr>
      <w:r w:rsidRPr="00AD7462">
        <w:rPr>
          <w:rFonts w:eastAsiaTheme="majorEastAsia"/>
          <w:b/>
          <w:u w:val="single"/>
        </w:rPr>
        <w:t xml:space="preserve">3.1 </w:t>
      </w:r>
      <w:r w:rsidRPr="00AD7462">
        <w:rPr>
          <w:rFonts w:eastAsiaTheme="majorEastAsia"/>
          <w:b/>
          <w:u w:val="single"/>
        </w:rPr>
        <w:tab/>
        <w:t>Collect Ecosystem and Ecosystem Services Maps</w:t>
      </w:r>
    </w:p>
    <w:p w:rsidR="001C55F3" w:rsidRDefault="001C55F3" w:rsidP="001C55F3">
      <w:pPr>
        <w:spacing w:line="240" w:lineRule="auto"/>
        <w:rPr>
          <w:rFonts w:eastAsiaTheme="majorEastAsia"/>
        </w:rPr>
      </w:pPr>
      <w:r w:rsidRPr="00F07DF4">
        <w:rPr>
          <w:rFonts w:eastAsiaTheme="majorEastAsia"/>
        </w:rPr>
        <w:t xml:space="preserve">In many of the Member States there are </w:t>
      </w:r>
      <w:r>
        <w:rPr>
          <w:rFonts w:eastAsiaTheme="majorEastAsia"/>
        </w:rPr>
        <w:t xml:space="preserve">already many different “science based” </w:t>
      </w:r>
      <w:r w:rsidRPr="00F07DF4">
        <w:rPr>
          <w:rFonts w:eastAsiaTheme="majorEastAsia"/>
        </w:rPr>
        <w:t>maps that can be used as basis for Action 5 “delineation of systems and services” purposes. Some maps are essentia</w:t>
      </w:r>
      <w:r>
        <w:rPr>
          <w:rFonts w:eastAsiaTheme="majorEastAsia"/>
        </w:rPr>
        <w:t>l</w:t>
      </w:r>
      <w:r w:rsidRPr="00F07DF4">
        <w:rPr>
          <w:rFonts w:eastAsiaTheme="majorEastAsia"/>
        </w:rPr>
        <w:t>l</w:t>
      </w:r>
      <w:r>
        <w:rPr>
          <w:rFonts w:eastAsiaTheme="majorEastAsia"/>
        </w:rPr>
        <w:t>y</w:t>
      </w:r>
      <w:r w:rsidRPr="00F07DF4">
        <w:rPr>
          <w:rFonts w:eastAsiaTheme="majorEastAsia"/>
        </w:rPr>
        <w:t xml:space="preserve"> land cover maps, using one or another ecological, soil, landscape or actual land use classification. These maps may</w:t>
      </w:r>
      <w:r>
        <w:rPr>
          <w:rFonts w:eastAsiaTheme="majorEastAsia"/>
        </w:rPr>
        <w:t xml:space="preserve"> very well</w:t>
      </w:r>
      <w:r w:rsidRPr="00F07DF4">
        <w:rPr>
          <w:rFonts w:eastAsiaTheme="majorEastAsia"/>
        </w:rPr>
        <w:t xml:space="preserve"> function as a basis for ecosystem mapping. A conversion to match with the EU </w:t>
      </w:r>
      <w:r>
        <w:rPr>
          <w:rFonts w:eastAsiaTheme="majorEastAsia"/>
        </w:rPr>
        <w:t xml:space="preserve">ecosystem </w:t>
      </w:r>
      <w:r w:rsidRPr="00F07DF4">
        <w:rPr>
          <w:rFonts w:eastAsiaTheme="majorEastAsia"/>
        </w:rPr>
        <w:t xml:space="preserve">classes may be useful to facilitate the further use of knowledge and data of European sources.Land use classification are in many cases a simplified ecosystem services classification. They usually define the dominant land use form (e.g. agricultural crops, or recreational land), but </w:t>
      </w:r>
      <w:r>
        <w:rPr>
          <w:rFonts w:eastAsiaTheme="majorEastAsia"/>
        </w:rPr>
        <w:t xml:space="preserve">generally </w:t>
      </w:r>
      <w:r w:rsidRPr="00F07DF4">
        <w:rPr>
          <w:rFonts w:eastAsiaTheme="majorEastAsia"/>
        </w:rPr>
        <w:t xml:space="preserve">ignore the other services of that particular area, e.g. climate regulation, soil protection etc.The combination of national and regional maps from specific studies, with the Matrices from </w:t>
      </w:r>
      <w:r>
        <w:rPr>
          <w:rFonts w:eastAsiaTheme="majorEastAsia"/>
        </w:rPr>
        <w:t>Step</w:t>
      </w:r>
      <w:r w:rsidRPr="00F07DF4">
        <w:rPr>
          <w:rFonts w:eastAsiaTheme="majorEastAsia"/>
        </w:rPr>
        <w:t xml:space="preserve"> 2, provide a basic Member State Ecosystem and Ecosystem Service Location map. </w:t>
      </w:r>
    </w:p>
    <w:p w:rsidR="001C55F3" w:rsidRDefault="001C55F3" w:rsidP="001C55F3">
      <w:r>
        <w:br w:type="page"/>
      </w:r>
    </w:p>
    <w:p w:rsidR="001C55F3" w:rsidRPr="00AD7462" w:rsidRDefault="001C55F3" w:rsidP="00622218">
      <w:pPr>
        <w:pStyle w:val="Paragraphedeliste"/>
        <w:numPr>
          <w:ilvl w:val="0"/>
          <w:numId w:val="121"/>
        </w:numPr>
        <w:shd w:val="clear" w:color="auto" w:fill="EEECE1" w:themeFill="background2"/>
        <w:spacing w:line="240" w:lineRule="auto"/>
        <w:rPr>
          <w:rFonts w:ascii="Calibri" w:eastAsia="Times New Roman" w:hAnsi="Calibri"/>
        </w:rPr>
      </w:pPr>
      <w:r w:rsidRPr="00DB5738">
        <w:rPr>
          <w:rFonts w:eastAsiaTheme="majorEastAsia"/>
        </w:rPr>
        <w:lastRenderedPageBreak/>
        <w:t xml:space="preserve">In the ANNEX to TASK 1 the maps are available that have been provided from the Country Case studies and have been input for the analysis.  These maps are available also on CIRCA </w:t>
      </w:r>
      <w:hyperlink r:id="rId154" w:history="1">
        <w:r w:rsidRPr="00DB5738">
          <w:rPr>
            <w:rStyle w:val="Lienhypertexte"/>
            <w:rFonts w:ascii="Calibri" w:eastAsia="Times New Roman" w:hAnsi="Calibri"/>
          </w:rPr>
          <w:t>https://circabc.europa.eu/w/browse/dadf63ef-421e-4aa1-82c3-25b681346d95</w:t>
        </w:r>
      </w:hyperlink>
      <w:r w:rsidRPr="00DB5738">
        <w:rPr>
          <w:rFonts w:ascii="Calibri" w:eastAsia="Times New Roman" w:hAnsi="Calibri"/>
        </w:rPr>
        <w:t>   listed by Country case.</w:t>
      </w:r>
    </w:p>
    <w:p w:rsidR="001C55F3" w:rsidRDefault="001C55F3">
      <w:pPr>
        <w:rPr>
          <w:rFonts w:eastAsiaTheme="majorEastAsia"/>
          <w:b/>
          <w:color w:val="4F81BD" w:themeColor="accent1"/>
        </w:rPr>
      </w:pPr>
      <w:r>
        <w:rPr>
          <w:rFonts w:eastAsiaTheme="majorEastAsia"/>
          <w:b/>
          <w:noProof/>
          <w:color w:val="4F81BD" w:themeColor="accent1"/>
          <w:lang w:val="fr-BE" w:eastAsia="fr-BE"/>
        </w:rPr>
        <w:drawing>
          <wp:inline distT="0" distB="0" distL="0" distR="0">
            <wp:extent cx="5743575" cy="4296375"/>
            <wp:effectExtent l="0" t="0" r="0" b="9525"/>
            <wp:docPr id="4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6581" cy="4298623"/>
                    </a:xfrm>
                    <a:prstGeom prst="rect">
                      <a:avLst/>
                    </a:prstGeom>
                    <a:noFill/>
                  </pic:spPr>
                </pic:pic>
              </a:graphicData>
            </a:graphic>
          </wp:inline>
        </w:drawing>
      </w:r>
    </w:p>
    <w:p w:rsidR="001C55F3" w:rsidRPr="00150F2F" w:rsidRDefault="001C55F3" w:rsidP="001C55F3">
      <w:pPr>
        <w:rPr>
          <w:rFonts w:eastAsiaTheme="majorEastAsia"/>
          <w:b/>
          <w:color w:val="4F81BD" w:themeColor="accent1"/>
        </w:rPr>
      </w:pPr>
      <w:r>
        <w:rPr>
          <w:b/>
          <w:sz w:val="24"/>
          <w:szCs w:val="24"/>
        </w:rPr>
        <w:t>Figure 3.2</w:t>
      </w:r>
      <w:r>
        <w:rPr>
          <w:b/>
          <w:sz w:val="24"/>
          <w:szCs w:val="24"/>
        </w:rPr>
        <w:tab/>
      </w:r>
      <w:r>
        <w:rPr>
          <w:rFonts w:eastAsiaTheme="majorEastAsia"/>
          <w:b/>
        </w:rPr>
        <w:t>The</w:t>
      </w:r>
      <w:r w:rsidRPr="00026DAB">
        <w:rPr>
          <w:rFonts w:eastAsiaTheme="majorEastAsia"/>
          <w:b/>
        </w:rPr>
        <w:t xml:space="preserve"> Country Case studies.</w:t>
      </w:r>
    </w:p>
    <w:p w:rsidR="001C55F3" w:rsidRDefault="001C55F3" w:rsidP="001C55F3">
      <w:pPr>
        <w:spacing w:after="0" w:line="240" w:lineRule="auto"/>
        <w:rPr>
          <w:b/>
          <w:sz w:val="24"/>
          <w:szCs w:val="24"/>
        </w:rPr>
      </w:pPr>
      <w:r w:rsidRPr="007557DA">
        <w:rPr>
          <w:sz w:val="24"/>
          <w:szCs w:val="24"/>
        </w:rPr>
        <w:t>Individual Member states may have collections of relevant maps (depicting indicators as shown in the indicator lists in</w:t>
      </w:r>
      <w:r>
        <w:rPr>
          <w:b/>
          <w:sz w:val="24"/>
          <w:szCs w:val="24"/>
        </w:rPr>
        <w:t xml:space="preserve"> Step 2.4)  . An example for the Netherlands is:</w:t>
      </w:r>
    </w:p>
    <w:p w:rsidR="001C55F3" w:rsidRDefault="001C55F3" w:rsidP="001C55F3">
      <w:pPr>
        <w:spacing w:after="0"/>
        <w:rPr>
          <w:b/>
          <w:sz w:val="24"/>
          <w:szCs w:val="24"/>
        </w:rPr>
      </w:pPr>
    </w:p>
    <w:p w:rsidR="001C55F3" w:rsidRDefault="001C55F3" w:rsidP="001C55F3">
      <w:pPr>
        <w:shd w:val="clear" w:color="auto" w:fill="EEECE1" w:themeFill="background2"/>
        <w:spacing w:after="0"/>
        <w:rPr>
          <w:b/>
          <w:sz w:val="24"/>
          <w:szCs w:val="24"/>
        </w:rPr>
      </w:pPr>
      <w:r w:rsidRPr="00F101D3">
        <w:rPr>
          <w:b/>
          <w:sz w:val="24"/>
          <w:szCs w:val="24"/>
        </w:rPr>
        <w:t>Maps at Alterra of National Scale Biophysical data</w:t>
      </w:r>
    </w:p>
    <w:p w:rsidR="001C55F3" w:rsidRDefault="001C55F3" w:rsidP="001C55F3">
      <w:pPr>
        <w:shd w:val="clear" w:color="auto" w:fill="EEECE1" w:themeFill="background2"/>
        <w:spacing w:after="0" w:line="240" w:lineRule="auto"/>
        <w:rPr>
          <w:i/>
          <w:sz w:val="24"/>
          <w:szCs w:val="24"/>
        </w:rPr>
      </w:pPr>
      <w:r w:rsidRPr="00F101D3">
        <w:rPr>
          <w:i/>
          <w:sz w:val="24"/>
          <w:szCs w:val="24"/>
        </w:rPr>
        <w:t>- LGN 7 (Land Use Netherlands version 7)</w:t>
      </w:r>
      <w:r w:rsidRPr="00F101D3">
        <w:rPr>
          <w:i/>
          <w:sz w:val="24"/>
          <w:szCs w:val="24"/>
        </w:rPr>
        <w:br/>
        <w:t>- Bodemkaart NL (Soil Map NL)</w:t>
      </w:r>
      <w:r w:rsidRPr="00F101D3">
        <w:rPr>
          <w:i/>
          <w:sz w:val="24"/>
          <w:szCs w:val="24"/>
        </w:rPr>
        <w:br/>
        <w:t>- Grondwaterkaart NL (Groundwater map NL)</w:t>
      </w:r>
      <w:r w:rsidRPr="00F101D3">
        <w:rPr>
          <w:i/>
          <w:sz w:val="24"/>
          <w:szCs w:val="24"/>
        </w:rPr>
        <w:br/>
        <w:t>- Geomorfologische kaart NL (Geomorphological map NL)</w:t>
      </w:r>
      <w:r w:rsidRPr="00F101D3">
        <w:rPr>
          <w:i/>
          <w:sz w:val="24"/>
          <w:szCs w:val="24"/>
        </w:rPr>
        <w:br/>
        <w:t>- Aardkundigewaardenkaart (geo-soil valuation map NL</w:t>
      </w:r>
      <w:r w:rsidRPr="00F101D3">
        <w:rPr>
          <w:i/>
          <w:sz w:val="24"/>
          <w:szCs w:val="24"/>
        </w:rPr>
        <w:br/>
        <w:t>-Vegetatiekaarten (Synbiosis)</w:t>
      </w:r>
      <w:r>
        <w:rPr>
          <w:i/>
          <w:sz w:val="24"/>
          <w:szCs w:val="24"/>
        </w:rPr>
        <w:t>(vegetation maps NL)</w:t>
      </w:r>
      <w:r w:rsidRPr="00F101D3">
        <w:rPr>
          <w:i/>
          <w:sz w:val="24"/>
          <w:szCs w:val="24"/>
        </w:rPr>
        <w:br/>
        <w:t>- Habitatkaarten</w:t>
      </w:r>
      <w:r>
        <w:rPr>
          <w:i/>
          <w:sz w:val="24"/>
          <w:szCs w:val="24"/>
        </w:rPr>
        <w:t>(Habitat maps NL)</w:t>
      </w:r>
    </w:p>
    <w:p w:rsidR="001C55F3" w:rsidRPr="005C1413" w:rsidRDefault="001C55F3" w:rsidP="001C55F3">
      <w:pPr>
        <w:spacing w:after="0"/>
        <w:rPr>
          <w:i/>
          <w:sz w:val="24"/>
          <w:szCs w:val="24"/>
        </w:rPr>
      </w:pPr>
    </w:p>
    <w:p w:rsidR="001C55F3" w:rsidRDefault="001C55F3" w:rsidP="001C55F3">
      <w:pPr>
        <w:spacing w:after="0"/>
        <w:rPr>
          <w:rFonts w:eastAsiaTheme="majorEastAsia"/>
          <w:b/>
          <w:color w:val="4F81BD" w:themeColor="accent1"/>
        </w:rPr>
      </w:pPr>
    </w:p>
    <w:p w:rsidR="001C55F3" w:rsidRDefault="001C55F3">
      <w:pPr>
        <w:rPr>
          <w:rFonts w:eastAsiaTheme="majorEastAsia"/>
          <w:b/>
          <w:color w:val="4F81BD" w:themeColor="accent1"/>
        </w:rPr>
      </w:pPr>
      <w:r>
        <w:rPr>
          <w:rFonts w:eastAsiaTheme="majorEastAsia"/>
          <w:b/>
          <w:color w:val="4F81BD" w:themeColor="accent1"/>
        </w:rPr>
        <w:br w:type="page"/>
      </w:r>
    </w:p>
    <w:p w:rsidR="001C55F3" w:rsidRPr="00150F2F" w:rsidRDefault="001C55F3" w:rsidP="001C55F3">
      <w:pPr>
        <w:spacing w:after="0"/>
        <w:rPr>
          <w:rFonts w:eastAsiaTheme="majorEastAsia"/>
          <w:b/>
          <w:u w:val="single"/>
        </w:rPr>
      </w:pPr>
      <w:r w:rsidRPr="00150F2F">
        <w:rPr>
          <w:rFonts w:eastAsiaTheme="majorEastAsia"/>
          <w:b/>
          <w:u w:val="single"/>
        </w:rPr>
        <w:lastRenderedPageBreak/>
        <w:t>3.2</w:t>
      </w:r>
      <w:r w:rsidRPr="00150F2F">
        <w:rPr>
          <w:rFonts w:eastAsiaTheme="majorEastAsia"/>
          <w:b/>
          <w:u w:val="single"/>
        </w:rPr>
        <w:tab/>
        <w:t>Obtain EU MAP “Masks” for the Member State</w:t>
      </w:r>
    </w:p>
    <w:p w:rsidR="001C55F3" w:rsidRDefault="001C55F3" w:rsidP="001C55F3">
      <w:pPr>
        <w:spacing w:line="240" w:lineRule="auto"/>
        <w:rPr>
          <w:rFonts w:eastAsiaTheme="majorEastAsia"/>
        </w:rPr>
      </w:pPr>
      <w:r w:rsidRPr="00F07DF4">
        <w:rPr>
          <w:rFonts w:eastAsiaTheme="majorEastAsia"/>
        </w:rPr>
        <w:t>The EEA and the JRC are rich sources of information on ecosystems and ecosystem services at EU level, and also for EU regions. They may be helping Member states by providing “selections” of EU datasets specific to a Member State. In particular,  they can provide “country-delineated” cut-outs</w:t>
      </w:r>
      <w:r>
        <w:rPr>
          <w:rFonts w:eastAsiaTheme="majorEastAsia"/>
        </w:rPr>
        <w:t xml:space="preserve"> (masks)</w:t>
      </w:r>
      <w:r w:rsidRPr="00F07DF4">
        <w:rPr>
          <w:rFonts w:eastAsiaTheme="majorEastAsia"/>
        </w:rPr>
        <w:t xml:space="preserve"> of EU Maps, thereby also providing a basis for later integration of Member State final maps into overview maps for the EU.</w:t>
      </w:r>
    </w:p>
    <w:p w:rsidR="001C55F3" w:rsidRPr="005544D6" w:rsidRDefault="001C55F3" w:rsidP="001C55F3">
      <w:pPr>
        <w:spacing w:line="240" w:lineRule="auto"/>
        <w:rPr>
          <w:rFonts w:eastAsiaTheme="majorEastAsia"/>
          <w:b/>
          <w:i/>
        </w:rPr>
      </w:pPr>
      <w:r w:rsidRPr="005544D6">
        <w:rPr>
          <w:rFonts w:eastAsiaTheme="majorEastAsia"/>
          <w:b/>
          <w:i/>
        </w:rPr>
        <w:t>Figure 3.3.a Corine Land Cover Types 2006 (source EEA)</w:t>
      </w:r>
    </w:p>
    <w:p w:rsidR="001C55F3" w:rsidRDefault="001C55F3" w:rsidP="001C55F3">
      <w:pPr>
        <w:jc w:val="center"/>
        <w:rPr>
          <w:rFonts w:eastAsiaTheme="majorEastAsia"/>
          <w:b/>
          <w:highlight w:val="yellow"/>
        </w:rPr>
      </w:pPr>
      <w:r>
        <w:rPr>
          <w:rFonts w:eastAsiaTheme="majorEastAsia"/>
          <w:b/>
          <w:noProof/>
          <w:lang w:val="fr-BE" w:eastAsia="fr-BE"/>
        </w:rPr>
        <w:drawing>
          <wp:inline distT="0" distB="0" distL="0" distR="0">
            <wp:extent cx="2917466" cy="3213683"/>
            <wp:effectExtent l="0" t="0" r="0" b="6350"/>
            <wp:docPr id="42" name="Picture 22" descr="M:\My Documents\My Picture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My Documents\My Pictures\untitled.png"/>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9937" cy="3216405"/>
                    </a:xfrm>
                    <a:prstGeom prst="rect">
                      <a:avLst/>
                    </a:prstGeom>
                    <a:noFill/>
                    <a:ln>
                      <a:noFill/>
                    </a:ln>
                  </pic:spPr>
                </pic:pic>
              </a:graphicData>
            </a:graphic>
          </wp:inline>
        </w:drawing>
      </w:r>
    </w:p>
    <w:p w:rsidR="001C55F3" w:rsidRPr="00FA5B85" w:rsidRDefault="001C55F3" w:rsidP="001C55F3">
      <w:pPr>
        <w:rPr>
          <w:highlight w:val="yellow"/>
        </w:rPr>
      </w:pPr>
      <w:r w:rsidRPr="00FA5B85">
        <w:rPr>
          <w:rFonts w:eastAsiaTheme="majorEastAsia"/>
          <w:b/>
        </w:rPr>
        <w:t>Figure 3.</w:t>
      </w:r>
      <w:r>
        <w:rPr>
          <w:rFonts w:eastAsiaTheme="majorEastAsia"/>
          <w:b/>
        </w:rPr>
        <w:t>3</w:t>
      </w:r>
      <w:r w:rsidRPr="00FA5B85">
        <w:rPr>
          <w:rFonts w:eastAsiaTheme="majorEastAsia"/>
          <w:b/>
        </w:rPr>
        <w:t>.b Land Use Netherlands (</w:t>
      </w:r>
      <w:r>
        <w:rPr>
          <w:rFonts w:eastAsiaTheme="majorEastAsia"/>
          <w:b/>
        </w:rPr>
        <w:t xml:space="preserve">Source: </w:t>
      </w:r>
      <w:r w:rsidRPr="00FA5B85">
        <w:rPr>
          <w:rFonts w:eastAsiaTheme="majorEastAsia"/>
          <w:b/>
        </w:rPr>
        <w:t>Alterra, Wageningen)</w:t>
      </w:r>
    </w:p>
    <w:p w:rsidR="001C55F3" w:rsidRDefault="001C55F3" w:rsidP="001C55F3">
      <w:pPr>
        <w:jc w:val="center"/>
        <w:rPr>
          <w:rFonts w:eastAsiaTheme="majorEastAsia"/>
          <w:b/>
          <w:highlight w:val="yellow"/>
        </w:rPr>
      </w:pPr>
      <w:r>
        <w:rPr>
          <w:rFonts w:eastAsiaTheme="majorEastAsia"/>
          <w:b/>
          <w:noProof/>
          <w:lang w:val="fr-BE" w:eastAsia="fr-BE"/>
        </w:rPr>
        <w:drawing>
          <wp:inline distT="0" distB="0" distL="0" distR="0">
            <wp:extent cx="2814058" cy="3143250"/>
            <wp:effectExtent l="0" t="0" r="5715" b="0"/>
            <wp:docPr id="43" name="Picture 24" descr="M:\My Documents\My Pictures\43bb7e62-2ccc-4074-8580-947591bb0b1a_LGN5_353_530x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My Documents\My Pictures\43bb7e62-2ccc-4074-8580-947591bb0b1a_LGN5_353_530x592.png"/>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4058" cy="3143250"/>
                    </a:xfrm>
                    <a:prstGeom prst="rect">
                      <a:avLst/>
                    </a:prstGeom>
                    <a:noFill/>
                    <a:ln>
                      <a:noFill/>
                    </a:ln>
                  </pic:spPr>
                </pic:pic>
              </a:graphicData>
            </a:graphic>
          </wp:inline>
        </w:drawing>
      </w:r>
    </w:p>
    <w:p w:rsidR="001C55F3" w:rsidRDefault="001C55F3">
      <w:pPr>
        <w:rPr>
          <w:rFonts w:eastAsiaTheme="majorEastAsia"/>
          <w:b/>
          <w:highlight w:val="yellow"/>
        </w:rPr>
      </w:pPr>
      <w:r>
        <w:rPr>
          <w:rFonts w:eastAsiaTheme="majorEastAsia"/>
          <w:b/>
          <w:highlight w:val="yellow"/>
        </w:rPr>
        <w:br w:type="page"/>
      </w:r>
    </w:p>
    <w:p w:rsidR="001C55F3" w:rsidRPr="00661E74" w:rsidRDefault="001C55F3" w:rsidP="001C55F3">
      <w:pPr>
        <w:rPr>
          <w:rFonts w:eastAsiaTheme="majorEastAsia"/>
          <w:b/>
          <w:lang w:val="fr-BE"/>
        </w:rPr>
      </w:pPr>
      <w:r w:rsidRPr="00661E74">
        <w:rPr>
          <w:rFonts w:eastAsiaTheme="majorEastAsia"/>
          <w:b/>
          <w:lang w:val="fr-BE"/>
        </w:rPr>
        <w:lastRenderedPageBreak/>
        <w:t>Figure 3.3.c European Soils Map: (source: EU.SOILS.JRC.EUROPA.EU)</w:t>
      </w:r>
    </w:p>
    <w:p w:rsidR="001C55F3" w:rsidRDefault="001C55F3">
      <w:pPr>
        <w:rPr>
          <w:rFonts w:eastAsiaTheme="majorEastAsia"/>
          <w:b/>
          <w:color w:val="4F81BD" w:themeColor="accent1"/>
        </w:rPr>
      </w:pPr>
      <w:r>
        <w:rPr>
          <w:rFonts w:eastAsiaTheme="majorEastAsia"/>
          <w:b/>
          <w:noProof/>
          <w:lang w:val="fr-BE" w:eastAsia="fr-BE"/>
        </w:rPr>
        <w:drawing>
          <wp:inline distT="0" distB="0" distL="0" distR="0">
            <wp:extent cx="5760720" cy="7665982"/>
            <wp:effectExtent l="0" t="0" r="0" b="0"/>
            <wp:docPr id="45" name="Picture 23" descr="M:\My Documents\My Pictures\Map%201_1%20Soil_SO100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My Documents\My Pictures\Map%201_1%20Soil_SO100_v3.png"/>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7665982"/>
                    </a:xfrm>
                    <a:prstGeom prst="rect">
                      <a:avLst/>
                    </a:prstGeom>
                    <a:noFill/>
                    <a:ln>
                      <a:noFill/>
                    </a:ln>
                  </pic:spPr>
                </pic:pic>
              </a:graphicData>
            </a:graphic>
          </wp:inline>
        </w:drawing>
      </w:r>
    </w:p>
    <w:p w:rsidR="001C55F3" w:rsidRDefault="001C55F3">
      <w:pPr>
        <w:rPr>
          <w:rFonts w:eastAsiaTheme="majorEastAsia"/>
          <w:b/>
          <w:color w:val="4F81BD" w:themeColor="accent1"/>
        </w:rPr>
      </w:pPr>
      <w:r>
        <w:rPr>
          <w:rFonts w:eastAsiaTheme="majorEastAsia"/>
          <w:b/>
          <w:color w:val="4F81BD" w:themeColor="accent1"/>
        </w:rPr>
        <w:br w:type="page"/>
      </w:r>
    </w:p>
    <w:p w:rsidR="001C55F3" w:rsidRPr="005544D6" w:rsidRDefault="001C55F3" w:rsidP="001C55F3">
      <w:pPr>
        <w:rPr>
          <w:rFonts w:eastAsiaTheme="majorEastAsia"/>
          <w:b/>
          <w:u w:val="single"/>
        </w:rPr>
      </w:pPr>
      <w:r w:rsidRPr="005544D6">
        <w:rPr>
          <w:rFonts w:eastAsiaTheme="majorEastAsia"/>
          <w:b/>
          <w:u w:val="single"/>
        </w:rPr>
        <w:lastRenderedPageBreak/>
        <w:t>3.3</w:t>
      </w:r>
      <w:r w:rsidRPr="005544D6">
        <w:rPr>
          <w:rFonts w:eastAsiaTheme="majorEastAsia"/>
          <w:b/>
          <w:u w:val="single"/>
        </w:rPr>
        <w:tab/>
        <w:t>Collect National Statistics for indicator quantification</w:t>
      </w:r>
    </w:p>
    <w:p w:rsidR="001C55F3" w:rsidRDefault="001C55F3" w:rsidP="001C55F3">
      <w:pPr>
        <w:pStyle w:val="Paragraphedeliste"/>
        <w:spacing w:line="240" w:lineRule="auto"/>
        <w:ind w:left="0"/>
        <w:rPr>
          <w:rFonts w:eastAsiaTheme="majorEastAsia"/>
        </w:rPr>
      </w:pPr>
      <w:r w:rsidRPr="00F07DF4">
        <w:rPr>
          <w:rFonts w:eastAsiaTheme="majorEastAsia"/>
        </w:rPr>
        <w:t xml:space="preserve">There are 2 major sources for data for quantification of indicators of ecosystem quality and ecosystem service performance. The first is the National Statistics, often related to land use classification (agriculture, forestry, water supply etc. ) and economic use (for production and consumption).  </w:t>
      </w:r>
      <w:r w:rsidRPr="00647805">
        <w:rPr>
          <w:rFonts w:eastAsiaTheme="majorEastAsia"/>
        </w:rPr>
        <w:t>The second source is the scientific literature (see 3.4)</w:t>
      </w:r>
    </w:p>
    <w:p w:rsidR="001C55F3" w:rsidRDefault="001C55F3" w:rsidP="001C55F3">
      <w:pPr>
        <w:pStyle w:val="Paragraphedeliste"/>
        <w:ind w:left="0"/>
        <w:rPr>
          <w:rFonts w:eastAsiaTheme="majorEastAsia"/>
          <w:b/>
        </w:rPr>
      </w:pPr>
    </w:p>
    <w:p w:rsidR="001C55F3" w:rsidRPr="00B00E8C" w:rsidRDefault="001C55F3" w:rsidP="001C55F3">
      <w:pPr>
        <w:pStyle w:val="Paragraphedeliste"/>
        <w:ind w:left="0"/>
        <w:rPr>
          <w:rFonts w:eastAsiaTheme="majorEastAsia"/>
          <w:b/>
        </w:rPr>
      </w:pPr>
      <w:r w:rsidRPr="00B00E8C">
        <w:rPr>
          <w:rFonts w:eastAsiaTheme="majorEastAsia"/>
          <w:b/>
        </w:rPr>
        <w:t>Figure 3.</w:t>
      </w:r>
      <w:r>
        <w:rPr>
          <w:rFonts w:eastAsiaTheme="majorEastAsia"/>
          <w:b/>
        </w:rPr>
        <w:t>4</w:t>
      </w:r>
      <w:r w:rsidRPr="00B00E8C">
        <w:rPr>
          <w:rFonts w:eastAsiaTheme="majorEastAsia"/>
          <w:b/>
        </w:rPr>
        <w:t>.a Plant, fungi and animal species in the Netherlands (Source PBL, 2012)</w:t>
      </w:r>
    </w:p>
    <w:tbl>
      <w:tblPr>
        <w:tblW w:w="5000" w:type="pct"/>
        <w:tblCellSpacing w:w="0" w:type="dxa"/>
        <w:tblCellMar>
          <w:left w:w="0" w:type="dxa"/>
          <w:right w:w="0" w:type="dxa"/>
        </w:tblCellMar>
        <w:tblLook w:val="04A0"/>
      </w:tblPr>
      <w:tblGrid>
        <w:gridCol w:w="9070"/>
      </w:tblGrid>
      <w:tr w:rsidR="001C55F3" w:rsidTr="001C55F3">
        <w:trPr>
          <w:tblCellSpacing w:w="0" w:type="dxa"/>
        </w:trPr>
        <w:tc>
          <w:tcPr>
            <w:tcW w:w="0" w:type="auto"/>
            <w:hideMark/>
          </w:tcPr>
          <w:p w:rsidR="001C55F3" w:rsidRDefault="001C55F3">
            <w:pPr>
              <w:shd w:val="clear" w:color="auto" w:fill="E5E5E5"/>
              <w:rPr>
                <w:rFonts w:ascii="Verdana" w:hAnsi="Verdana"/>
                <w:color w:val="000000"/>
                <w:sz w:val="15"/>
                <w:szCs w:val="15"/>
              </w:rPr>
            </w:pPr>
          </w:p>
        </w:tc>
      </w:tr>
      <w:tr w:rsidR="001C55F3" w:rsidRPr="00B00E8C" w:rsidTr="001C55F3">
        <w:trPr>
          <w:tblCellSpacing w:w="0" w:type="dxa"/>
        </w:trPr>
        <w:tc>
          <w:tcPr>
            <w:tcW w:w="0" w:type="auto"/>
            <w:hideMark/>
          </w:tcPr>
          <w:p w:rsidR="001C55F3" w:rsidRPr="00B00E8C" w:rsidRDefault="001C55F3">
            <w:pPr>
              <w:rPr>
                <w:rFonts w:ascii="Verdana" w:hAnsi="Verdana"/>
                <w:color w:val="000000"/>
                <w:sz w:val="15"/>
                <w:szCs w:val="15"/>
              </w:rPr>
            </w:pPr>
          </w:p>
        </w:tc>
      </w:tr>
    </w:tbl>
    <w:p w:rsidR="001C55F3" w:rsidRDefault="001C55F3" w:rsidP="001C55F3">
      <w:pPr>
        <w:jc w:val="center"/>
        <w:rPr>
          <w:rFonts w:eastAsiaTheme="majorEastAsia"/>
          <w:b/>
          <w:highlight w:val="yellow"/>
          <w:lang w:val="nl-NL"/>
        </w:rPr>
      </w:pPr>
      <w:r>
        <w:rPr>
          <w:rFonts w:eastAsiaTheme="majorEastAsia"/>
          <w:b/>
          <w:noProof/>
          <w:lang w:val="fr-BE" w:eastAsia="fr-BE"/>
        </w:rPr>
        <w:drawing>
          <wp:inline distT="0" distB="0" distL="0" distR="0">
            <wp:extent cx="3416980" cy="2962275"/>
            <wp:effectExtent l="0" t="0" r="0" b="0"/>
            <wp:docPr id="47" name="Picture 35" descr="M:\My Documents\My Pictures\1046_001x_clo_07_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My Documents\My Pictures\1046_001x_clo_07_nl.jpg"/>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8009" cy="2963167"/>
                    </a:xfrm>
                    <a:prstGeom prst="rect">
                      <a:avLst/>
                    </a:prstGeom>
                    <a:noFill/>
                    <a:ln>
                      <a:noFill/>
                    </a:ln>
                  </pic:spPr>
                </pic:pic>
              </a:graphicData>
            </a:graphic>
          </wp:inline>
        </w:drawing>
      </w:r>
    </w:p>
    <w:p w:rsidR="001C55F3" w:rsidRPr="00922710" w:rsidRDefault="001C55F3" w:rsidP="001C55F3">
      <w:pPr>
        <w:jc w:val="center"/>
        <w:rPr>
          <w:rFonts w:eastAsiaTheme="majorEastAsia"/>
          <w:b/>
          <w:highlight w:val="yellow"/>
          <w:lang w:val="nl-NL"/>
        </w:rPr>
      </w:pPr>
      <w:r w:rsidRPr="005A79CC">
        <w:rPr>
          <w:noProof/>
          <w:lang w:val="fr-BE" w:eastAsia="fr-BE"/>
        </w:rPr>
        <w:drawing>
          <wp:inline distT="0" distB="0" distL="0" distR="0">
            <wp:extent cx="3532641" cy="4105275"/>
            <wp:effectExtent l="0" t="0" r="0" b="0"/>
            <wp:docPr id="4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1821" cy="4104322"/>
                    </a:xfrm>
                    <a:prstGeom prst="rect">
                      <a:avLst/>
                    </a:prstGeom>
                    <a:noFill/>
                    <a:ln>
                      <a:noFill/>
                    </a:ln>
                  </pic:spPr>
                </pic:pic>
              </a:graphicData>
            </a:graphic>
          </wp:inline>
        </w:drawing>
      </w:r>
    </w:p>
    <w:p w:rsidR="001C55F3" w:rsidRPr="005544D6" w:rsidRDefault="001C55F3" w:rsidP="001C55F3">
      <w:pPr>
        <w:spacing w:after="0"/>
        <w:rPr>
          <w:rFonts w:eastAsiaTheme="majorEastAsia"/>
          <w:b/>
          <w:u w:val="single"/>
        </w:rPr>
      </w:pPr>
      <w:r w:rsidRPr="005544D6">
        <w:rPr>
          <w:rFonts w:eastAsiaTheme="majorEastAsia"/>
          <w:b/>
          <w:u w:val="single"/>
        </w:rPr>
        <w:lastRenderedPageBreak/>
        <w:t>3.4</w:t>
      </w:r>
      <w:r w:rsidRPr="005544D6">
        <w:rPr>
          <w:rFonts w:eastAsiaTheme="majorEastAsia"/>
          <w:b/>
          <w:u w:val="single"/>
        </w:rPr>
        <w:tab/>
        <w:t>Collect Science Reports on indicators</w:t>
      </w:r>
    </w:p>
    <w:p w:rsidR="001C55F3" w:rsidRPr="00F07DF4" w:rsidRDefault="001C55F3" w:rsidP="001C55F3">
      <w:pPr>
        <w:spacing w:line="240" w:lineRule="auto"/>
        <w:rPr>
          <w:rFonts w:eastAsiaTheme="majorEastAsia"/>
        </w:rPr>
      </w:pPr>
      <w:r w:rsidRPr="00F07DF4">
        <w:rPr>
          <w:rFonts w:eastAsiaTheme="majorEastAsia"/>
        </w:rPr>
        <w:t>The second source is indicator specific research in peer reviewed (academic journals)  or grey (technical reports) scientific literature. These data may be used directly by a member state if the data source is in its country, or indirectly , with appropriate care for translation, if the data are from elsewhere.</w:t>
      </w:r>
    </w:p>
    <w:p w:rsidR="001C55F3" w:rsidRDefault="001C55F3" w:rsidP="001C55F3">
      <w:pPr>
        <w:spacing w:after="0"/>
        <w:rPr>
          <w:rFonts w:eastAsiaTheme="majorEastAsia"/>
          <w:b/>
          <w:color w:val="4F81BD" w:themeColor="accent1"/>
        </w:rPr>
      </w:pPr>
      <w:r w:rsidRPr="00F8799D">
        <w:rPr>
          <w:noProof/>
          <w:lang w:val="fr-BE" w:eastAsia="fr-BE"/>
        </w:rPr>
        <w:drawing>
          <wp:inline distT="0" distB="0" distL="0" distR="0">
            <wp:extent cx="5760720" cy="2277494"/>
            <wp:effectExtent l="0" t="0" r="0" b="8890"/>
            <wp:docPr id="5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277494"/>
                    </a:xfrm>
                    <a:prstGeom prst="rect">
                      <a:avLst/>
                    </a:prstGeom>
                    <a:noFill/>
                    <a:ln>
                      <a:noFill/>
                    </a:ln>
                  </pic:spPr>
                </pic:pic>
              </a:graphicData>
            </a:graphic>
          </wp:inline>
        </w:drawing>
      </w:r>
    </w:p>
    <w:p w:rsidR="001C55F3" w:rsidRDefault="001C55F3" w:rsidP="001C55F3">
      <w:pPr>
        <w:spacing w:after="0"/>
        <w:rPr>
          <w:rFonts w:eastAsiaTheme="majorEastAsia"/>
          <w:b/>
          <w:color w:val="4F81BD" w:themeColor="accent1"/>
        </w:rPr>
      </w:pPr>
    </w:p>
    <w:p w:rsidR="001C55F3" w:rsidRDefault="001C55F3" w:rsidP="001C55F3">
      <w:pPr>
        <w:spacing w:after="0"/>
        <w:rPr>
          <w:rFonts w:eastAsiaTheme="majorEastAsia"/>
          <w:b/>
          <w:color w:val="4F81BD" w:themeColor="accent1"/>
        </w:rPr>
      </w:pPr>
    </w:p>
    <w:p w:rsidR="001C55F3" w:rsidRDefault="001C55F3" w:rsidP="001C55F3">
      <w:pPr>
        <w:spacing w:after="0"/>
        <w:jc w:val="center"/>
        <w:rPr>
          <w:rFonts w:eastAsiaTheme="majorEastAsia"/>
          <w:b/>
          <w:color w:val="4F81BD" w:themeColor="accent1"/>
        </w:rPr>
      </w:pPr>
      <w:r w:rsidRPr="0022132F">
        <w:rPr>
          <w:noProof/>
          <w:lang w:val="fr-BE" w:eastAsia="fr-BE"/>
        </w:rPr>
        <w:drawing>
          <wp:inline distT="0" distB="0" distL="0" distR="0">
            <wp:extent cx="3743325" cy="3341962"/>
            <wp:effectExtent l="0" t="0" r="0" b="0"/>
            <wp:docPr id="5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43325" cy="3341962"/>
                    </a:xfrm>
                    <a:prstGeom prst="rect">
                      <a:avLst/>
                    </a:prstGeom>
                    <a:noFill/>
                    <a:ln>
                      <a:noFill/>
                    </a:ln>
                  </pic:spPr>
                </pic:pic>
              </a:graphicData>
            </a:graphic>
          </wp:inline>
        </w:drawing>
      </w:r>
    </w:p>
    <w:p w:rsidR="001C55F3" w:rsidRDefault="001C55F3" w:rsidP="001C55F3">
      <w:pPr>
        <w:spacing w:after="0"/>
        <w:rPr>
          <w:rFonts w:eastAsiaTheme="majorEastAsia"/>
          <w:b/>
          <w:color w:val="4F81BD" w:themeColor="accent1"/>
        </w:rPr>
      </w:pPr>
      <w:r>
        <w:rPr>
          <w:rFonts w:eastAsiaTheme="majorEastAsia"/>
          <w:b/>
          <w:color w:val="4F81BD" w:themeColor="accent1"/>
        </w:rPr>
        <w:br/>
      </w:r>
    </w:p>
    <w:p w:rsidR="001C55F3" w:rsidRPr="005544D6" w:rsidRDefault="001C55F3" w:rsidP="001C55F3">
      <w:pPr>
        <w:spacing w:after="0"/>
        <w:rPr>
          <w:rFonts w:eastAsiaTheme="majorEastAsia"/>
          <w:b/>
          <w:u w:val="single"/>
        </w:rPr>
      </w:pPr>
      <w:r>
        <w:rPr>
          <w:rFonts w:eastAsiaTheme="majorEastAsia"/>
          <w:b/>
          <w:color w:val="4F81BD" w:themeColor="accent1"/>
        </w:rPr>
        <w:br/>
      </w:r>
      <w:r w:rsidRPr="005544D6">
        <w:rPr>
          <w:rFonts w:eastAsiaTheme="majorEastAsia"/>
          <w:b/>
          <w:u w:val="single"/>
        </w:rPr>
        <w:t>3.5</w:t>
      </w:r>
      <w:r w:rsidRPr="005544D6">
        <w:rPr>
          <w:rFonts w:eastAsiaTheme="majorEastAsia"/>
          <w:b/>
          <w:u w:val="single"/>
        </w:rPr>
        <w:tab/>
        <w:t>Quantification of Indicators</w:t>
      </w:r>
    </w:p>
    <w:p w:rsidR="001C55F3" w:rsidRPr="00F07DF4" w:rsidRDefault="001C55F3" w:rsidP="001C55F3">
      <w:pPr>
        <w:spacing w:line="240" w:lineRule="auto"/>
        <w:rPr>
          <w:rFonts w:eastAsiaTheme="majorEastAsia"/>
        </w:rPr>
      </w:pPr>
      <w:r w:rsidRPr="00F07DF4">
        <w:rPr>
          <w:rFonts w:eastAsiaTheme="majorEastAsia"/>
        </w:rPr>
        <w:t xml:space="preserve">With the Location Maps (from 3.1 / 3.2 ) and the quantified indicators per ecosystem and service, the Country specific assessment maps can be developed. </w:t>
      </w:r>
    </w:p>
    <w:p w:rsidR="001C55F3" w:rsidRDefault="001C55F3" w:rsidP="001C55F3">
      <w:pPr>
        <w:rPr>
          <w:rFonts w:eastAsiaTheme="majorEastAsia"/>
          <w:b/>
        </w:rPr>
      </w:pPr>
    </w:p>
    <w:p w:rsidR="001C55F3" w:rsidRDefault="001C55F3" w:rsidP="001C55F3">
      <w:pPr>
        <w:rPr>
          <w:rFonts w:eastAsiaTheme="majorEastAsia"/>
          <w:b/>
        </w:rPr>
      </w:pPr>
      <w:r w:rsidRPr="00723246">
        <w:rPr>
          <w:rFonts w:eastAsiaTheme="majorEastAsia"/>
          <w:b/>
        </w:rPr>
        <w:t>Examples from  Country Case studies</w:t>
      </w:r>
    </w:p>
    <w:p w:rsidR="001C55F3" w:rsidRPr="00683F00" w:rsidRDefault="001C55F3" w:rsidP="001C55F3">
      <w:pPr>
        <w:autoSpaceDE w:val="0"/>
        <w:autoSpaceDN w:val="0"/>
        <w:adjustRightInd w:val="0"/>
        <w:spacing w:after="0" w:line="240" w:lineRule="auto"/>
        <w:jc w:val="both"/>
        <w:rPr>
          <w:b/>
          <w:i/>
        </w:rPr>
      </w:pPr>
      <w:r>
        <w:rPr>
          <w:rFonts w:eastAsiaTheme="majorEastAsia"/>
          <w:b/>
        </w:rPr>
        <w:lastRenderedPageBreak/>
        <w:t xml:space="preserve">Example 1 </w:t>
      </w:r>
      <w:r>
        <w:rPr>
          <w:rFonts w:eastAsiaTheme="majorEastAsia"/>
          <w:b/>
        </w:rPr>
        <w:tab/>
      </w:r>
      <w:r w:rsidRPr="00683F00">
        <w:rPr>
          <w:b/>
          <w:i/>
        </w:rPr>
        <w:t xml:space="preserve">Agricultural production </w:t>
      </w:r>
      <w:r>
        <w:rPr>
          <w:b/>
          <w:i/>
        </w:rPr>
        <w:t>MUFLAN Region Austria (source: Annex MESEU project)</w:t>
      </w:r>
    </w:p>
    <w:p w:rsidR="001C55F3" w:rsidRDefault="001C55F3" w:rsidP="001C55F3">
      <w:pPr>
        <w:jc w:val="center"/>
        <w:rPr>
          <w:b/>
          <w:i/>
        </w:rPr>
      </w:pPr>
      <w:r w:rsidRPr="00765087">
        <w:rPr>
          <w:b/>
          <w:noProof/>
          <w:sz w:val="20"/>
          <w:szCs w:val="20"/>
          <w:lang w:val="fr-BE" w:eastAsia="fr-BE"/>
        </w:rPr>
        <w:drawing>
          <wp:inline distT="0" distB="0" distL="0" distR="0">
            <wp:extent cx="4071866" cy="2867025"/>
            <wp:effectExtent l="0" t="0" r="5080" b="0"/>
            <wp:docPr id="53"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wirtschaft_20121211.jpg"/>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75085" cy="2869292"/>
                    </a:xfrm>
                    <a:prstGeom prst="rect">
                      <a:avLst/>
                    </a:prstGeom>
                  </pic:spPr>
                </pic:pic>
              </a:graphicData>
            </a:graphic>
          </wp:inline>
        </w:drawing>
      </w:r>
    </w:p>
    <w:p w:rsidR="001C55F3" w:rsidRPr="00305F33" w:rsidRDefault="001C55F3" w:rsidP="001C55F3">
      <w:pPr>
        <w:shd w:val="clear" w:color="auto" w:fill="EEECE1" w:themeFill="background2"/>
        <w:autoSpaceDE w:val="0"/>
        <w:autoSpaceDN w:val="0"/>
        <w:adjustRightInd w:val="0"/>
        <w:spacing w:after="0" w:line="240" w:lineRule="auto"/>
        <w:ind w:left="709"/>
        <w:jc w:val="both"/>
        <w:rPr>
          <w:b/>
          <w:i/>
          <w:sz w:val="20"/>
          <w:szCs w:val="20"/>
        </w:rPr>
      </w:pPr>
      <w:r w:rsidRPr="00305F33">
        <w:rPr>
          <w:b/>
          <w:i/>
          <w:sz w:val="20"/>
          <w:szCs w:val="20"/>
        </w:rPr>
        <w:t>Agricultural production (PR)</w:t>
      </w:r>
    </w:p>
    <w:p w:rsidR="001C55F3" w:rsidRPr="00305F33" w:rsidRDefault="001C55F3" w:rsidP="001C55F3">
      <w:pPr>
        <w:shd w:val="clear" w:color="auto" w:fill="EEECE1" w:themeFill="background2"/>
        <w:autoSpaceDE w:val="0"/>
        <w:autoSpaceDN w:val="0"/>
        <w:adjustRightInd w:val="0"/>
        <w:spacing w:after="0" w:line="240" w:lineRule="auto"/>
        <w:ind w:left="709"/>
        <w:jc w:val="both"/>
        <w:rPr>
          <w:i/>
          <w:sz w:val="20"/>
          <w:szCs w:val="20"/>
        </w:rPr>
      </w:pPr>
      <w:r w:rsidRPr="00305F33">
        <w:rPr>
          <w:i/>
          <w:sz w:val="20"/>
          <w:szCs w:val="20"/>
        </w:rPr>
        <w:t>The landscape service describes the capacity of the grid cell to provide biomass for human consumption (e.g. fodder, energy, food). For the service no distinction between the uses of the biomass is made as this can change over the years based on the cultivated crop. It describes the natural production potential from the soil rather than the yield harvested from the respective land area.</w:t>
      </w:r>
    </w:p>
    <w:p w:rsidR="001C55F3" w:rsidRPr="00305F33" w:rsidRDefault="001C55F3" w:rsidP="001C55F3">
      <w:pPr>
        <w:shd w:val="clear" w:color="auto" w:fill="EEECE1" w:themeFill="background2"/>
        <w:autoSpaceDE w:val="0"/>
        <w:autoSpaceDN w:val="0"/>
        <w:adjustRightInd w:val="0"/>
        <w:spacing w:after="0" w:line="240" w:lineRule="auto"/>
        <w:ind w:left="709"/>
        <w:jc w:val="both"/>
        <w:rPr>
          <w:i/>
          <w:sz w:val="20"/>
          <w:szCs w:val="20"/>
          <w:u w:val="single"/>
        </w:rPr>
      </w:pPr>
      <w:r w:rsidRPr="00305F33">
        <w:rPr>
          <w:i/>
          <w:sz w:val="20"/>
          <w:szCs w:val="20"/>
          <w:u w:val="single"/>
        </w:rPr>
        <w:t>Indicators:</w:t>
      </w:r>
    </w:p>
    <w:p w:rsidR="001C55F3" w:rsidRPr="00305F33" w:rsidRDefault="001C55F3" w:rsidP="00622218">
      <w:pPr>
        <w:pStyle w:val="Paragraphedeliste"/>
        <w:numPr>
          <w:ilvl w:val="0"/>
          <w:numId w:val="125"/>
        </w:numPr>
        <w:shd w:val="clear" w:color="auto" w:fill="EEECE1" w:themeFill="background2"/>
        <w:autoSpaceDE w:val="0"/>
        <w:autoSpaceDN w:val="0"/>
        <w:adjustRightInd w:val="0"/>
        <w:spacing w:after="0" w:line="240" w:lineRule="auto"/>
        <w:jc w:val="both"/>
        <w:rPr>
          <w:i/>
          <w:sz w:val="20"/>
          <w:szCs w:val="20"/>
        </w:rPr>
      </w:pPr>
      <w:r w:rsidRPr="00305F33">
        <w:rPr>
          <w:i/>
          <w:sz w:val="20"/>
          <w:szCs w:val="20"/>
        </w:rPr>
        <w:t>Soil production capacity</w:t>
      </w:r>
    </w:p>
    <w:p w:rsidR="001C55F3" w:rsidRPr="00305F33" w:rsidRDefault="001C55F3" w:rsidP="001C55F3">
      <w:pPr>
        <w:shd w:val="clear" w:color="auto" w:fill="EEECE1" w:themeFill="background2"/>
        <w:autoSpaceDE w:val="0"/>
        <w:autoSpaceDN w:val="0"/>
        <w:adjustRightInd w:val="0"/>
        <w:spacing w:after="0" w:line="240" w:lineRule="auto"/>
        <w:ind w:left="709"/>
        <w:jc w:val="both"/>
        <w:rPr>
          <w:i/>
          <w:sz w:val="20"/>
          <w:szCs w:val="20"/>
          <w:u w:val="single"/>
        </w:rPr>
      </w:pPr>
      <w:r w:rsidRPr="00305F33">
        <w:rPr>
          <w:i/>
          <w:sz w:val="20"/>
          <w:szCs w:val="20"/>
          <w:u w:val="single"/>
        </w:rPr>
        <w:t>Assessment:</w:t>
      </w:r>
    </w:p>
    <w:p w:rsidR="001C55F3" w:rsidRPr="00305F33" w:rsidRDefault="001C55F3" w:rsidP="001C55F3">
      <w:pPr>
        <w:shd w:val="clear" w:color="auto" w:fill="EEECE1" w:themeFill="background2"/>
        <w:autoSpaceDE w:val="0"/>
        <w:autoSpaceDN w:val="0"/>
        <w:adjustRightInd w:val="0"/>
        <w:spacing w:after="0" w:line="240" w:lineRule="auto"/>
        <w:ind w:left="709"/>
        <w:jc w:val="both"/>
        <w:rPr>
          <w:i/>
          <w:sz w:val="20"/>
          <w:szCs w:val="20"/>
        </w:rPr>
      </w:pPr>
      <w:r w:rsidRPr="00305F33">
        <w:rPr>
          <w:i/>
          <w:sz w:val="20"/>
          <w:szCs w:val="20"/>
        </w:rPr>
        <w:t>The soil production capacity (value 0-100) was classified into 20% quantiles. The resulting values were tested using an independent soil quality classification from the Austrian Agricultural soil map (1:25.000).</w:t>
      </w:r>
    </w:p>
    <w:p w:rsidR="001C55F3" w:rsidRDefault="001C55F3" w:rsidP="001C55F3">
      <w:pPr>
        <w:autoSpaceDE w:val="0"/>
        <w:autoSpaceDN w:val="0"/>
        <w:adjustRightInd w:val="0"/>
        <w:spacing w:after="0" w:line="240" w:lineRule="auto"/>
        <w:ind w:left="709"/>
        <w:jc w:val="both"/>
        <w:rPr>
          <w:i/>
        </w:rPr>
      </w:pPr>
    </w:p>
    <w:p w:rsidR="001C55F3" w:rsidRPr="00723246" w:rsidRDefault="001C55F3" w:rsidP="001C55F3">
      <w:pPr>
        <w:rPr>
          <w:b/>
          <w:i/>
        </w:rPr>
      </w:pPr>
      <w:r w:rsidRPr="00723246">
        <w:rPr>
          <w:b/>
        </w:rPr>
        <w:t xml:space="preserve">Example 2: </w:t>
      </w:r>
      <w:r>
        <w:rPr>
          <w:b/>
        </w:rPr>
        <w:tab/>
      </w:r>
      <w:r w:rsidRPr="00683F00">
        <w:rPr>
          <w:b/>
          <w:i/>
        </w:rPr>
        <w:t>Carbon storage capacity (RE)</w:t>
      </w:r>
      <w:r>
        <w:rPr>
          <w:b/>
          <w:i/>
        </w:rPr>
        <w:t>(Region in Austria(Source Annex MESEU project)</w:t>
      </w:r>
    </w:p>
    <w:p w:rsidR="001C55F3" w:rsidRDefault="001C55F3" w:rsidP="001C55F3">
      <w:pPr>
        <w:jc w:val="center"/>
        <w:rPr>
          <w:b/>
          <w:i/>
        </w:rPr>
      </w:pPr>
      <w:r w:rsidRPr="00765087">
        <w:rPr>
          <w:b/>
          <w:noProof/>
          <w:sz w:val="20"/>
          <w:szCs w:val="20"/>
          <w:lang w:val="fr-BE" w:eastAsia="fr-BE"/>
        </w:rPr>
        <w:drawing>
          <wp:inline distT="0" distB="0" distL="0" distR="0">
            <wp:extent cx="3524250" cy="2481445"/>
            <wp:effectExtent l="0" t="0" r="0" b="0"/>
            <wp:docPr id="54"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hlenstoffbindung_20121211.jpg"/>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26948" cy="2483345"/>
                    </a:xfrm>
                    <a:prstGeom prst="rect">
                      <a:avLst/>
                    </a:prstGeom>
                  </pic:spPr>
                </pic:pic>
              </a:graphicData>
            </a:graphic>
          </wp:inline>
        </w:drawing>
      </w:r>
      <w:r>
        <w:rPr>
          <w:b/>
          <w:i/>
        </w:rPr>
        <w:br w:type="page"/>
      </w:r>
    </w:p>
    <w:p w:rsidR="001C55F3" w:rsidRPr="00305F33" w:rsidRDefault="001C55F3" w:rsidP="001C55F3">
      <w:pPr>
        <w:shd w:val="clear" w:color="auto" w:fill="EEECE1" w:themeFill="background2"/>
        <w:autoSpaceDE w:val="0"/>
        <w:autoSpaceDN w:val="0"/>
        <w:adjustRightInd w:val="0"/>
        <w:spacing w:after="0" w:line="240" w:lineRule="auto"/>
        <w:ind w:left="709"/>
        <w:jc w:val="both"/>
        <w:rPr>
          <w:i/>
          <w:sz w:val="20"/>
          <w:szCs w:val="20"/>
        </w:rPr>
      </w:pPr>
      <w:r w:rsidRPr="00305F33">
        <w:rPr>
          <w:i/>
          <w:sz w:val="20"/>
          <w:szCs w:val="20"/>
        </w:rPr>
        <w:lastRenderedPageBreak/>
        <w:t>The landscape service describes the capacity of a grid cell to sequester carbon in the above and below ground biomass as well as in the soil and can thus serve as a long term sink for carbon storage. The processes are mainly the biomass production due to photosynthesis and the medium-to long-term retention by organic compounds (humic substances) in soil.</w:t>
      </w:r>
    </w:p>
    <w:p w:rsidR="001C55F3" w:rsidRPr="00305F33" w:rsidRDefault="001C55F3" w:rsidP="001C55F3">
      <w:pPr>
        <w:shd w:val="clear" w:color="auto" w:fill="EEECE1" w:themeFill="background2"/>
        <w:autoSpaceDE w:val="0"/>
        <w:autoSpaceDN w:val="0"/>
        <w:adjustRightInd w:val="0"/>
        <w:spacing w:after="0" w:line="240" w:lineRule="auto"/>
        <w:ind w:left="709"/>
        <w:jc w:val="both"/>
        <w:rPr>
          <w:i/>
          <w:sz w:val="20"/>
          <w:szCs w:val="20"/>
          <w:u w:val="single"/>
        </w:rPr>
      </w:pPr>
      <w:r w:rsidRPr="00305F33">
        <w:rPr>
          <w:i/>
          <w:sz w:val="20"/>
          <w:szCs w:val="20"/>
          <w:u w:val="single"/>
        </w:rPr>
        <w:t>Indicators:</w:t>
      </w:r>
    </w:p>
    <w:p w:rsidR="001C55F3" w:rsidRPr="00305F33" w:rsidRDefault="001C55F3" w:rsidP="00622218">
      <w:pPr>
        <w:pStyle w:val="Paragraphedeliste"/>
        <w:numPr>
          <w:ilvl w:val="0"/>
          <w:numId w:val="124"/>
        </w:numPr>
        <w:shd w:val="clear" w:color="auto" w:fill="EEECE1" w:themeFill="background2"/>
        <w:autoSpaceDE w:val="0"/>
        <w:autoSpaceDN w:val="0"/>
        <w:adjustRightInd w:val="0"/>
        <w:spacing w:after="0" w:line="240" w:lineRule="auto"/>
        <w:jc w:val="both"/>
        <w:rPr>
          <w:i/>
          <w:sz w:val="20"/>
          <w:szCs w:val="20"/>
        </w:rPr>
      </w:pPr>
      <w:r w:rsidRPr="00305F33">
        <w:rPr>
          <w:i/>
          <w:sz w:val="20"/>
          <w:szCs w:val="20"/>
        </w:rPr>
        <w:t>Humus ratio of the soils</w:t>
      </w:r>
    </w:p>
    <w:p w:rsidR="001C55F3" w:rsidRPr="00305F33" w:rsidRDefault="001C55F3" w:rsidP="00622218">
      <w:pPr>
        <w:pStyle w:val="Paragraphedeliste"/>
        <w:numPr>
          <w:ilvl w:val="0"/>
          <w:numId w:val="124"/>
        </w:numPr>
        <w:shd w:val="clear" w:color="auto" w:fill="EEECE1" w:themeFill="background2"/>
        <w:autoSpaceDE w:val="0"/>
        <w:autoSpaceDN w:val="0"/>
        <w:adjustRightInd w:val="0"/>
        <w:spacing w:after="0" w:line="240" w:lineRule="auto"/>
        <w:jc w:val="both"/>
        <w:rPr>
          <w:i/>
          <w:sz w:val="20"/>
          <w:szCs w:val="20"/>
        </w:rPr>
      </w:pPr>
      <w:r w:rsidRPr="00305F33">
        <w:rPr>
          <w:i/>
          <w:sz w:val="20"/>
          <w:szCs w:val="20"/>
        </w:rPr>
        <w:t>Potential carbon storage capacity (based on land use /  land cover)</w:t>
      </w:r>
    </w:p>
    <w:p w:rsidR="001C55F3" w:rsidRPr="00305F33" w:rsidRDefault="001C55F3" w:rsidP="001C55F3">
      <w:pPr>
        <w:shd w:val="clear" w:color="auto" w:fill="EEECE1" w:themeFill="background2"/>
        <w:autoSpaceDE w:val="0"/>
        <w:autoSpaceDN w:val="0"/>
        <w:adjustRightInd w:val="0"/>
        <w:spacing w:after="0" w:line="240" w:lineRule="auto"/>
        <w:ind w:left="709"/>
        <w:jc w:val="both"/>
        <w:rPr>
          <w:i/>
          <w:sz w:val="20"/>
          <w:szCs w:val="20"/>
        </w:rPr>
      </w:pPr>
    </w:p>
    <w:p w:rsidR="001C55F3" w:rsidRPr="00305F33" w:rsidRDefault="001C55F3" w:rsidP="001C55F3">
      <w:pPr>
        <w:shd w:val="clear" w:color="auto" w:fill="EEECE1" w:themeFill="background2"/>
        <w:autoSpaceDE w:val="0"/>
        <w:autoSpaceDN w:val="0"/>
        <w:adjustRightInd w:val="0"/>
        <w:spacing w:after="0" w:line="240" w:lineRule="auto"/>
        <w:ind w:left="709"/>
        <w:jc w:val="both"/>
        <w:rPr>
          <w:i/>
          <w:sz w:val="20"/>
          <w:szCs w:val="20"/>
          <w:u w:val="single"/>
        </w:rPr>
      </w:pPr>
      <w:r w:rsidRPr="00305F33">
        <w:rPr>
          <w:i/>
          <w:sz w:val="20"/>
          <w:szCs w:val="20"/>
          <w:u w:val="single"/>
        </w:rPr>
        <w:t>Assessment:</w:t>
      </w:r>
    </w:p>
    <w:p w:rsidR="001C55F3" w:rsidRPr="00305F33" w:rsidRDefault="001C55F3" w:rsidP="001C55F3">
      <w:pPr>
        <w:shd w:val="clear" w:color="auto" w:fill="EEECE1" w:themeFill="background2"/>
        <w:autoSpaceDE w:val="0"/>
        <w:autoSpaceDN w:val="0"/>
        <w:adjustRightInd w:val="0"/>
        <w:spacing w:after="0" w:line="240" w:lineRule="auto"/>
        <w:ind w:left="709"/>
        <w:jc w:val="both"/>
        <w:rPr>
          <w:i/>
          <w:sz w:val="20"/>
          <w:szCs w:val="20"/>
        </w:rPr>
      </w:pPr>
      <w:r w:rsidRPr="00305F33">
        <w:rPr>
          <w:i/>
          <w:sz w:val="20"/>
          <w:szCs w:val="20"/>
        </w:rPr>
        <w:t xml:space="preserve">The assessment is done based on expert judgement classifying the different land cover types into four classes ranging from high carbon storage capacity (e. g. forest), mean (e. g. orchard), low (crop land) to no potential (e. g. sealed soils). As second indicator the proportion of humus is considered. The two indicators are combined using a rule based decision matrix. The resulting values ranges from 0 to 5. </w:t>
      </w:r>
    </w:p>
    <w:p w:rsidR="001C55F3" w:rsidRPr="00683F00" w:rsidRDefault="001C55F3" w:rsidP="001C55F3">
      <w:pPr>
        <w:autoSpaceDE w:val="0"/>
        <w:autoSpaceDN w:val="0"/>
        <w:adjustRightInd w:val="0"/>
        <w:spacing w:after="0" w:line="240" w:lineRule="auto"/>
        <w:ind w:left="709"/>
        <w:jc w:val="both"/>
        <w:rPr>
          <w:i/>
        </w:rPr>
      </w:pPr>
    </w:p>
    <w:p w:rsidR="001C55F3" w:rsidRPr="00683F00" w:rsidRDefault="001C55F3" w:rsidP="001C55F3">
      <w:pPr>
        <w:autoSpaceDE w:val="0"/>
        <w:autoSpaceDN w:val="0"/>
        <w:adjustRightInd w:val="0"/>
        <w:spacing w:after="0" w:line="240" w:lineRule="auto"/>
        <w:ind w:left="709"/>
        <w:jc w:val="both"/>
        <w:rPr>
          <w:i/>
        </w:rPr>
      </w:pPr>
      <w:r w:rsidRPr="00683F00">
        <w:rPr>
          <w:i/>
        </w:rPr>
        <w:t>Example for decision matrix:</w:t>
      </w:r>
    </w:p>
    <w:tbl>
      <w:tblPr>
        <w:tblStyle w:val="Titre5Car"/>
        <w:tblW w:w="7195" w:type="dxa"/>
        <w:tblInd w:w="951" w:type="dxa"/>
        <w:tblLook w:val="04A0"/>
      </w:tblPr>
      <w:tblGrid>
        <w:gridCol w:w="1861"/>
        <w:gridCol w:w="1763"/>
        <w:gridCol w:w="1766"/>
        <w:gridCol w:w="1805"/>
      </w:tblGrid>
      <w:tr w:rsidR="001C55F3" w:rsidRPr="00683F00" w:rsidTr="001C55F3">
        <w:tc>
          <w:tcPr>
            <w:tcW w:w="1861" w:type="dxa"/>
            <w:vAlign w:val="center"/>
          </w:tcPr>
          <w:p w:rsidR="001C55F3" w:rsidRPr="00683F00" w:rsidRDefault="001C55F3" w:rsidP="001C55F3">
            <w:pPr>
              <w:autoSpaceDE w:val="0"/>
              <w:autoSpaceDN w:val="0"/>
              <w:adjustRightInd w:val="0"/>
              <w:ind w:left="42"/>
              <w:jc w:val="both"/>
              <w:rPr>
                <w:i/>
              </w:rPr>
            </w:pPr>
            <w:r w:rsidRPr="00683F00">
              <w:rPr>
                <w:i/>
              </w:rPr>
              <w:t>Potential of storage through Land use /l and cover</w:t>
            </w:r>
          </w:p>
        </w:tc>
        <w:tc>
          <w:tcPr>
            <w:tcW w:w="5334" w:type="dxa"/>
            <w:gridSpan w:val="3"/>
            <w:vAlign w:val="center"/>
          </w:tcPr>
          <w:p w:rsidR="001C55F3" w:rsidRPr="00683F00" w:rsidRDefault="001C55F3" w:rsidP="001C55F3">
            <w:pPr>
              <w:autoSpaceDE w:val="0"/>
              <w:autoSpaceDN w:val="0"/>
              <w:adjustRightInd w:val="0"/>
              <w:ind w:left="709"/>
              <w:jc w:val="both"/>
              <w:rPr>
                <w:i/>
              </w:rPr>
            </w:pPr>
            <w:r w:rsidRPr="00683F00">
              <w:rPr>
                <w:i/>
              </w:rPr>
              <w:t>Assessment of carbon storage capacity</w:t>
            </w:r>
          </w:p>
        </w:tc>
      </w:tr>
      <w:tr w:rsidR="001C55F3" w:rsidRPr="00683F00" w:rsidTr="001C55F3">
        <w:tc>
          <w:tcPr>
            <w:tcW w:w="1861" w:type="dxa"/>
            <w:vAlign w:val="center"/>
          </w:tcPr>
          <w:p w:rsidR="001C55F3" w:rsidRPr="00683F00" w:rsidRDefault="001C55F3" w:rsidP="001C55F3">
            <w:pPr>
              <w:autoSpaceDE w:val="0"/>
              <w:autoSpaceDN w:val="0"/>
              <w:adjustRightInd w:val="0"/>
              <w:ind w:left="42"/>
              <w:jc w:val="both"/>
              <w:rPr>
                <w:i/>
              </w:rPr>
            </w:pPr>
            <w:r w:rsidRPr="00683F00">
              <w:rPr>
                <w:i/>
              </w:rPr>
              <w:t>High (3)</w:t>
            </w:r>
          </w:p>
        </w:tc>
        <w:tc>
          <w:tcPr>
            <w:tcW w:w="1763" w:type="dxa"/>
            <w:vAlign w:val="center"/>
          </w:tcPr>
          <w:p w:rsidR="001C55F3" w:rsidRPr="00683F00" w:rsidRDefault="001C55F3" w:rsidP="001C55F3">
            <w:pPr>
              <w:autoSpaceDE w:val="0"/>
              <w:autoSpaceDN w:val="0"/>
              <w:adjustRightInd w:val="0"/>
              <w:ind w:left="709"/>
              <w:jc w:val="both"/>
              <w:rPr>
                <w:i/>
              </w:rPr>
            </w:pPr>
            <w:r w:rsidRPr="00683F00">
              <w:rPr>
                <w:i/>
              </w:rPr>
              <w:t>5</w:t>
            </w:r>
          </w:p>
        </w:tc>
        <w:tc>
          <w:tcPr>
            <w:tcW w:w="1766" w:type="dxa"/>
            <w:vAlign w:val="center"/>
          </w:tcPr>
          <w:p w:rsidR="001C55F3" w:rsidRPr="00683F00" w:rsidRDefault="001C55F3" w:rsidP="001C55F3">
            <w:pPr>
              <w:autoSpaceDE w:val="0"/>
              <w:autoSpaceDN w:val="0"/>
              <w:adjustRightInd w:val="0"/>
              <w:ind w:left="709"/>
              <w:jc w:val="both"/>
              <w:rPr>
                <w:i/>
              </w:rPr>
            </w:pPr>
            <w:r w:rsidRPr="00683F00">
              <w:rPr>
                <w:i/>
              </w:rPr>
              <w:t>4</w:t>
            </w:r>
          </w:p>
        </w:tc>
        <w:tc>
          <w:tcPr>
            <w:tcW w:w="1805" w:type="dxa"/>
            <w:vAlign w:val="center"/>
          </w:tcPr>
          <w:p w:rsidR="001C55F3" w:rsidRPr="00683F00" w:rsidRDefault="001C55F3" w:rsidP="001C55F3">
            <w:pPr>
              <w:autoSpaceDE w:val="0"/>
              <w:autoSpaceDN w:val="0"/>
              <w:adjustRightInd w:val="0"/>
              <w:ind w:left="709"/>
              <w:jc w:val="both"/>
              <w:rPr>
                <w:i/>
              </w:rPr>
            </w:pPr>
            <w:r w:rsidRPr="00683F00">
              <w:rPr>
                <w:i/>
              </w:rPr>
              <w:t>3</w:t>
            </w:r>
          </w:p>
        </w:tc>
      </w:tr>
      <w:tr w:rsidR="001C55F3" w:rsidRPr="00683F00" w:rsidTr="001C55F3">
        <w:tc>
          <w:tcPr>
            <w:tcW w:w="1861" w:type="dxa"/>
            <w:vAlign w:val="center"/>
          </w:tcPr>
          <w:p w:rsidR="001C55F3" w:rsidRPr="00683F00" w:rsidRDefault="001C55F3" w:rsidP="001C55F3">
            <w:pPr>
              <w:autoSpaceDE w:val="0"/>
              <w:autoSpaceDN w:val="0"/>
              <w:adjustRightInd w:val="0"/>
              <w:ind w:left="42"/>
              <w:jc w:val="both"/>
              <w:rPr>
                <w:i/>
              </w:rPr>
            </w:pPr>
            <w:r w:rsidRPr="00683F00">
              <w:rPr>
                <w:i/>
              </w:rPr>
              <w:t>Mean (2)</w:t>
            </w:r>
          </w:p>
        </w:tc>
        <w:tc>
          <w:tcPr>
            <w:tcW w:w="1763" w:type="dxa"/>
            <w:vAlign w:val="center"/>
          </w:tcPr>
          <w:p w:rsidR="001C55F3" w:rsidRPr="00683F00" w:rsidRDefault="001C55F3" w:rsidP="001C55F3">
            <w:pPr>
              <w:autoSpaceDE w:val="0"/>
              <w:autoSpaceDN w:val="0"/>
              <w:adjustRightInd w:val="0"/>
              <w:ind w:left="709"/>
              <w:jc w:val="both"/>
              <w:rPr>
                <w:i/>
              </w:rPr>
            </w:pPr>
            <w:r w:rsidRPr="00683F00">
              <w:rPr>
                <w:i/>
              </w:rPr>
              <w:t>4</w:t>
            </w:r>
          </w:p>
        </w:tc>
        <w:tc>
          <w:tcPr>
            <w:tcW w:w="1766" w:type="dxa"/>
            <w:vAlign w:val="center"/>
          </w:tcPr>
          <w:p w:rsidR="001C55F3" w:rsidRPr="00683F00" w:rsidRDefault="001C55F3" w:rsidP="001C55F3">
            <w:pPr>
              <w:autoSpaceDE w:val="0"/>
              <w:autoSpaceDN w:val="0"/>
              <w:adjustRightInd w:val="0"/>
              <w:ind w:left="709"/>
              <w:jc w:val="both"/>
              <w:rPr>
                <w:i/>
              </w:rPr>
            </w:pPr>
            <w:r w:rsidRPr="00683F00">
              <w:rPr>
                <w:i/>
              </w:rPr>
              <w:t>3</w:t>
            </w:r>
          </w:p>
        </w:tc>
        <w:tc>
          <w:tcPr>
            <w:tcW w:w="1805" w:type="dxa"/>
            <w:vAlign w:val="center"/>
          </w:tcPr>
          <w:p w:rsidR="001C55F3" w:rsidRPr="00683F00" w:rsidRDefault="001C55F3" w:rsidP="001C55F3">
            <w:pPr>
              <w:autoSpaceDE w:val="0"/>
              <w:autoSpaceDN w:val="0"/>
              <w:adjustRightInd w:val="0"/>
              <w:ind w:left="709"/>
              <w:jc w:val="both"/>
              <w:rPr>
                <w:i/>
              </w:rPr>
            </w:pPr>
            <w:r w:rsidRPr="00683F00">
              <w:rPr>
                <w:i/>
              </w:rPr>
              <w:t>2</w:t>
            </w:r>
          </w:p>
        </w:tc>
      </w:tr>
      <w:tr w:rsidR="001C55F3" w:rsidRPr="00683F00" w:rsidTr="001C55F3">
        <w:tc>
          <w:tcPr>
            <w:tcW w:w="1861" w:type="dxa"/>
            <w:vAlign w:val="center"/>
          </w:tcPr>
          <w:p w:rsidR="001C55F3" w:rsidRPr="00683F00" w:rsidRDefault="001C55F3" w:rsidP="001C55F3">
            <w:pPr>
              <w:autoSpaceDE w:val="0"/>
              <w:autoSpaceDN w:val="0"/>
              <w:adjustRightInd w:val="0"/>
              <w:ind w:left="42"/>
              <w:jc w:val="both"/>
              <w:rPr>
                <w:i/>
              </w:rPr>
            </w:pPr>
            <w:r w:rsidRPr="00683F00">
              <w:rPr>
                <w:i/>
              </w:rPr>
              <w:t>Low (1)</w:t>
            </w:r>
          </w:p>
        </w:tc>
        <w:tc>
          <w:tcPr>
            <w:tcW w:w="1763" w:type="dxa"/>
            <w:vAlign w:val="center"/>
          </w:tcPr>
          <w:p w:rsidR="001C55F3" w:rsidRPr="00683F00" w:rsidRDefault="001C55F3" w:rsidP="001C55F3">
            <w:pPr>
              <w:autoSpaceDE w:val="0"/>
              <w:autoSpaceDN w:val="0"/>
              <w:adjustRightInd w:val="0"/>
              <w:ind w:left="709"/>
              <w:jc w:val="both"/>
              <w:rPr>
                <w:i/>
              </w:rPr>
            </w:pPr>
            <w:r w:rsidRPr="00683F00">
              <w:rPr>
                <w:i/>
              </w:rPr>
              <w:t>3</w:t>
            </w:r>
          </w:p>
        </w:tc>
        <w:tc>
          <w:tcPr>
            <w:tcW w:w="1766" w:type="dxa"/>
            <w:vAlign w:val="center"/>
          </w:tcPr>
          <w:p w:rsidR="001C55F3" w:rsidRPr="00683F00" w:rsidRDefault="001C55F3" w:rsidP="001C55F3">
            <w:pPr>
              <w:autoSpaceDE w:val="0"/>
              <w:autoSpaceDN w:val="0"/>
              <w:adjustRightInd w:val="0"/>
              <w:ind w:left="709"/>
              <w:jc w:val="both"/>
              <w:rPr>
                <w:i/>
              </w:rPr>
            </w:pPr>
            <w:r w:rsidRPr="00683F00">
              <w:rPr>
                <w:i/>
              </w:rPr>
              <w:t>2</w:t>
            </w:r>
          </w:p>
        </w:tc>
        <w:tc>
          <w:tcPr>
            <w:tcW w:w="1805" w:type="dxa"/>
            <w:vAlign w:val="center"/>
          </w:tcPr>
          <w:p w:rsidR="001C55F3" w:rsidRPr="00683F00" w:rsidRDefault="001C55F3" w:rsidP="001C55F3">
            <w:pPr>
              <w:autoSpaceDE w:val="0"/>
              <w:autoSpaceDN w:val="0"/>
              <w:adjustRightInd w:val="0"/>
              <w:ind w:left="709"/>
              <w:jc w:val="both"/>
              <w:rPr>
                <w:i/>
              </w:rPr>
            </w:pPr>
            <w:r w:rsidRPr="00683F00">
              <w:rPr>
                <w:i/>
              </w:rPr>
              <w:t>1</w:t>
            </w:r>
          </w:p>
        </w:tc>
      </w:tr>
      <w:tr w:rsidR="001C55F3" w:rsidRPr="00683F00" w:rsidTr="001C55F3">
        <w:tc>
          <w:tcPr>
            <w:tcW w:w="1861" w:type="dxa"/>
            <w:vAlign w:val="center"/>
          </w:tcPr>
          <w:p w:rsidR="001C55F3" w:rsidRPr="00683F00" w:rsidRDefault="001C55F3" w:rsidP="001C55F3">
            <w:pPr>
              <w:autoSpaceDE w:val="0"/>
              <w:autoSpaceDN w:val="0"/>
              <w:adjustRightInd w:val="0"/>
              <w:ind w:left="42"/>
              <w:jc w:val="both"/>
              <w:rPr>
                <w:i/>
              </w:rPr>
            </w:pPr>
            <w:r w:rsidRPr="00683F00">
              <w:rPr>
                <w:i/>
              </w:rPr>
              <w:t>None (0)</w:t>
            </w:r>
          </w:p>
        </w:tc>
        <w:tc>
          <w:tcPr>
            <w:tcW w:w="1763" w:type="dxa"/>
            <w:vAlign w:val="center"/>
          </w:tcPr>
          <w:p w:rsidR="001C55F3" w:rsidRPr="00683F00" w:rsidRDefault="001C55F3" w:rsidP="001C55F3">
            <w:pPr>
              <w:autoSpaceDE w:val="0"/>
              <w:autoSpaceDN w:val="0"/>
              <w:adjustRightInd w:val="0"/>
              <w:ind w:left="709"/>
              <w:jc w:val="both"/>
              <w:rPr>
                <w:i/>
              </w:rPr>
            </w:pPr>
            <w:r w:rsidRPr="00683F00">
              <w:rPr>
                <w:i/>
              </w:rPr>
              <w:t>0</w:t>
            </w:r>
          </w:p>
        </w:tc>
        <w:tc>
          <w:tcPr>
            <w:tcW w:w="1766" w:type="dxa"/>
            <w:vAlign w:val="center"/>
          </w:tcPr>
          <w:p w:rsidR="001C55F3" w:rsidRPr="00683F00" w:rsidRDefault="001C55F3" w:rsidP="001C55F3">
            <w:pPr>
              <w:autoSpaceDE w:val="0"/>
              <w:autoSpaceDN w:val="0"/>
              <w:adjustRightInd w:val="0"/>
              <w:ind w:left="709"/>
              <w:jc w:val="both"/>
              <w:rPr>
                <w:i/>
              </w:rPr>
            </w:pPr>
            <w:r w:rsidRPr="00683F00">
              <w:rPr>
                <w:i/>
              </w:rPr>
              <w:t>0</w:t>
            </w:r>
          </w:p>
        </w:tc>
        <w:tc>
          <w:tcPr>
            <w:tcW w:w="1805" w:type="dxa"/>
            <w:vAlign w:val="center"/>
          </w:tcPr>
          <w:p w:rsidR="001C55F3" w:rsidRPr="00683F00" w:rsidRDefault="001C55F3" w:rsidP="001C55F3">
            <w:pPr>
              <w:autoSpaceDE w:val="0"/>
              <w:autoSpaceDN w:val="0"/>
              <w:adjustRightInd w:val="0"/>
              <w:ind w:left="709"/>
              <w:jc w:val="both"/>
              <w:rPr>
                <w:i/>
              </w:rPr>
            </w:pPr>
            <w:r w:rsidRPr="00683F00">
              <w:rPr>
                <w:i/>
              </w:rPr>
              <w:t>0</w:t>
            </w:r>
          </w:p>
        </w:tc>
      </w:tr>
      <w:tr w:rsidR="001C55F3" w:rsidRPr="00683F00" w:rsidTr="001C55F3">
        <w:tc>
          <w:tcPr>
            <w:tcW w:w="1861" w:type="dxa"/>
            <w:vAlign w:val="center"/>
          </w:tcPr>
          <w:p w:rsidR="001C55F3" w:rsidRPr="00683F00" w:rsidRDefault="001C55F3" w:rsidP="001C55F3">
            <w:pPr>
              <w:autoSpaceDE w:val="0"/>
              <w:autoSpaceDN w:val="0"/>
              <w:adjustRightInd w:val="0"/>
              <w:ind w:left="42"/>
              <w:jc w:val="both"/>
              <w:rPr>
                <w:i/>
              </w:rPr>
            </w:pPr>
            <w:r w:rsidRPr="00683F00">
              <w:rPr>
                <w:i/>
              </w:rPr>
              <w:t>Proportion of humus</w:t>
            </w:r>
          </w:p>
        </w:tc>
        <w:tc>
          <w:tcPr>
            <w:tcW w:w="1763" w:type="dxa"/>
            <w:vAlign w:val="center"/>
          </w:tcPr>
          <w:p w:rsidR="001C55F3" w:rsidRPr="00683F00" w:rsidRDefault="001C55F3" w:rsidP="001C55F3">
            <w:pPr>
              <w:autoSpaceDE w:val="0"/>
              <w:autoSpaceDN w:val="0"/>
              <w:adjustRightInd w:val="0"/>
              <w:ind w:left="709"/>
              <w:jc w:val="both"/>
              <w:rPr>
                <w:i/>
              </w:rPr>
            </w:pPr>
            <w:r w:rsidRPr="00683F00">
              <w:rPr>
                <w:i/>
              </w:rPr>
              <w:t>High (3)</w:t>
            </w:r>
          </w:p>
        </w:tc>
        <w:tc>
          <w:tcPr>
            <w:tcW w:w="1766" w:type="dxa"/>
            <w:vAlign w:val="center"/>
          </w:tcPr>
          <w:p w:rsidR="001C55F3" w:rsidRPr="00683F00" w:rsidRDefault="001C55F3" w:rsidP="001C55F3">
            <w:pPr>
              <w:autoSpaceDE w:val="0"/>
              <w:autoSpaceDN w:val="0"/>
              <w:adjustRightInd w:val="0"/>
              <w:ind w:left="709"/>
              <w:jc w:val="both"/>
              <w:rPr>
                <w:i/>
              </w:rPr>
            </w:pPr>
            <w:r w:rsidRPr="00683F00">
              <w:rPr>
                <w:i/>
              </w:rPr>
              <w:t>Mean (2)</w:t>
            </w:r>
          </w:p>
        </w:tc>
        <w:tc>
          <w:tcPr>
            <w:tcW w:w="1805" w:type="dxa"/>
            <w:vAlign w:val="center"/>
          </w:tcPr>
          <w:p w:rsidR="001C55F3" w:rsidRPr="00683F00" w:rsidRDefault="001C55F3" w:rsidP="001C55F3">
            <w:pPr>
              <w:autoSpaceDE w:val="0"/>
              <w:autoSpaceDN w:val="0"/>
              <w:adjustRightInd w:val="0"/>
              <w:ind w:left="709"/>
              <w:jc w:val="both"/>
              <w:rPr>
                <w:i/>
              </w:rPr>
            </w:pPr>
            <w:r w:rsidRPr="00683F00">
              <w:rPr>
                <w:i/>
              </w:rPr>
              <w:t>Low (1)</w:t>
            </w:r>
          </w:p>
        </w:tc>
      </w:tr>
      <w:tr w:rsidR="001C55F3" w:rsidRPr="00683F00" w:rsidTr="001C55F3">
        <w:tc>
          <w:tcPr>
            <w:tcW w:w="1861" w:type="dxa"/>
            <w:vAlign w:val="center"/>
          </w:tcPr>
          <w:p w:rsidR="001C55F3" w:rsidRPr="00683F00" w:rsidRDefault="001C55F3" w:rsidP="001C55F3">
            <w:pPr>
              <w:autoSpaceDE w:val="0"/>
              <w:autoSpaceDN w:val="0"/>
              <w:adjustRightInd w:val="0"/>
              <w:ind w:left="42"/>
              <w:jc w:val="both"/>
              <w:rPr>
                <w:i/>
              </w:rPr>
            </w:pPr>
          </w:p>
        </w:tc>
        <w:tc>
          <w:tcPr>
            <w:tcW w:w="1763" w:type="dxa"/>
            <w:vAlign w:val="center"/>
          </w:tcPr>
          <w:p w:rsidR="001C55F3" w:rsidRPr="00683F00" w:rsidRDefault="001C55F3" w:rsidP="001C55F3">
            <w:pPr>
              <w:autoSpaceDE w:val="0"/>
              <w:autoSpaceDN w:val="0"/>
              <w:adjustRightInd w:val="0"/>
              <w:ind w:left="709"/>
              <w:jc w:val="both"/>
              <w:rPr>
                <w:i/>
              </w:rPr>
            </w:pPr>
          </w:p>
        </w:tc>
        <w:tc>
          <w:tcPr>
            <w:tcW w:w="1766" w:type="dxa"/>
            <w:vAlign w:val="center"/>
          </w:tcPr>
          <w:p w:rsidR="001C55F3" w:rsidRPr="00683F00" w:rsidRDefault="001C55F3" w:rsidP="001C55F3">
            <w:pPr>
              <w:autoSpaceDE w:val="0"/>
              <w:autoSpaceDN w:val="0"/>
              <w:adjustRightInd w:val="0"/>
              <w:ind w:left="709"/>
              <w:jc w:val="both"/>
              <w:rPr>
                <w:i/>
              </w:rPr>
            </w:pPr>
          </w:p>
        </w:tc>
        <w:tc>
          <w:tcPr>
            <w:tcW w:w="1805" w:type="dxa"/>
            <w:vAlign w:val="center"/>
          </w:tcPr>
          <w:p w:rsidR="001C55F3" w:rsidRPr="00683F00" w:rsidRDefault="001C55F3" w:rsidP="001C55F3">
            <w:pPr>
              <w:autoSpaceDE w:val="0"/>
              <w:autoSpaceDN w:val="0"/>
              <w:adjustRightInd w:val="0"/>
              <w:ind w:left="709"/>
              <w:jc w:val="both"/>
              <w:rPr>
                <w:i/>
              </w:rPr>
            </w:pPr>
          </w:p>
        </w:tc>
      </w:tr>
    </w:tbl>
    <w:p w:rsidR="001C55F3" w:rsidRPr="00723246" w:rsidRDefault="001C55F3" w:rsidP="001C55F3">
      <w:pPr>
        <w:rPr>
          <w:rFonts w:eastAsiaTheme="majorEastAsia"/>
          <w:b/>
        </w:rPr>
      </w:pPr>
      <w:r>
        <w:rPr>
          <w:rFonts w:eastAsiaTheme="majorEastAsia"/>
          <w:b/>
          <w:highlight w:val="yellow"/>
        </w:rPr>
        <w:br/>
      </w:r>
      <w:r w:rsidRPr="00723246">
        <w:rPr>
          <w:rFonts w:eastAsiaTheme="majorEastAsia"/>
          <w:b/>
        </w:rPr>
        <w:t>Example</w:t>
      </w:r>
      <w:r>
        <w:rPr>
          <w:rFonts w:eastAsiaTheme="majorEastAsia"/>
          <w:b/>
        </w:rPr>
        <w:t xml:space="preserve"> 3</w:t>
      </w:r>
      <w:r w:rsidRPr="00723246">
        <w:rPr>
          <w:rFonts w:eastAsiaTheme="majorEastAsia"/>
          <w:b/>
        </w:rPr>
        <w:t>:</w:t>
      </w:r>
      <w:r>
        <w:rPr>
          <w:rFonts w:eastAsiaTheme="majorEastAsia"/>
          <w:b/>
        </w:rPr>
        <w:t>Water supply &amp; use in Spain (Source Annex MESEU project)</w:t>
      </w:r>
    </w:p>
    <w:tbl>
      <w:tblPr>
        <w:tblW w:w="9072" w:type="dxa"/>
        <w:tblBorders>
          <w:top w:val="single" w:sz="4" w:space="0" w:color="auto"/>
          <w:bottom w:val="single" w:sz="4" w:space="0" w:color="auto"/>
        </w:tblBorders>
        <w:tblLook w:val="04A0"/>
      </w:tblPr>
      <w:tblGrid>
        <w:gridCol w:w="1132"/>
        <w:gridCol w:w="1477"/>
        <w:gridCol w:w="1502"/>
        <w:gridCol w:w="2693"/>
        <w:gridCol w:w="2268"/>
      </w:tblGrid>
      <w:tr w:rsidR="001C55F3" w:rsidRPr="009E399E" w:rsidTr="001C55F3">
        <w:trPr>
          <w:trHeight w:val="765"/>
        </w:trPr>
        <w:tc>
          <w:tcPr>
            <w:tcW w:w="624" w:type="pct"/>
            <w:shd w:val="clear" w:color="auto" w:fill="auto"/>
          </w:tcPr>
          <w:p w:rsidR="001C55F3" w:rsidRPr="00D16D36" w:rsidRDefault="001C55F3" w:rsidP="001C55F3">
            <w:pPr>
              <w:spacing w:after="0" w:line="240" w:lineRule="auto"/>
              <w:rPr>
                <w:rFonts w:eastAsia="Cambria"/>
                <w:lang w:val="en-US"/>
              </w:rPr>
            </w:pPr>
            <w:r w:rsidRPr="00D16D36">
              <w:rPr>
                <w:lang w:val="en-US"/>
              </w:rPr>
              <w:t>Water supply</w:t>
            </w:r>
          </w:p>
        </w:tc>
        <w:tc>
          <w:tcPr>
            <w:tcW w:w="814" w:type="pct"/>
            <w:shd w:val="clear" w:color="auto" w:fill="auto"/>
          </w:tcPr>
          <w:p w:rsidR="001C55F3" w:rsidRPr="00D16D36" w:rsidRDefault="001C55F3" w:rsidP="001C55F3">
            <w:pPr>
              <w:spacing w:after="0" w:line="240" w:lineRule="auto"/>
              <w:rPr>
                <w:lang w:val="en-US"/>
              </w:rPr>
            </w:pPr>
            <w:r w:rsidRPr="00D16D36">
              <w:rPr>
                <w:lang w:val="en-US"/>
              </w:rPr>
              <w:t>Water for human consumption</w:t>
            </w:r>
          </w:p>
        </w:tc>
        <w:tc>
          <w:tcPr>
            <w:tcW w:w="828" w:type="pct"/>
            <w:shd w:val="clear" w:color="auto" w:fill="auto"/>
          </w:tcPr>
          <w:p w:rsidR="001C55F3" w:rsidRPr="00D16D36" w:rsidRDefault="001C55F3" w:rsidP="001C55F3">
            <w:pPr>
              <w:spacing w:after="0" w:line="240" w:lineRule="auto"/>
              <w:rPr>
                <w:lang w:val="en-US"/>
              </w:rPr>
            </w:pPr>
            <w:r w:rsidRPr="00D16D36">
              <w:rPr>
                <w:lang w:val="en-US"/>
              </w:rPr>
              <w:t>Domestic water use</w:t>
            </w:r>
          </w:p>
        </w:tc>
        <w:tc>
          <w:tcPr>
            <w:tcW w:w="1484" w:type="pct"/>
            <w:shd w:val="clear" w:color="auto" w:fill="auto"/>
          </w:tcPr>
          <w:p w:rsidR="001C55F3" w:rsidRPr="00D16D36" w:rsidRDefault="001C55F3" w:rsidP="001C55F3">
            <w:pPr>
              <w:spacing w:after="0" w:line="240" w:lineRule="auto"/>
              <w:rPr>
                <w:lang w:val="en-US"/>
              </w:rPr>
            </w:pPr>
            <w:r w:rsidRPr="00D16D36">
              <w:rPr>
                <w:lang w:val="en-US"/>
              </w:rPr>
              <w:t>Water harvesting for human use</w:t>
            </w:r>
          </w:p>
        </w:tc>
        <w:tc>
          <w:tcPr>
            <w:tcW w:w="1250" w:type="pct"/>
            <w:shd w:val="clear" w:color="auto" w:fill="auto"/>
          </w:tcPr>
          <w:p w:rsidR="001C55F3" w:rsidRPr="00D16D36" w:rsidRDefault="001C55F3" w:rsidP="001C55F3">
            <w:pPr>
              <w:spacing w:after="0" w:line="240" w:lineRule="auto"/>
              <w:rPr>
                <w:lang w:val="en-US"/>
              </w:rPr>
            </w:pPr>
            <w:r w:rsidRPr="00D16D36">
              <w:rPr>
                <w:lang w:val="en-US"/>
              </w:rPr>
              <w:t>m</w:t>
            </w:r>
            <w:r w:rsidRPr="00D16D36">
              <w:rPr>
                <w:vertAlign w:val="superscript"/>
                <w:lang w:val="en-US"/>
              </w:rPr>
              <w:t>3</w:t>
            </w:r>
            <w:r w:rsidRPr="00D16D36">
              <w:rPr>
                <w:lang w:val="en-US"/>
              </w:rPr>
              <w:t>/inhb/ yr</w:t>
            </w:r>
          </w:p>
          <w:p w:rsidR="001C55F3" w:rsidRPr="00D16D36" w:rsidRDefault="001C55F3" w:rsidP="001C55F3">
            <w:pPr>
              <w:spacing w:after="0" w:line="240" w:lineRule="auto"/>
              <w:rPr>
                <w:lang w:val="en-US"/>
              </w:rPr>
            </w:pPr>
            <w:r w:rsidRPr="00D16D36">
              <w:rPr>
                <w:lang w:val="en-US"/>
              </w:rPr>
              <w:t xml:space="preserve">Faoaquastat </w:t>
            </w:r>
          </w:p>
          <w:p w:rsidR="001C55F3" w:rsidRPr="00D16D36" w:rsidRDefault="001C55F3" w:rsidP="001C55F3">
            <w:pPr>
              <w:spacing w:after="0" w:line="240" w:lineRule="auto"/>
              <w:rPr>
                <w:lang w:val="en-US"/>
              </w:rPr>
            </w:pPr>
            <w:r w:rsidRPr="00D16D36">
              <w:rPr>
                <w:lang w:val="en-US"/>
              </w:rPr>
              <w:t>1962-2007</w:t>
            </w:r>
          </w:p>
        </w:tc>
      </w:tr>
    </w:tbl>
    <w:p w:rsidR="001C55F3" w:rsidRDefault="001C55F3" w:rsidP="001C55F3">
      <w:pPr>
        <w:rPr>
          <w:rFonts w:eastAsiaTheme="majorEastAsia"/>
          <w:b/>
          <w:highlight w:val="yellow"/>
        </w:rPr>
      </w:pPr>
    </w:p>
    <w:p w:rsidR="001C55F3" w:rsidRDefault="001C55F3" w:rsidP="001C55F3">
      <w:pPr>
        <w:jc w:val="center"/>
        <w:rPr>
          <w:rFonts w:eastAsiaTheme="majorEastAsia"/>
          <w:b/>
          <w:highlight w:val="yellow"/>
        </w:rPr>
      </w:pPr>
      <w:r w:rsidRPr="00430FA8">
        <w:rPr>
          <w:noProof/>
          <w:sz w:val="20"/>
          <w:szCs w:val="20"/>
          <w:lang w:val="fr-BE" w:eastAsia="fr-BE"/>
        </w:rPr>
        <w:drawing>
          <wp:inline distT="0" distB="0" distL="0" distR="0">
            <wp:extent cx="2820369" cy="2179320"/>
            <wp:effectExtent l="0" t="0" r="0" b="0"/>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ast_aguaFlow2.jpg"/>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20369" cy="2179320"/>
                    </a:xfrm>
                    <a:prstGeom prst="rect">
                      <a:avLst/>
                    </a:prstGeom>
                  </pic:spPr>
                </pic:pic>
              </a:graphicData>
            </a:graphic>
          </wp:inline>
        </w:drawing>
      </w:r>
    </w:p>
    <w:p w:rsidR="001C55F3" w:rsidRDefault="001C55F3" w:rsidP="001C55F3">
      <w:pPr>
        <w:rPr>
          <w:rFonts w:eastAsiaTheme="majorEastAsia"/>
          <w:b/>
          <w:highlight w:val="yellow"/>
        </w:rPr>
      </w:pPr>
    </w:p>
    <w:p w:rsidR="001C55F3" w:rsidRDefault="001C55F3">
      <w:pPr>
        <w:rPr>
          <w:rFonts w:eastAsiaTheme="majorEastAsia"/>
          <w:b/>
        </w:rPr>
      </w:pPr>
      <w:r>
        <w:rPr>
          <w:rFonts w:eastAsiaTheme="majorEastAsia"/>
          <w:b/>
        </w:rPr>
        <w:br w:type="page"/>
      </w:r>
    </w:p>
    <w:p w:rsidR="001C55F3" w:rsidRDefault="001C55F3" w:rsidP="001C55F3">
      <w:pPr>
        <w:rPr>
          <w:rFonts w:eastAsiaTheme="majorEastAsia"/>
          <w:b/>
        </w:rPr>
      </w:pPr>
      <w:r w:rsidRPr="000C11D5">
        <w:rPr>
          <w:rFonts w:eastAsiaTheme="majorEastAsia"/>
          <w:b/>
        </w:rPr>
        <w:lastRenderedPageBreak/>
        <w:t>Example from Literature</w:t>
      </w:r>
      <w:r>
        <w:rPr>
          <w:rFonts w:eastAsiaTheme="majorEastAsia"/>
          <w:b/>
        </w:rPr>
        <w:t xml:space="preserve"> (source: Willemen et al., 2013)</w:t>
      </w:r>
    </w:p>
    <w:p w:rsidR="001C55F3" w:rsidRDefault="001C55F3" w:rsidP="001C55F3">
      <w:pPr>
        <w:rPr>
          <w:rFonts w:eastAsiaTheme="majorEastAsia"/>
          <w:b/>
        </w:rPr>
      </w:pPr>
      <w:r>
        <w:rPr>
          <w:rFonts w:eastAsiaTheme="majorEastAsia"/>
          <w:b/>
          <w:noProof/>
          <w:lang w:val="fr-BE" w:eastAsia="fr-BE"/>
        </w:rPr>
        <w:drawing>
          <wp:inline distT="0" distB="0" distL="0" distR="0">
            <wp:extent cx="5760720" cy="2979091"/>
            <wp:effectExtent l="0" t="0" r="0" b="0"/>
            <wp:docPr id="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979091"/>
                    </a:xfrm>
                    <a:prstGeom prst="rect">
                      <a:avLst/>
                    </a:prstGeom>
                    <a:noFill/>
                    <a:ln>
                      <a:noFill/>
                    </a:ln>
                  </pic:spPr>
                </pic:pic>
              </a:graphicData>
            </a:graphic>
          </wp:inline>
        </w:drawing>
      </w:r>
    </w:p>
    <w:p w:rsidR="001C55F3" w:rsidRDefault="001C55F3" w:rsidP="001C55F3">
      <w:pPr>
        <w:rPr>
          <w:rFonts w:eastAsiaTheme="majorEastAsia"/>
          <w:b/>
        </w:rPr>
      </w:pPr>
      <w:r>
        <w:rPr>
          <w:rFonts w:eastAsiaTheme="majorEastAsia"/>
          <w:b/>
          <w:noProof/>
          <w:lang w:val="fr-BE" w:eastAsia="fr-BE"/>
        </w:rPr>
        <w:drawing>
          <wp:inline distT="0" distB="0" distL="0" distR="0">
            <wp:extent cx="5760720" cy="1602407"/>
            <wp:effectExtent l="0" t="0" r="0" b="0"/>
            <wp:docPr id="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1602407"/>
                    </a:xfrm>
                    <a:prstGeom prst="rect">
                      <a:avLst/>
                    </a:prstGeom>
                    <a:noFill/>
                    <a:ln>
                      <a:noFill/>
                    </a:ln>
                  </pic:spPr>
                </pic:pic>
              </a:graphicData>
            </a:graphic>
          </wp:inline>
        </w:drawing>
      </w:r>
    </w:p>
    <w:p w:rsidR="001C55F3" w:rsidRPr="0098724A" w:rsidRDefault="001C55F3" w:rsidP="001C55F3">
      <w:pPr>
        <w:rPr>
          <w:rFonts w:eastAsiaTheme="majorEastAsia" w:cs="Times New Roman"/>
          <w:b/>
          <w:bCs/>
          <w:color w:val="4F81BD" w:themeColor="accent1"/>
          <w:sz w:val="32"/>
          <w:szCs w:val="32"/>
        </w:rPr>
      </w:pPr>
      <w:r w:rsidRPr="006A11EC">
        <w:rPr>
          <w:noProof/>
          <w:lang w:val="fr-BE" w:eastAsia="fr-BE"/>
        </w:rPr>
        <w:drawing>
          <wp:inline distT="0" distB="0" distL="0" distR="0">
            <wp:extent cx="5760720" cy="2131208"/>
            <wp:effectExtent l="0" t="0" r="0" b="2540"/>
            <wp:docPr id="5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131208"/>
                    </a:xfrm>
                    <a:prstGeom prst="rect">
                      <a:avLst/>
                    </a:prstGeom>
                    <a:noFill/>
                    <a:ln>
                      <a:noFill/>
                    </a:ln>
                  </pic:spPr>
                </pic:pic>
              </a:graphicData>
            </a:graphic>
          </wp:inline>
        </w:drawing>
      </w:r>
      <w:r w:rsidRPr="0098724A">
        <w:rPr>
          <w:rFonts w:eastAsiaTheme="majorEastAsia"/>
          <w:color w:val="4F81BD" w:themeColor="accent1"/>
          <w:sz w:val="32"/>
          <w:szCs w:val="32"/>
        </w:rPr>
        <w:br w:type="page"/>
      </w:r>
    </w:p>
    <w:p w:rsidR="001C55F3" w:rsidRPr="00E555B7" w:rsidRDefault="001C55F3" w:rsidP="001C55F3">
      <w:pPr>
        <w:pStyle w:val="Titre6"/>
        <w:tabs>
          <w:tab w:val="clear" w:pos="1152"/>
          <w:tab w:val="left" w:pos="720"/>
        </w:tabs>
        <w:rPr>
          <w:rFonts w:asciiTheme="minorHAnsi" w:eastAsiaTheme="majorEastAsia" w:hAnsiTheme="minorHAnsi"/>
          <w:szCs w:val="24"/>
        </w:rPr>
      </w:pPr>
      <w:r w:rsidRPr="00E555B7">
        <w:rPr>
          <w:rFonts w:asciiTheme="minorHAnsi" w:eastAsiaTheme="majorEastAsia" w:hAnsiTheme="minorHAnsi"/>
          <w:szCs w:val="24"/>
        </w:rPr>
        <w:lastRenderedPageBreak/>
        <w:t>Step 4 Mapping &amp; (Biophysical) Assessment</w:t>
      </w:r>
    </w:p>
    <w:p w:rsidR="001C55F3" w:rsidRDefault="001C55F3" w:rsidP="001C55F3"/>
    <w:p w:rsidR="001C55F3" w:rsidRDefault="001C55F3" w:rsidP="001C55F3">
      <w:pPr>
        <w:jc w:val="center"/>
        <w:rPr>
          <w:rFonts w:eastAsiaTheme="majorEastAsia"/>
          <w:sz w:val="32"/>
          <w:szCs w:val="32"/>
        </w:rPr>
      </w:pPr>
      <w:r>
        <w:rPr>
          <w:rFonts w:eastAsiaTheme="majorEastAsia"/>
          <w:noProof/>
          <w:sz w:val="32"/>
          <w:szCs w:val="32"/>
          <w:lang w:val="fr-BE" w:eastAsia="fr-BE"/>
        </w:rPr>
        <w:drawing>
          <wp:inline distT="0" distB="0" distL="0" distR="0">
            <wp:extent cx="4248150" cy="3156520"/>
            <wp:effectExtent l="0" t="0" r="0" b="635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8578" cy="3156838"/>
                    </a:xfrm>
                    <a:prstGeom prst="rect">
                      <a:avLst/>
                    </a:prstGeom>
                    <a:noFill/>
                    <a:ln>
                      <a:noFill/>
                    </a:ln>
                  </pic:spPr>
                </pic:pic>
              </a:graphicData>
            </a:graphic>
          </wp:inline>
        </w:drawing>
      </w:r>
    </w:p>
    <w:p w:rsidR="001C55F3" w:rsidRDefault="001C55F3" w:rsidP="001C55F3">
      <w:pPr>
        <w:spacing w:after="0" w:line="240" w:lineRule="auto"/>
        <w:rPr>
          <w:b/>
        </w:rPr>
      </w:pPr>
      <w:r>
        <w:rPr>
          <w:b/>
        </w:rPr>
        <w:t>Explanation:</w:t>
      </w:r>
    </w:p>
    <w:p w:rsidR="001C55F3" w:rsidRDefault="001C55F3" w:rsidP="001C55F3">
      <w:pPr>
        <w:spacing w:after="0" w:line="240" w:lineRule="auto"/>
        <w:rPr>
          <w:b/>
        </w:rPr>
      </w:pPr>
    </w:p>
    <w:p w:rsidR="001C55F3" w:rsidRPr="00937819" w:rsidRDefault="001C55F3" w:rsidP="001C55F3">
      <w:pPr>
        <w:spacing w:after="0" w:line="240" w:lineRule="auto"/>
      </w:pPr>
      <w:r w:rsidRPr="00F07DF4">
        <w:t>This Step involves the Technical aspects of Mapping, where GIS experts bring together data, existing maps and interactively with experts and stakeholders develop th</w:t>
      </w:r>
      <w:r>
        <w:t xml:space="preserve">e “ set of maps for COUNTRY X”. </w:t>
      </w:r>
      <w:r w:rsidRPr="00F07DF4">
        <w:t>With the Maps and possibly time series for some of the indicators, an assessment report can be produced stating the situation anno 2014 and possibly some trends in history</w:t>
      </w:r>
      <w:r>
        <w:rPr>
          <w:b/>
        </w:rPr>
        <w:t>.</w:t>
      </w:r>
    </w:p>
    <w:p w:rsidR="001C55F3" w:rsidRDefault="001C55F3" w:rsidP="001C55F3">
      <w:pPr>
        <w:spacing w:after="0"/>
        <w:rPr>
          <w:rFonts w:eastAsiaTheme="majorEastAsia"/>
          <w:b/>
          <w:color w:val="4F81BD" w:themeColor="accent1"/>
        </w:rPr>
      </w:pPr>
    </w:p>
    <w:p w:rsidR="001C55F3" w:rsidRPr="005544D6" w:rsidRDefault="001C55F3" w:rsidP="001C55F3">
      <w:pPr>
        <w:spacing w:after="0"/>
        <w:rPr>
          <w:rFonts w:eastAsiaTheme="majorEastAsia"/>
          <w:b/>
          <w:u w:val="single"/>
        </w:rPr>
      </w:pPr>
      <w:r w:rsidRPr="005544D6">
        <w:rPr>
          <w:rFonts w:eastAsiaTheme="majorEastAsia"/>
          <w:b/>
          <w:u w:val="single"/>
        </w:rPr>
        <w:t>4.1</w:t>
      </w:r>
      <w:r w:rsidRPr="005544D6">
        <w:rPr>
          <w:rFonts w:eastAsiaTheme="majorEastAsia"/>
          <w:b/>
          <w:u w:val="single"/>
        </w:rPr>
        <w:tab/>
        <w:t>Produce Ecosystem maps (-&gt; Time series)</w:t>
      </w:r>
    </w:p>
    <w:p w:rsidR="001C55F3" w:rsidRDefault="001C55F3" w:rsidP="001C55F3">
      <w:pPr>
        <w:spacing w:after="0"/>
        <w:rPr>
          <w:rFonts w:eastAsiaTheme="majorEastAsia"/>
        </w:rPr>
      </w:pPr>
      <w:r w:rsidRPr="00194CCC">
        <w:rPr>
          <w:rFonts w:eastAsiaTheme="majorEastAsia"/>
        </w:rPr>
        <w:t xml:space="preserve">There are two major approaches to produce the maps: </w:t>
      </w:r>
    </w:p>
    <w:p w:rsidR="001C55F3" w:rsidRPr="00194CCC" w:rsidRDefault="001C55F3" w:rsidP="001C55F3">
      <w:pPr>
        <w:spacing w:after="0"/>
        <w:rPr>
          <w:rFonts w:eastAsiaTheme="majorEastAsia"/>
          <w:b/>
        </w:rPr>
      </w:pPr>
      <w:r w:rsidRPr="00194CCC">
        <w:rPr>
          <w:rFonts w:eastAsiaTheme="majorEastAsia"/>
        </w:rPr>
        <w:t>(1) Maps which depict the location (and preferably some quality indica</w:t>
      </w:r>
      <w:r>
        <w:rPr>
          <w:rFonts w:eastAsiaTheme="majorEastAsia"/>
        </w:rPr>
        <w:t xml:space="preserve">tion) of particular ecosystems </w:t>
      </w:r>
      <w:r w:rsidRPr="00194CCC">
        <w:rPr>
          <w:rFonts w:eastAsiaTheme="majorEastAsia"/>
          <w:b/>
        </w:rPr>
        <w:t>(see map in 4.1.a: flowing water ecosystems</w:t>
      </w:r>
      <w:r>
        <w:rPr>
          <w:rFonts w:eastAsiaTheme="majorEastAsia"/>
          <w:b/>
        </w:rPr>
        <w:t>. Source Compendium Leefomgeving: PBL</w:t>
      </w:r>
      <w:r w:rsidRPr="00194CCC">
        <w:rPr>
          <w:rFonts w:eastAsiaTheme="majorEastAsia"/>
          <w:b/>
        </w:rPr>
        <w:t>)</w:t>
      </w:r>
    </w:p>
    <w:p w:rsidR="001C55F3" w:rsidRPr="00194CCC" w:rsidRDefault="001C55F3" w:rsidP="001C55F3">
      <w:pPr>
        <w:spacing w:after="0"/>
        <w:jc w:val="center"/>
        <w:rPr>
          <w:rFonts w:eastAsiaTheme="majorEastAsia"/>
        </w:rPr>
      </w:pPr>
      <w:r>
        <w:rPr>
          <w:rFonts w:eastAsiaTheme="majorEastAsia"/>
          <w:noProof/>
          <w:lang w:val="fr-BE" w:eastAsia="fr-BE"/>
        </w:rPr>
        <w:drawing>
          <wp:inline distT="0" distB="0" distL="0" distR="0">
            <wp:extent cx="3190875" cy="2765425"/>
            <wp:effectExtent l="0" t="0" r="9525" b="0"/>
            <wp:docPr id="60" name="Picture 41" descr="M:\My Documents\My Pictures\1401_003k_clo_01_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My Documents\My Pictures\1401_003k_clo_01_nl.jpg"/>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1493" cy="2765961"/>
                    </a:xfrm>
                    <a:prstGeom prst="rect">
                      <a:avLst/>
                    </a:prstGeom>
                    <a:noFill/>
                    <a:ln>
                      <a:noFill/>
                    </a:ln>
                  </pic:spPr>
                </pic:pic>
              </a:graphicData>
            </a:graphic>
          </wp:inline>
        </w:drawing>
      </w:r>
    </w:p>
    <w:p w:rsidR="001C55F3" w:rsidRDefault="001C55F3" w:rsidP="001C55F3">
      <w:pPr>
        <w:spacing w:after="0"/>
        <w:rPr>
          <w:rFonts w:eastAsiaTheme="majorEastAsia"/>
          <w:b/>
          <w:color w:val="4F81BD" w:themeColor="accent1"/>
        </w:rPr>
      </w:pPr>
    </w:p>
    <w:p w:rsidR="001C55F3" w:rsidRDefault="001C55F3" w:rsidP="001C55F3">
      <w:pPr>
        <w:spacing w:after="0"/>
        <w:rPr>
          <w:rFonts w:eastAsiaTheme="majorEastAsia"/>
        </w:rPr>
      </w:pPr>
      <w:r w:rsidRPr="00194CCC">
        <w:rPr>
          <w:rFonts w:eastAsiaTheme="majorEastAsia"/>
        </w:rPr>
        <w:lastRenderedPageBreak/>
        <w:t>(2) Integrated maps, which depict the location (and by some quality indication ) of all ecosystems.</w:t>
      </w:r>
    </w:p>
    <w:p w:rsidR="001C55F3" w:rsidRDefault="001C55F3" w:rsidP="001C55F3">
      <w:pPr>
        <w:spacing w:after="0"/>
        <w:rPr>
          <w:rFonts w:eastAsiaTheme="majorEastAsia"/>
          <w:b/>
          <w:color w:val="4F81BD" w:themeColor="accent1"/>
        </w:rPr>
      </w:pPr>
    </w:p>
    <w:p w:rsidR="001C55F3" w:rsidRPr="0027684A" w:rsidRDefault="001C55F3" w:rsidP="001C55F3">
      <w:pPr>
        <w:autoSpaceDE w:val="0"/>
        <w:autoSpaceDN w:val="0"/>
        <w:adjustRightInd w:val="0"/>
        <w:spacing w:after="0" w:line="240" w:lineRule="auto"/>
        <w:jc w:val="both"/>
        <w:rPr>
          <w:rFonts w:eastAsia="Cambria"/>
          <w:b/>
          <w:sz w:val="20"/>
          <w:szCs w:val="20"/>
          <w:lang w:val="en-US"/>
        </w:rPr>
      </w:pPr>
      <w:r>
        <w:rPr>
          <w:rFonts w:eastAsia="Cambria"/>
          <w:b/>
          <w:sz w:val="20"/>
          <w:szCs w:val="20"/>
          <w:lang w:val="en-US"/>
        </w:rPr>
        <w:t>Figure 4.1.b Map 1</w:t>
      </w:r>
      <w:r w:rsidRPr="0027684A">
        <w:rPr>
          <w:rFonts w:eastAsia="Cambria"/>
          <w:b/>
          <w:sz w:val="20"/>
          <w:szCs w:val="20"/>
          <w:lang w:val="en-US"/>
        </w:rPr>
        <w:t>.  Distribution of the Spanish ecosystems types. Source: Spanish NEA</w:t>
      </w:r>
    </w:p>
    <w:p w:rsidR="001C55F3" w:rsidRDefault="001C55F3" w:rsidP="001C55F3">
      <w:pPr>
        <w:spacing w:after="0"/>
        <w:rPr>
          <w:rFonts w:eastAsiaTheme="majorEastAsia"/>
          <w:b/>
          <w:color w:val="4F81BD" w:themeColor="accent1"/>
        </w:rPr>
      </w:pPr>
    </w:p>
    <w:p w:rsidR="001C55F3" w:rsidRDefault="001C55F3" w:rsidP="001C55F3">
      <w:pPr>
        <w:spacing w:after="0"/>
        <w:jc w:val="center"/>
        <w:rPr>
          <w:rFonts w:eastAsiaTheme="majorEastAsia"/>
          <w:b/>
          <w:color w:val="4F81BD" w:themeColor="accent1"/>
        </w:rPr>
      </w:pPr>
      <w:r>
        <w:rPr>
          <w:rFonts w:ascii="Calibri" w:eastAsia="Times New Roman" w:hAnsi="Calibri" w:cs="Arial"/>
          <w:noProof/>
          <w:sz w:val="24"/>
          <w:szCs w:val="24"/>
          <w:lang w:val="fr-BE" w:eastAsia="fr-BE"/>
        </w:rPr>
        <w:drawing>
          <wp:inline distT="0" distB="0" distL="0" distR="0">
            <wp:extent cx="4108394" cy="3200400"/>
            <wp:effectExtent l="0" t="0" r="6985" b="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acion_ecosistemas2_Ingles.jp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19030" cy="3208685"/>
                    </a:xfrm>
                    <a:prstGeom prst="rect">
                      <a:avLst/>
                    </a:prstGeom>
                  </pic:spPr>
                </pic:pic>
              </a:graphicData>
            </a:graphic>
          </wp:inline>
        </w:drawing>
      </w:r>
    </w:p>
    <w:p w:rsidR="001C55F3" w:rsidRDefault="001C55F3" w:rsidP="001C55F3">
      <w:pPr>
        <w:spacing w:after="0"/>
        <w:jc w:val="center"/>
        <w:rPr>
          <w:rFonts w:eastAsiaTheme="majorEastAsia"/>
          <w:b/>
          <w:color w:val="4F81BD" w:themeColor="accent1"/>
        </w:rPr>
      </w:pPr>
    </w:p>
    <w:p w:rsidR="001C55F3" w:rsidRPr="005544D6" w:rsidRDefault="001C55F3" w:rsidP="001C55F3">
      <w:pPr>
        <w:spacing w:after="0"/>
        <w:rPr>
          <w:rFonts w:eastAsiaTheme="majorEastAsia"/>
          <w:b/>
          <w:u w:val="single"/>
        </w:rPr>
      </w:pPr>
      <w:r w:rsidRPr="005544D6">
        <w:rPr>
          <w:rFonts w:eastAsiaTheme="majorEastAsia"/>
          <w:b/>
          <w:u w:val="single"/>
        </w:rPr>
        <w:t>4.2</w:t>
      </w:r>
      <w:r w:rsidRPr="005544D6">
        <w:rPr>
          <w:rFonts w:eastAsiaTheme="majorEastAsia"/>
          <w:b/>
          <w:u w:val="single"/>
        </w:rPr>
        <w:tab/>
        <w:t>Produce Ecosystem Service Maps (-&gt; bundles; -&gt; time series)</w:t>
      </w:r>
    </w:p>
    <w:p w:rsidR="001C55F3" w:rsidRDefault="001C55F3" w:rsidP="001C55F3">
      <w:pPr>
        <w:spacing w:after="0"/>
        <w:rPr>
          <w:rFonts w:eastAsiaTheme="majorEastAsia"/>
          <w:b/>
          <w:color w:val="4F81BD" w:themeColor="accent1"/>
        </w:rPr>
      </w:pPr>
    </w:p>
    <w:p w:rsidR="001C55F3" w:rsidRPr="00485DE1" w:rsidRDefault="001C55F3" w:rsidP="001C55F3">
      <w:pPr>
        <w:spacing w:after="0"/>
        <w:rPr>
          <w:rFonts w:eastAsiaTheme="majorEastAsia"/>
          <w:b/>
        </w:rPr>
      </w:pPr>
      <w:r w:rsidRPr="00485DE1">
        <w:rPr>
          <w:rFonts w:eastAsiaTheme="majorEastAsia"/>
          <w:b/>
        </w:rPr>
        <w:t xml:space="preserve">4.2.a Location of ecosystem service </w:t>
      </w:r>
      <w:r>
        <w:rPr>
          <w:rFonts w:eastAsiaTheme="majorEastAsia"/>
          <w:b/>
        </w:rPr>
        <w:t xml:space="preserve">: </w:t>
      </w:r>
      <w:r w:rsidRPr="00485DE1">
        <w:rPr>
          <w:rFonts w:eastAsiaTheme="majorEastAsia"/>
          <w:b/>
        </w:rPr>
        <w:t>Carbon sequestration in forest (green)  and Carbon emissions of peatlands( pink)</w:t>
      </w:r>
      <w:r>
        <w:rPr>
          <w:rFonts w:eastAsiaTheme="majorEastAsia"/>
          <w:b/>
        </w:rPr>
        <w:t xml:space="preserve"> (national). Source: Melman &amp; Van der Heijde (2010)</w:t>
      </w:r>
    </w:p>
    <w:p w:rsidR="001C55F3" w:rsidRDefault="001C55F3" w:rsidP="001C55F3">
      <w:pPr>
        <w:spacing w:after="0"/>
        <w:jc w:val="center"/>
        <w:rPr>
          <w:rFonts w:eastAsiaTheme="majorEastAsia"/>
          <w:b/>
          <w:color w:val="4F81BD" w:themeColor="accent1"/>
        </w:rPr>
      </w:pPr>
      <w:r>
        <w:rPr>
          <w:rFonts w:eastAsiaTheme="majorEastAsia"/>
          <w:b/>
          <w:noProof/>
          <w:color w:val="4F81BD" w:themeColor="accent1"/>
          <w:lang w:val="fr-BE" w:eastAsia="fr-BE"/>
        </w:rPr>
        <w:drawing>
          <wp:inline distT="0" distB="0" distL="0" distR="0">
            <wp:extent cx="3860184" cy="3227590"/>
            <wp:effectExtent l="0" t="0" r="6985" b="0"/>
            <wp:docPr id="6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8908" cy="3226523"/>
                    </a:xfrm>
                    <a:prstGeom prst="rect">
                      <a:avLst/>
                    </a:prstGeom>
                    <a:noFill/>
                    <a:ln>
                      <a:noFill/>
                    </a:ln>
                  </pic:spPr>
                </pic:pic>
              </a:graphicData>
            </a:graphic>
          </wp:inline>
        </w:drawing>
      </w:r>
    </w:p>
    <w:p w:rsidR="001C55F3" w:rsidRDefault="001C55F3" w:rsidP="001C55F3">
      <w:pPr>
        <w:spacing w:after="0"/>
        <w:rPr>
          <w:rFonts w:eastAsiaTheme="majorEastAsia"/>
          <w:b/>
          <w:color w:val="4F81BD" w:themeColor="accent1"/>
        </w:rPr>
      </w:pPr>
    </w:p>
    <w:p w:rsidR="001C55F3" w:rsidRDefault="001C55F3" w:rsidP="001C55F3">
      <w:pPr>
        <w:spacing w:after="0"/>
        <w:rPr>
          <w:rFonts w:eastAsiaTheme="majorEastAsia"/>
          <w:b/>
          <w:color w:val="4F81BD" w:themeColor="accent1"/>
        </w:rPr>
      </w:pPr>
    </w:p>
    <w:p w:rsidR="001C55F3" w:rsidRDefault="001C55F3">
      <w:pPr>
        <w:rPr>
          <w:rFonts w:eastAsiaTheme="majorEastAsia"/>
          <w:b/>
        </w:rPr>
      </w:pPr>
      <w:r>
        <w:rPr>
          <w:rFonts w:eastAsiaTheme="majorEastAsia"/>
          <w:b/>
        </w:rPr>
        <w:br w:type="page"/>
      </w:r>
    </w:p>
    <w:p w:rsidR="001C55F3" w:rsidRDefault="001C55F3" w:rsidP="001C55F3">
      <w:pPr>
        <w:spacing w:after="0"/>
        <w:rPr>
          <w:rFonts w:eastAsiaTheme="majorEastAsia"/>
          <w:b/>
        </w:rPr>
      </w:pPr>
      <w:r w:rsidRPr="00485DE1">
        <w:rPr>
          <w:rFonts w:eastAsiaTheme="majorEastAsia"/>
          <w:b/>
        </w:rPr>
        <w:lastRenderedPageBreak/>
        <w:t>Figure 4.2.b: Location and “quality” (intensity) of ecosystem service</w:t>
      </w:r>
      <w:r>
        <w:rPr>
          <w:rFonts w:eastAsiaTheme="majorEastAsia"/>
          <w:b/>
        </w:rPr>
        <w:t xml:space="preserve"> (regional) Source: PRESS II report</w:t>
      </w:r>
    </w:p>
    <w:p w:rsidR="001C55F3" w:rsidRDefault="001C55F3" w:rsidP="001C55F3">
      <w:pPr>
        <w:spacing w:after="0"/>
        <w:jc w:val="center"/>
        <w:rPr>
          <w:rFonts w:eastAsiaTheme="majorEastAsia"/>
          <w:b/>
          <w:color w:val="4F81BD" w:themeColor="accent1"/>
        </w:rPr>
      </w:pPr>
      <w:r w:rsidRPr="00485DE1">
        <w:rPr>
          <w:rFonts w:eastAsiaTheme="majorEastAsia"/>
          <w:b/>
        </w:rPr>
        <w:br/>
      </w:r>
      <w:r>
        <w:rPr>
          <w:rFonts w:eastAsiaTheme="majorEastAsia"/>
          <w:b/>
          <w:noProof/>
          <w:color w:val="4F81BD" w:themeColor="accent1"/>
          <w:lang w:val="fr-BE" w:eastAsia="fr-BE"/>
        </w:rPr>
        <w:drawing>
          <wp:inline distT="0" distB="0" distL="0" distR="0">
            <wp:extent cx="2762865" cy="3352800"/>
            <wp:effectExtent l="0" t="0" r="0" b="0"/>
            <wp:docPr id="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8871" cy="3360088"/>
                    </a:xfrm>
                    <a:prstGeom prst="rect">
                      <a:avLst/>
                    </a:prstGeom>
                    <a:noFill/>
                    <a:ln>
                      <a:noFill/>
                    </a:ln>
                  </pic:spPr>
                </pic:pic>
              </a:graphicData>
            </a:graphic>
          </wp:inline>
        </w:drawing>
      </w:r>
      <w:r>
        <w:rPr>
          <w:rFonts w:eastAsiaTheme="majorEastAsia"/>
          <w:b/>
          <w:color w:val="4F81BD" w:themeColor="accent1"/>
        </w:rPr>
        <w:br/>
      </w:r>
    </w:p>
    <w:p w:rsidR="001C55F3" w:rsidRPr="008F0C6D" w:rsidRDefault="001C55F3" w:rsidP="001C55F3">
      <w:pPr>
        <w:spacing w:after="0"/>
        <w:rPr>
          <w:rFonts w:eastAsiaTheme="majorEastAsia"/>
          <w:b/>
        </w:rPr>
      </w:pPr>
      <w:r w:rsidRPr="008F0C6D">
        <w:rPr>
          <w:rFonts w:eastAsiaTheme="majorEastAsia"/>
          <w:b/>
        </w:rPr>
        <w:t>Figure 4.2.c Location of  ecosystem services with quality indication (national)</w:t>
      </w:r>
      <w:r>
        <w:rPr>
          <w:rFonts w:eastAsiaTheme="majorEastAsia"/>
          <w:b/>
        </w:rPr>
        <w:t>. Source: PRESS II report</w:t>
      </w:r>
    </w:p>
    <w:p w:rsidR="001C55F3" w:rsidRDefault="001C55F3" w:rsidP="001C55F3">
      <w:pPr>
        <w:spacing w:after="0"/>
        <w:rPr>
          <w:rFonts w:eastAsiaTheme="majorEastAsia"/>
          <w:b/>
          <w:color w:val="4F81BD" w:themeColor="accent1"/>
        </w:rPr>
      </w:pPr>
    </w:p>
    <w:p w:rsidR="001C55F3" w:rsidRDefault="001C55F3" w:rsidP="001C55F3">
      <w:pPr>
        <w:spacing w:after="0"/>
        <w:rPr>
          <w:rFonts w:eastAsiaTheme="majorEastAsia"/>
          <w:b/>
          <w:color w:val="4F81BD" w:themeColor="accent1"/>
        </w:rPr>
      </w:pPr>
      <w:r>
        <w:rPr>
          <w:rFonts w:eastAsiaTheme="majorEastAsia"/>
          <w:b/>
          <w:noProof/>
          <w:color w:val="4F81BD" w:themeColor="accent1"/>
          <w:lang w:val="fr-BE" w:eastAsia="fr-BE"/>
        </w:rPr>
        <w:drawing>
          <wp:inline distT="0" distB="0" distL="0" distR="0">
            <wp:extent cx="5600700" cy="3476625"/>
            <wp:effectExtent l="0" t="0" r="0" b="9525"/>
            <wp:docPr id="4406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0700" cy="3476625"/>
                    </a:xfrm>
                    <a:prstGeom prst="rect">
                      <a:avLst/>
                    </a:prstGeom>
                    <a:noFill/>
                    <a:ln>
                      <a:noFill/>
                    </a:ln>
                  </pic:spPr>
                </pic:pic>
              </a:graphicData>
            </a:graphic>
          </wp:inline>
        </w:drawing>
      </w:r>
    </w:p>
    <w:p w:rsidR="001C55F3" w:rsidRDefault="001C55F3" w:rsidP="001C55F3">
      <w:pPr>
        <w:autoSpaceDE w:val="0"/>
        <w:autoSpaceDN w:val="0"/>
        <w:adjustRightInd w:val="0"/>
        <w:spacing w:after="0"/>
        <w:jc w:val="both"/>
        <w:rPr>
          <w:b/>
          <w:sz w:val="20"/>
          <w:szCs w:val="20"/>
        </w:rPr>
      </w:pPr>
    </w:p>
    <w:p w:rsidR="001C55F3" w:rsidRDefault="001C55F3">
      <w:pPr>
        <w:rPr>
          <w:b/>
          <w:sz w:val="20"/>
          <w:szCs w:val="20"/>
        </w:rPr>
      </w:pPr>
      <w:r>
        <w:rPr>
          <w:b/>
          <w:sz w:val="20"/>
          <w:szCs w:val="20"/>
        </w:rPr>
        <w:br w:type="page"/>
      </w:r>
    </w:p>
    <w:p w:rsidR="001C55F3" w:rsidRDefault="001C55F3" w:rsidP="001C55F3">
      <w:pPr>
        <w:autoSpaceDE w:val="0"/>
        <w:autoSpaceDN w:val="0"/>
        <w:adjustRightInd w:val="0"/>
        <w:spacing w:after="0"/>
        <w:jc w:val="both"/>
        <w:rPr>
          <w:b/>
          <w:sz w:val="20"/>
          <w:szCs w:val="20"/>
        </w:rPr>
      </w:pPr>
      <w:r>
        <w:rPr>
          <w:b/>
          <w:sz w:val="20"/>
          <w:szCs w:val="20"/>
        </w:rPr>
        <w:lastRenderedPageBreak/>
        <w:t>Figure 4.2.d: 1,2 and 3: aggregations of ecosystem services per group  (provisioning, regulating, cultural), with quality (intensity) levels. Source: ANNEX to MESEU report</w:t>
      </w:r>
    </w:p>
    <w:p w:rsidR="001C55F3" w:rsidRDefault="001C55F3" w:rsidP="001C55F3">
      <w:pPr>
        <w:autoSpaceDE w:val="0"/>
        <w:autoSpaceDN w:val="0"/>
        <w:adjustRightInd w:val="0"/>
        <w:spacing w:after="0"/>
        <w:jc w:val="both"/>
        <w:rPr>
          <w:b/>
          <w:sz w:val="20"/>
          <w:szCs w:val="20"/>
        </w:rPr>
      </w:pPr>
    </w:p>
    <w:p w:rsidR="001C55F3" w:rsidRPr="00F629D0" w:rsidRDefault="001C55F3" w:rsidP="001C55F3">
      <w:pPr>
        <w:autoSpaceDE w:val="0"/>
        <w:autoSpaceDN w:val="0"/>
        <w:adjustRightInd w:val="0"/>
        <w:spacing w:after="0"/>
        <w:jc w:val="center"/>
        <w:rPr>
          <w:sz w:val="20"/>
          <w:szCs w:val="20"/>
        </w:rPr>
      </w:pPr>
      <w:r w:rsidRPr="00F629D0">
        <w:rPr>
          <w:sz w:val="20"/>
          <w:szCs w:val="20"/>
        </w:rPr>
        <w:t>Figure 1: Provisioning ES map</w:t>
      </w:r>
    </w:p>
    <w:p w:rsidR="001C55F3" w:rsidRDefault="001C55F3" w:rsidP="001C55F3">
      <w:pPr>
        <w:spacing w:after="0"/>
        <w:jc w:val="center"/>
        <w:rPr>
          <w:rFonts w:eastAsiaTheme="majorEastAsia"/>
          <w:b/>
          <w:color w:val="4F81BD" w:themeColor="accent1"/>
        </w:rPr>
      </w:pPr>
      <w:r>
        <w:rPr>
          <w:rFonts w:ascii="Times New Roman" w:hAnsi="Times New Roman"/>
          <w:noProof/>
          <w:sz w:val="24"/>
          <w:szCs w:val="24"/>
          <w:lang w:val="fr-BE" w:eastAsia="fr-BE"/>
        </w:rPr>
        <w:drawing>
          <wp:inline distT="0" distB="0" distL="0" distR="0">
            <wp:extent cx="2895600" cy="1299382"/>
            <wp:effectExtent l="19050" t="19050" r="19050" b="15240"/>
            <wp:docPr id="44065"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rod_small.jpg"/>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99435" cy="1301103"/>
                    </a:xfrm>
                    <a:prstGeom prst="rect">
                      <a:avLst/>
                    </a:prstGeom>
                    <a:ln>
                      <a:solidFill>
                        <a:schemeClr val="tx1"/>
                      </a:solidFill>
                    </a:ln>
                  </pic:spPr>
                </pic:pic>
              </a:graphicData>
            </a:graphic>
          </wp:inline>
        </w:drawing>
      </w:r>
    </w:p>
    <w:p w:rsidR="001C55F3" w:rsidRPr="00F629D0" w:rsidRDefault="001C55F3" w:rsidP="001C55F3">
      <w:pPr>
        <w:autoSpaceDE w:val="0"/>
        <w:autoSpaceDN w:val="0"/>
        <w:adjustRightInd w:val="0"/>
        <w:spacing w:after="0"/>
        <w:jc w:val="center"/>
        <w:rPr>
          <w:sz w:val="20"/>
          <w:szCs w:val="20"/>
        </w:rPr>
      </w:pPr>
      <w:r w:rsidRPr="00F629D0">
        <w:rPr>
          <w:sz w:val="20"/>
          <w:szCs w:val="20"/>
        </w:rPr>
        <w:t>Figure 2: Regulating ES map</w:t>
      </w:r>
    </w:p>
    <w:p w:rsidR="001C55F3" w:rsidRDefault="001C55F3" w:rsidP="001C55F3">
      <w:pPr>
        <w:spacing w:after="0"/>
        <w:jc w:val="center"/>
        <w:rPr>
          <w:rFonts w:eastAsiaTheme="majorEastAsia"/>
          <w:b/>
          <w:color w:val="4F81BD" w:themeColor="accent1"/>
        </w:rPr>
      </w:pPr>
      <w:r>
        <w:rPr>
          <w:rFonts w:ascii="Times New Roman" w:hAnsi="Times New Roman"/>
          <w:noProof/>
          <w:sz w:val="24"/>
          <w:szCs w:val="24"/>
          <w:lang w:val="fr-BE" w:eastAsia="fr-BE"/>
        </w:rPr>
        <w:drawing>
          <wp:inline distT="0" distB="0" distL="0" distR="0">
            <wp:extent cx="2895600" cy="1299382"/>
            <wp:effectExtent l="19050" t="19050" r="19050" b="15240"/>
            <wp:docPr id="44066"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Reg_small.jpg"/>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03513" cy="1302933"/>
                    </a:xfrm>
                    <a:prstGeom prst="rect">
                      <a:avLst/>
                    </a:prstGeom>
                    <a:ln>
                      <a:solidFill>
                        <a:schemeClr val="tx1"/>
                      </a:solidFill>
                    </a:ln>
                  </pic:spPr>
                </pic:pic>
              </a:graphicData>
            </a:graphic>
          </wp:inline>
        </w:drawing>
      </w:r>
    </w:p>
    <w:p w:rsidR="001C55F3" w:rsidRPr="00F629D0" w:rsidRDefault="001C55F3" w:rsidP="001C55F3">
      <w:pPr>
        <w:autoSpaceDE w:val="0"/>
        <w:autoSpaceDN w:val="0"/>
        <w:adjustRightInd w:val="0"/>
        <w:spacing w:after="0"/>
        <w:jc w:val="center"/>
        <w:rPr>
          <w:sz w:val="20"/>
          <w:szCs w:val="20"/>
        </w:rPr>
      </w:pPr>
      <w:r w:rsidRPr="00F629D0">
        <w:rPr>
          <w:sz w:val="20"/>
          <w:szCs w:val="20"/>
        </w:rPr>
        <w:t>Figure 3: Cultural ES map</w:t>
      </w:r>
    </w:p>
    <w:p w:rsidR="001C55F3" w:rsidRDefault="001C55F3" w:rsidP="001C55F3">
      <w:pPr>
        <w:spacing w:after="0"/>
        <w:jc w:val="center"/>
        <w:rPr>
          <w:rFonts w:eastAsiaTheme="majorEastAsia"/>
          <w:b/>
          <w:color w:val="4F81BD" w:themeColor="accent1"/>
        </w:rPr>
      </w:pPr>
      <w:r>
        <w:rPr>
          <w:rFonts w:ascii="Times New Roman" w:hAnsi="Times New Roman"/>
          <w:noProof/>
          <w:sz w:val="24"/>
          <w:szCs w:val="24"/>
          <w:lang w:val="fr-BE" w:eastAsia="fr-BE"/>
        </w:rPr>
        <w:drawing>
          <wp:inline distT="0" distB="0" distL="0" distR="0">
            <wp:extent cx="2907952" cy="1304925"/>
            <wp:effectExtent l="19050" t="19050" r="26035" b="9525"/>
            <wp:docPr id="44067"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ult_small.jpg"/>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20520" cy="1310565"/>
                    </a:xfrm>
                    <a:prstGeom prst="rect">
                      <a:avLst/>
                    </a:prstGeom>
                    <a:ln>
                      <a:solidFill>
                        <a:schemeClr val="tx1"/>
                      </a:solidFill>
                    </a:ln>
                  </pic:spPr>
                </pic:pic>
              </a:graphicData>
            </a:graphic>
          </wp:inline>
        </w:drawing>
      </w:r>
    </w:p>
    <w:p w:rsidR="001C55F3" w:rsidRDefault="001C55F3" w:rsidP="001C55F3">
      <w:pPr>
        <w:spacing w:after="0"/>
        <w:rPr>
          <w:rFonts w:eastAsiaTheme="majorEastAsia"/>
          <w:b/>
          <w:color w:val="4F81BD" w:themeColor="accent1"/>
        </w:rPr>
      </w:pPr>
    </w:p>
    <w:p w:rsidR="001C55F3" w:rsidRPr="005544D6" w:rsidRDefault="001C55F3" w:rsidP="001C55F3">
      <w:pPr>
        <w:spacing w:after="0"/>
        <w:rPr>
          <w:rFonts w:eastAsiaTheme="majorEastAsia"/>
          <w:b/>
          <w:u w:val="single"/>
        </w:rPr>
      </w:pPr>
      <w:r w:rsidRPr="005544D6">
        <w:rPr>
          <w:rFonts w:eastAsiaTheme="majorEastAsia"/>
          <w:b/>
          <w:u w:val="single"/>
        </w:rPr>
        <w:t>4.3</w:t>
      </w:r>
      <w:r w:rsidRPr="005544D6">
        <w:rPr>
          <w:rFonts w:eastAsiaTheme="majorEastAsia"/>
          <w:b/>
          <w:u w:val="single"/>
        </w:rPr>
        <w:tab/>
        <w:t>Produce Assessment of State and Trends</w:t>
      </w:r>
    </w:p>
    <w:p w:rsidR="001C55F3" w:rsidRPr="005F287C" w:rsidRDefault="001C55F3" w:rsidP="001C55F3">
      <w:pPr>
        <w:spacing w:after="0"/>
        <w:rPr>
          <w:rFonts w:eastAsiaTheme="majorEastAsia"/>
          <w:b/>
        </w:rPr>
      </w:pPr>
    </w:p>
    <w:p w:rsidR="001C55F3" w:rsidRPr="005F287C" w:rsidRDefault="001C55F3" w:rsidP="001C55F3">
      <w:pPr>
        <w:spacing w:after="0"/>
        <w:rPr>
          <w:rFonts w:eastAsiaTheme="majorEastAsia"/>
        </w:rPr>
      </w:pPr>
      <w:r w:rsidRPr="005F287C">
        <w:rPr>
          <w:rFonts w:eastAsiaTheme="majorEastAsia"/>
        </w:rPr>
        <w:t>The next step is obviously to produce, based on the analysis of the maps, background data, and contextual information, a National Ecosystem –Ecosystem Service Assessment report, in which the biophysical information is presented,  preferably in such a way that the analysis of social and economic value can be based on it.</w:t>
      </w:r>
    </w:p>
    <w:p w:rsidR="001C55F3" w:rsidRDefault="001C55F3" w:rsidP="001C55F3">
      <w:pPr>
        <w:spacing w:after="0"/>
        <w:rPr>
          <w:rFonts w:eastAsiaTheme="majorEastAsia"/>
          <w:b/>
          <w:color w:val="4F81BD" w:themeColor="accent1"/>
        </w:rPr>
      </w:pPr>
    </w:p>
    <w:p w:rsidR="001C55F3" w:rsidRPr="005F287C" w:rsidRDefault="001C55F3" w:rsidP="001C55F3">
      <w:pPr>
        <w:spacing w:after="0"/>
        <w:rPr>
          <w:rFonts w:eastAsiaTheme="majorEastAsia"/>
        </w:rPr>
      </w:pPr>
      <w:r w:rsidRPr="005F287C">
        <w:rPr>
          <w:rFonts w:eastAsiaTheme="majorEastAsia"/>
        </w:rPr>
        <w:t>The two examples represented in the MESEU project are the UK NEA and the Spanish MEA. A further example is the Portuguese MEA. In the Netherlands a series of TEEB studies have been published which bring much relevant information together for Target 2, but not yet in a NEA format (the DANK project must fill this gap).</w:t>
      </w:r>
    </w:p>
    <w:p w:rsidR="001C55F3" w:rsidRDefault="001C55F3" w:rsidP="001C55F3">
      <w:pPr>
        <w:spacing w:after="0"/>
        <w:rPr>
          <w:rFonts w:eastAsiaTheme="majorEastAsia"/>
          <w:b/>
          <w:color w:val="4F81BD" w:themeColor="accent1"/>
        </w:rPr>
      </w:pPr>
    </w:p>
    <w:p w:rsidR="001C55F3" w:rsidRPr="005544D6" w:rsidRDefault="001C55F3" w:rsidP="001C55F3">
      <w:pPr>
        <w:spacing w:after="0"/>
        <w:rPr>
          <w:rFonts w:eastAsiaTheme="majorEastAsia"/>
          <w:b/>
          <w:u w:val="single"/>
        </w:rPr>
      </w:pPr>
      <w:r w:rsidRPr="005544D6">
        <w:rPr>
          <w:rFonts w:eastAsiaTheme="majorEastAsia"/>
          <w:b/>
          <w:u w:val="single"/>
        </w:rPr>
        <w:t>4.4</w:t>
      </w:r>
      <w:r w:rsidRPr="005544D6">
        <w:rPr>
          <w:rFonts w:eastAsiaTheme="majorEastAsia"/>
          <w:b/>
          <w:u w:val="single"/>
        </w:rPr>
        <w:tab/>
        <w:t>Contribute to EU Ecosystem &amp; Ecosystem Service Maps</w:t>
      </w:r>
      <w:r w:rsidRPr="005544D6">
        <w:rPr>
          <w:rFonts w:eastAsiaTheme="majorEastAsia"/>
          <w:b/>
          <w:u w:val="single"/>
        </w:rPr>
        <w:tab/>
        <w:t xml:space="preserve"> and Atlas</w:t>
      </w:r>
    </w:p>
    <w:p w:rsidR="001C55F3" w:rsidRDefault="001C55F3" w:rsidP="001C55F3">
      <w:pPr>
        <w:spacing w:after="0"/>
        <w:rPr>
          <w:rFonts w:eastAsiaTheme="majorEastAsia"/>
          <w:b/>
          <w:color w:val="4F81BD" w:themeColor="accent1"/>
        </w:rPr>
      </w:pPr>
    </w:p>
    <w:p w:rsidR="001C55F3" w:rsidRPr="005F287C" w:rsidRDefault="001C55F3" w:rsidP="001C55F3">
      <w:pPr>
        <w:spacing w:after="0"/>
        <w:rPr>
          <w:rFonts w:eastAsiaTheme="majorEastAsia"/>
        </w:rPr>
      </w:pPr>
      <w:r w:rsidRPr="005F287C">
        <w:rPr>
          <w:rFonts w:eastAsiaTheme="majorEastAsia"/>
        </w:rPr>
        <w:t xml:space="preserve">When all Member states have produced their maps, integration of national maps into a European Atlas of ecosystems and services may be undertaken, based on CORINE, but adding detail per land use category. </w:t>
      </w:r>
    </w:p>
    <w:p w:rsidR="001C55F3" w:rsidRDefault="001C55F3">
      <w:pPr>
        <w:rPr>
          <w:rFonts w:eastAsiaTheme="majorEastAsia"/>
          <w:b/>
          <w:sz w:val="24"/>
          <w:szCs w:val="24"/>
        </w:rPr>
      </w:pPr>
      <w:r>
        <w:rPr>
          <w:rFonts w:eastAsiaTheme="majorEastAsia"/>
          <w:b/>
          <w:sz w:val="24"/>
          <w:szCs w:val="24"/>
        </w:rPr>
        <w:br w:type="page"/>
      </w:r>
    </w:p>
    <w:p w:rsidR="001C55F3" w:rsidRPr="00EB6790" w:rsidRDefault="001C55F3" w:rsidP="001C55F3">
      <w:pPr>
        <w:rPr>
          <w:rFonts w:eastAsiaTheme="majorEastAsia"/>
          <w:b/>
          <w:sz w:val="24"/>
          <w:szCs w:val="24"/>
        </w:rPr>
      </w:pPr>
      <w:r w:rsidRPr="00EB6790">
        <w:rPr>
          <w:rFonts w:eastAsiaTheme="majorEastAsia"/>
          <w:b/>
          <w:sz w:val="24"/>
          <w:szCs w:val="24"/>
        </w:rPr>
        <w:lastRenderedPageBreak/>
        <w:t>Step 5 Reporting</w:t>
      </w:r>
    </w:p>
    <w:p w:rsidR="001C55F3" w:rsidRDefault="001C55F3" w:rsidP="001C55F3">
      <w:pPr>
        <w:pStyle w:val="Titre6"/>
        <w:tabs>
          <w:tab w:val="left" w:pos="720"/>
        </w:tabs>
        <w:ind w:left="0" w:firstLine="0"/>
        <w:rPr>
          <w:rFonts w:asciiTheme="minorHAnsi" w:eastAsiaTheme="majorEastAsia" w:hAnsiTheme="minorHAnsi"/>
          <w:sz w:val="32"/>
          <w:szCs w:val="32"/>
        </w:rPr>
      </w:pPr>
    </w:p>
    <w:p w:rsidR="001C55F3" w:rsidRDefault="001C55F3" w:rsidP="001C55F3">
      <w:pPr>
        <w:pStyle w:val="Titre6"/>
        <w:tabs>
          <w:tab w:val="left" w:pos="720"/>
        </w:tabs>
        <w:ind w:left="0" w:firstLine="0"/>
        <w:jc w:val="center"/>
        <w:rPr>
          <w:rFonts w:asciiTheme="minorHAnsi" w:eastAsiaTheme="majorEastAsia" w:hAnsiTheme="minorHAnsi"/>
          <w:sz w:val="32"/>
          <w:szCs w:val="32"/>
        </w:rPr>
      </w:pPr>
      <w:r>
        <w:rPr>
          <w:rFonts w:asciiTheme="minorHAnsi" w:eastAsiaTheme="majorEastAsia" w:hAnsiTheme="minorHAnsi"/>
          <w:noProof/>
          <w:sz w:val="32"/>
          <w:szCs w:val="32"/>
          <w:lang w:val="fr-BE" w:eastAsia="fr-BE"/>
        </w:rPr>
        <w:drawing>
          <wp:inline distT="0" distB="0" distL="0" distR="0">
            <wp:extent cx="5257800" cy="3303505"/>
            <wp:effectExtent l="0" t="0" r="0" b="0"/>
            <wp:docPr id="44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8013" cy="3303639"/>
                    </a:xfrm>
                    <a:prstGeom prst="rect">
                      <a:avLst/>
                    </a:prstGeom>
                    <a:noFill/>
                    <a:ln>
                      <a:noFill/>
                    </a:ln>
                  </pic:spPr>
                </pic:pic>
              </a:graphicData>
            </a:graphic>
          </wp:inline>
        </w:drawing>
      </w:r>
    </w:p>
    <w:p w:rsidR="001C55F3" w:rsidRDefault="001C55F3" w:rsidP="001C55F3">
      <w:pPr>
        <w:spacing w:after="0" w:line="240" w:lineRule="auto"/>
        <w:rPr>
          <w:rFonts w:asciiTheme="majorHAnsi" w:eastAsiaTheme="majorEastAsia" w:hAnsiTheme="majorHAnsi" w:cstheme="majorBidi"/>
          <w:b/>
          <w:bCs/>
          <w:color w:val="365F91" w:themeColor="accent1" w:themeShade="BF"/>
          <w:sz w:val="40"/>
          <w:szCs w:val="40"/>
        </w:rPr>
      </w:pPr>
      <w:r>
        <w:rPr>
          <w:b/>
        </w:rPr>
        <w:t>Explanation:</w:t>
      </w:r>
    </w:p>
    <w:p w:rsidR="001C55F3" w:rsidRDefault="001C55F3" w:rsidP="001C55F3">
      <w:pPr>
        <w:pStyle w:val="Titre6"/>
        <w:tabs>
          <w:tab w:val="left" w:pos="720"/>
        </w:tabs>
        <w:ind w:left="0" w:firstLine="0"/>
        <w:rPr>
          <w:rFonts w:asciiTheme="minorHAnsi" w:eastAsiaTheme="majorEastAsia" w:hAnsiTheme="minorHAnsi"/>
          <w:sz w:val="22"/>
        </w:rPr>
      </w:pPr>
      <w:r w:rsidRPr="009651FD">
        <w:rPr>
          <w:rFonts w:asciiTheme="minorHAnsi" w:eastAsiaTheme="majorEastAsia" w:hAnsiTheme="minorHAnsi"/>
          <w:b w:val="0"/>
          <w:sz w:val="22"/>
        </w:rPr>
        <w:t xml:space="preserve">Depending on the specifications of Member states and DG ENV, the assessment is reported. If possible, material is </w:t>
      </w:r>
      <w:r>
        <w:rPr>
          <w:rFonts w:asciiTheme="minorHAnsi" w:eastAsiaTheme="majorEastAsia" w:hAnsiTheme="minorHAnsi"/>
          <w:b w:val="0"/>
          <w:sz w:val="22"/>
        </w:rPr>
        <w:t xml:space="preserve">made </w:t>
      </w:r>
      <w:r w:rsidRPr="009651FD">
        <w:rPr>
          <w:rFonts w:asciiTheme="minorHAnsi" w:eastAsiaTheme="majorEastAsia" w:hAnsiTheme="minorHAnsi"/>
          <w:b w:val="0"/>
          <w:sz w:val="22"/>
        </w:rPr>
        <w:t>available in digital format</w:t>
      </w:r>
      <w:r>
        <w:rPr>
          <w:rFonts w:asciiTheme="minorHAnsi" w:eastAsiaTheme="majorEastAsia" w:hAnsiTheme="minorHAnsi"/>
          <w:sz w:val="22"/>
        </w:rPr>
        <w:t xml:space="preserve">, </w:t>
      </w:r>
      <w:r w:rsidRPr="00EB6790">
        <w:rPr>
          <w:rFonts w:asciiTheme="minorHAnsi" w:eastAsiaTheme="majorEastAsia" w:hAnsiTheme="minorHAnsi"/>
          <w:b w:val="0"/>
          <w:sz w:val="22"/>
        </w:rPr>
        <w:t>and transferred to BISE</w:t>
      </w:r>
      <w:r>
        <w:rPr>
          <w:rFonts w:asciiTheme="minorHAnsi" w:eastAsiaTheme="majorEastAsia" w:hAnsiTheme="minorHAnsi"/>
          <w:sz w:val="22"/>
        </w:rPr>
        <w:t>.</w:t>
      </w:r>
    </w:p>
    <w:p w:rsidR="001C55F3" w:rsidRDefault="001C55F3" w:rsidP="001C55F3">
      <w:pPr>
        <w:pStyle w:val="Titre6"/>
        <w:tabs>
          <w:tab w:val="left" w:pos="720"/>
        </w:tabs>
        <w:ind w:left="0" w:firstLine="0"/>
        <w:rPr>
          <w:rFonts w:asciiTheme="minorHAnsi" w:eastAsiaTheme="majorEastAsia" w:hAnsiTheme="minorHAnsi"/>
          <w:sz w:val="32"/>
          <w:szCs w:val="32"/>
        </w:rPr>
      </w:pPr>
    </w:p>
    <w:p w:rsidR="001C55F3" w:rsidRDefault="001C55F3">
      <w:pPr>
        <w:rPr>
          <w:rFonts w:asciiTheme="majorHAnsi" w:eastAsiaTheme="majorEastAsia" w:hAnsiTheme="majorHAnsi" w:cstheme="majorBidi"/>
          <w:b/>
          <w:bCs/>
          <w:color w:val="4F81BD" w:themeColor="accent1"/>
          <w:sz w:val="26"/>
          <w:szCs w:val="26"/>
        </w:rPr>
      </w:pPr>
      <w:r>
        <w:br w:type="page"/>
      </w:r>
    </w:p>
    <w:p w:rsidR="001C55F3" w:rsidRPr="00164E77" w:rsidRDefault="001C55F3" w:rsidP="001C55F3">
      <w:pPr>
        <w:pStyle w:val="Titre2"/>
        <w:rPr>
          <w:sz w:val="32"/>
          <w:szCs w:val="32"/>
        </w:rPr>
      </w:pPr>
      <w:r w:rsidRPr="00164E77">
        <w:rPr>
          <w:sz w:val="32"/>
          <w:szCs w:val="32"/>
        </w:rPr>
        <w:lastRenderedPageBreak/>
        <w:t>4</w:t>
      </w:r>
      <w:r w:rsidRPr="00164E77">
        <w:rPr>
          <w:sz w:val="32"/>
          <w:szCs w:val="32"/>
        </w:rPr>
        <w:tab/>
        <w:t>CONCLUSION</w:t>
      </w:r>
    </w:p>
    <w:p w:rsidR="001C55F3" w:rsidRDefault="001C55F3" w:rsidP="001C55F3">
      <w:pPr>
        <w:pStyle w:val="Titre6"/>
        <w:tabs>
          <w:tab w:val="left" w:pos="720"/>
        </w:tabs>
        <w:ind w:left="0" w:firstLine="0"/>
        <w:rPr>
          <w:rFonts w:asciiTheme="minorHAnsi" w:eastAsiaTheme="majorEastAsia" w:hAnsiTheme="minorHAnsi"/>
          <w:b w:val="0"/>
          <w:sz w:val="22"/>
        </w:rPr>
      </w:pPr>
      <w:r>
        <w:rPr>
          <w:rFonts w:asciiTheme="minorHAnsi" w:eastAsiaTheme="majorEastAsia" w:hAnsiTheme="minorHAnsi"/>
          <w:b w:val="0"/>
          <w:sz w:val="22"/>
        </w:rPr>
        <w:t>A Guidance Document for Mapping must guide the intended users through the process of Mapping, in this case of Ecosystems and Ecosystem Services. The current version of the document provides a straightforward stepwise structure, which is based on the experience of people involved in the MESEU project, either as contractor, or as partner, or expert advisor. Through discussions in the past few years, beginning in fact with the preliminaries of the PRESS project in 2009, a logical sequence of steps has evolved, which is considered to have relevance in many, if not all mapping projects of ecosystems and their services.</w:t>
      </w:r>
    </w:p>
    <w:p w:rsidR="001C55F3" w:rsidRDefault="001C55F3" w:rsidP="001C55F3">
      <w:pPr>
        <w:spacing w:line="240" w:lineRule="auto"/>
      </w:pPr>
      <w:r>
        <w:t>One may have different approaches to processing each of the steps, dependent on the cultural setting, the expertise level of the mapping team, the access to data etc. The examples provided in this first version of the document for each of the steps are selected by the contractor and should be reviewed and amended to reflect a much wider basis of experience which can be helpful for users.</w:t>
      </w:r>
    </w:p>
    <w:p w:rsidR="001C55F3" w:rsidRDefault="001C55F3" w:rsidP="001C55F3">
      <w:pPr>
        <w:spacing w:line="240" w:lineRule="auto"/>
      </w:pPr>
      <w:r>
        <w:t xml:space="preserve">And of course the document should be tested in actual mapping activity, which is currently under discussion for the MAES process. </w:t>
      </w:r>
    </w:p>
    <w:p w:rsidR="001C55F3" w:rsidRDefault="001C55F3" w:rsidP="001C55F3">
      <w:pPr>
        <w:spacing w:line="240" w:lineRule="auto"/>
      </w:pPr>
      <w:r>
        <w:t>We would be very grateful for any suggestion which expands the basis from which guidance can be drawn and for any feedback from users that have tried the document and can tell us where to change and improve it.</w:t>
      </w:r>
    </w:p>
    <w:p w:rsidR="001C55F3" w:rsidRDefault="001C55F3" w:rsidP="001C55F3"/>
    <w:p w:rsidR="001C55F3" w:rsidRDefault="001C55F3" w:rsidP="001C55F3"/>
    <w:p w:rsidR="001C55F3" w:rsidRDefault="001C55F3" w:rsidP="001C55F3"/>
    <w:p w:rsidR="001C55F3" w:rsidRDefault="001C55F3">
      <w:r>
        <w:br w:type="page"/>
      </w:r>
    </w:p>
    <w:p w:rsidR="001C55F3" w:rsidRPr="00164E77" w:rsidRDefault="001C55F3" w:rsidP="001C55F3">
      <w:pPr>
        <w:pStyle w:val="Titre1"/>
        <w:rPr>
          <w:sz w:val="36"/>
          <w:szCs w:val="36"/>
        </w:rPr>
      </w:pPr>
      <w:r>
        <w:rPr>
          <w:sz w:val="36"/>
          <w:szCs w:val="36"/>
        </w:rPr>
        <w:lastRenderedPageBreak/>
        <w:t>REFERENCES</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b/>
        </w:rPr>
      </w:pPr>
      <w:r>
        <w:rPr>
          <w:rFonts w:cs="Univers"/>
        </w:rPr>
        <w:t xml:space="preserve">Crossman, N.D.  , B. Burkhard , S. Nedkov , L. Willemen , K. Petz , I. Palomo , E.G. Drakou , B. Martín-Lopez , T. McPhearson , K. Boyanova, R. Alkemade , B. Egoh , M.B. Dunbar and J. Maes (2013) </w:t>
      </w:r>
      <w:r>
        <w:rPr>
          <w:rFonts w:cs="Univers"/>
          <w:b/>
        </w:rPr>
        <w:t xml:space="preserve">A blueprint for mapping and modelling ecosystem services. </w:t>
      </w:r>
      <w:r>
        <w:rPr>
          <w:rFonts w:cs="Univers"/>
        </w:rPr>
        <w:t>Ecosystem Services, Vol 4, June 2013: 4-14</w:t>
      </w:r>
    </w:p>
    <w:p w:rsidR="001C55F3" w:rsidRDefault="001C55F3" w:rsidP="001C55F3">
      <w:pPr>
        <w:autoSpaceDE w:val="0"/>
        <w:autoSpaceDN w:val="0"/>
        <w:adjustRightInd w:val="0"/>
        <w:spacing w:after="0" w:line="240" w:lineRule="auto"/>
        <w:rPr>
          <w:rFonts w:cs="Univers"/>
        </w:rPr>
      </w:pPr>
      <w:r>
        <w:rPr>
          <w:rFonts w:cs="Univers"/>
          <w:b/>
        </w:rPr>
        <w:t>Ecosystem Services.</w:t>
      </w:r>
      <w:r>
        <w:rPr>
          <w:rFonts w:cs="Univers"/>
        </w:rPr>
        <w:t xml:space="preserve"> Vol 4, June 2013:82-94</w:t>
      </w:r>
    </w:p>
    <w:p w:rsidR="001C55F3" w:rsidRDefault="001C55F3" w:rsidP="001C55F3">
      <w:pPr>
        <w:autoSpaceDE w:val="0"/>
        <w:autoSpaceDN w:val="0"/>
        <w:adjustRightInd w:val="0"/>
        <w:spacing w:after="0" w:line="240" w:lineRule="auto"/>
        <w:rPr>
          <w:rFonts w:cs="Univers"/>
        </w:rPr>
      </w:pPr>
    </w:p>
    <w:p w:rsidR="001C55F3" w:rsidRPr="00602CEA" w:rsidRDefault="001C55F3" w:rsidP="001C55F3">
      <w:pPr>
        <w:pStyle w:val="Titre1"/>
        <w:spacing w:before="0"/>
        <w:rPr>
          <w:rFonts w:asciiTheme="minorHAnsi" w:hAnsiTheme="minorHAnsi"/>
          <w:i/>
          <w:color w:val="auto"/>
          <w:sz w:val="22"/>
          <w:szCs w:val="22"/>
        </w:rPr>
      </w:pPr>
      <w:r w:rsidRPr="002D440C">
        <w:rPr>
          <w:rFonts w:asciiTheme="minorHAnsi" w:hAnsiTheme="minorHAnsi"/>
          <w:b w:val="0"/>
          <w:color w:val="auto"/>
          <w:sz w:val="22"/>
          <w:szCs w:val="22"/>
        </w:rPr>
        <w:t xml:space="preserve">DG ENV (2011) </w:t>
      </w:r>
      <w:r w:rsidRPr="002D440C">
        <w:rPr>
          <w:rFonts w:asciiTheme="minorHAnsi" w:hAnsiTheme="minorHAnsi"/>
          <w:color w:val="auto"/>
          <w:sz w:val="22"/>
          <w:szCs w:val="22"/>
        </w:rPr>
        <w:t>EC guidance on undertaking non-energy extractive activities in accordance with Natura 2000 requirements (July 2010).</w:t>
      </w:r>
      <w:r w:rsidRPr="002D440C">
        <w:rPr>
          <w:rFonts w:asciiTheme="minorHAnsi" w:hAnsiTheme="minorHAnsi"/>
          <w:b w:val="0"/>
          <w:color w:val="auto"/>
          <w:sz w:val="22"/>
          <w:szCs w:val="22"/>
        </w:rPr>
        <w:t xml:space="preserve">EU, Brussels. </w:t>
      </w:r>
    </w:p>
    <w:p w:rsidR="001C55F3" w:rsidRDefault="001C55F3" w:rsidP="001C55F3">
      <w:pPr>
        <w:autoSpaceDE w:val="0"/>
        <w:autoSpaceDN w:val="0"/>
        <w:adjustRightInd w:val="0"/>
        <w:spacing w:after="0" w:line="240" w:lineRule="auto"/>
        <w:rPr>
          <w:rFonts w:cs="Gravur-CondensedBold"/>
          <w:b/>
          <w:bCs/>
        </w:rPr>
      </w:pPr>
    </w:p>
    <w:p w:rsidR="001C55F3" w:rsidRPr="000C359F" w:rsidRDefault="001C55F3" w:rsidP="001C55F3">
      <w:pPr>
        <w:autoSpaceDE w:val="0"/>
        <w:autoSpaceDN w:val="0"/>
        <w:adjustRightInd w:val="0"/>
        <w:spacing w:after="0" w:line="240" w:lineRule="auto"/>
        <w:rPr>
          <w:rFonts w:cs="Gravur-CondensedLight"/>
          <w:color w:val="616265"/>
        </w:rPr>
      </w:pPr>
      <w:r w:rsidRPr="000C359F">
        <w:rPr>
          <w:rFonts w:cs="Gravur-CondensedBold"/>
          <w:bCs/>
        </w:rPr>
        <w:t>GIZ (2012)</w:t>
      </w:r>
      <w:r w:rsidRPr="00FD5DFD">
        <w:rPr>
          <w:rFonts w:cs="Gravur-CondensedBold"/>
          <w:b/>
          <w:bCs/>
        </w:rPr>
        <w:t>Integrating Ecosystem Services into Development Planning</w:t>
      </w:r>
      <w:r w:rsidRPr="00FD5DFD">
        <w:rPr>
          <w:rFonts w:cs="Gravur-Condensed"/>
          <w:b/>
        </w:rPr>
        <w:t xml:space="preserve"> A stepwise approach for practitioners based on the TEEB approach. </w:t>
      </w:r>
      <w:r w:rsidRPr="000C359F">
        <w:rPr>
          <w:rFonts w:cs="Gravur-CondensedLight"/>
        </w:rPr>
        <w:t>Deutsche Gesellschaft für Internationale Zusammenarbeit (GIZ) GmbH</w:t>
      </w:r>
      <w:r w:rsidRPr="000C359F">
        <w:t xml:space="preserve"> (2012)</w:t>
      </w:r>
      <w:r>
        <w:t>, Bonn.</w:t>
      </w:r>
    </w:p>
    <w:p w:rsidR="001C55F3" w:rsidRDefault="001C55F3" w:rsidP="001C55F3">
      <w:pPr>
        <w:autoSpaceDE w:val="0"/>
        <w:autoSpaceDN w:val="0"/>
        <w:adjustRightInd w:val="0"/>
        <w:spacing w:after="0" w:line="240" w:lineRule="auto"/>
        <w:jc w:val="both"/>
        <w:rPr>
          <w:b/>
        </w:rPr>
      </w:pPr>
    </w:p>
    <w:p w:rsidR="001C55F3" w:rsidRPr="00916914" w:rsidRDefault="001C55F3" w:rsidP="001C55F3">
      <w:pPr>
        <w:autoSpaceDE w:val="0"/>
        <w:autoSpaceDN w:val="0"/>
        <w:adjustRightInd w:val="0"/>
        <w:spacing w:after="0" w:line="240" w:lineRule="auto"/>
        <w:rPr>
          <w:rFonts w:cs="Univers"/>
        </w:rPr>
      </w:pPr>
      <w:r w:rsidRPr="00916914">
        <w:rPr>
          <w:rFonts w:cs="Univers"/>
        </w:rPr>
        <w:t xml:space="preserve">Millennium Ecosystem Assessment (2010) </w:t>
      </w:r>
      <w:r w:rsidRPr="00916914">
        <w:rPr>
          <w:rFonts w:cs="Univers"/>
          <w:b/>
        </w:rPr>
        <w:t>Ecosystems and Human Well-Being: A Manual for Assessment Practitioners.</w:t>
      </w:r>
      <w:r w:rsidRPr="00916914">
        <w:rPr>
          <w:rFonts w:cs="Univers"/>
        </w:rPr>
        <w:t xml:space="preserve"> UNEP, Nairobi.</w:t>
      </w:r>
    </w:p>
    <w:p w:rsidR="001C55F3" w:rsidRDefault="001C55F3" w:rsidP="001C55F3">
      <w:pPr>
        <w:autoSpaceDE w:val="0"/>
        <w:autoSpaceDN w:val="0"/>
        <w:adjustRightInd w:val="0"/>
        <w:spacing w:after="0" w:line="240" w:lineRule="auto"/>
        <w:rPr>
          <w:rFonts w:cs="Univers"/>
        </w:rPr>
      </w:pPr>
    </w:p>
    <w:p w:rsidR="001C55F3" w:rsidRDefault="001C55F3" w:rsidP="001C55F3">
      <w:pPr>
        <w:autoSpaceDE w:val="0"/>
        <w:autoSpaceDN w:val="0"/>
        <w:adjustRightInd w:val="0"/>
        <w:spacing w:after="0" w:line="240" w:lineRule="auto"/>
        <w:rPr>
          <w:rFonts w:cs="Univers"/>
        </w:rPr>
      </w:pPr>
      <w:r>
        <w:rPr>
          <w:rFonts w:cs="Univers"/>
        </w:rPr>
        <w:t xml:space="preserve">TEEB-The Economics of Ecosystems and Biodiversity (2013) </w:t>
      </w:r>
      <w:r w:rsidRPr="00FD299A">
        <w:rPr>
          <w:rFonts w:cs="Univers"/>
          <w:b/>
        </w:rPr>
        <w:t>Guidance Manual for TEEB Country Studies. Version 1.0</w:t>
      </w:r>
      <w:r>
        <w:rPr>
          <w:rFonts w:cs="Univers"/>
        </w:rPr>
        <w:t>. UNEP, Geneva.</w:t>
      </w:r>
    </w:p>
    <w:p w:rsidR="001C55F3" w:rsidRDefault="001C55F3" w:rsidP="001C55F3">
      <w:pPr>
        <w:autoSpaceDE w:val="0"/>
        <w:autoSpaceDN w:val="0"/>
        <w:adjustRightInd w:val="0"/>
        <w:spacing w:after="0" w:line="240" w:lineRule="auto"/>
        <w:rPr>
          <w:rFonts w:cs="Univers"/>
        </w:rPr>
      </w:pPr>
    </w:p>
    <w:p w:rsidR="001C55F3" w:rsidRPr="004C0F61" w:rsidRDefault="001C55F3" w:rsidP="001C55F3">
      <w:pPr>
        <w:spacing w:line="240" w:lineRule="auto"/>
        <w:rPr>
          <w:rFonts w:eastAsia="Times New Roman" w:cs="Arial"/>
          <w:b/>
          <w:color w:val="0F0F0F"/>
          <w:lang w:eastAsia="es-ES"/>
        </w:rPr>
      </w:pPr>
    </w:p>
    <w:p w:rsidR="001C55F3" w:rsidRPr="00624E95" w:rsidRDefault="001C55F3" w:rsidP="001C55F3"/>
    <w:p w:rsidR="00E219EC" w:rsidRPr="00890020" w:rsidRDefault="00E219EC" w:rsidP="00890020">
      <w:pPr>
        <w:ind w:left="360"/>
        <w:rPr>
          <w:b/>
          <w:color w:val="4F81BD" w:themeColor="accent1"/>
          <w:sz w:val="24"/>
          <w:szCs w:val="24"/>
        </w:rPr>
      </w:pPr>
    </w:p>
    <w:sectPr w:rsidR="00E219EC" w:rsidRPr="00890020" w:rsidSect="00E92A8D">
      <w:headerReference w:type="default" r:id="rId178"/>
      <w:footerReference w:type="default" r:id="rId179"/>
      <w:type w:val="continuous"/>
      <w:pgSz w:w="11906" w:h="16838" w:code="9"/>
      <w:pgMar w:top="1418" w:right="1418"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22218" w:rsidRDefault="00622218" w:rsidP="0090040A">
      <w:pPr>
        <w:spacing w:after="0" w:line="240" w:lineRule="auto"/>
      </w:pPr>
      <w:r>
        <w:separator/>
      </w:r>
    </w:p>
  </w:endnote>
  <w:endnote w:type="continuationSeparator" w:id="1">
    <w:p w:rsidR="00622218" w:rsidRDefault="00622218" w:rsidP="0090040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2AF" w:usb1="29D77CFB" w:usb2="00000012" w:usb3="00000000" w:csb0="0008008D" w:csb1="00000000"/>
  </w:font>
  <w:font w:name="PMingLiU">
    <w:altName w:val="新細明體"/>
    <w:panose1 w:val="02020500000000000000"/>
    <w:charset w:val="88"/>
    <w:family w:val="roman"/>
    <w:pitch w:val="variable"/>
    <w:sig w:usb0="A00002FF" w:usb1="28CFFCFA" w:usb2="00000016" w:usb3="00000000" w:csb0="00100001" w:csb1="00000000"/>
  </w:font>
  <w:font w:name="Microsoft Sans Serif">
    <w:panose1 w:val="020B0604020202020204"/>
    <w:charset w:val="00"/>
    <w:family w:val="swiss"/>
    <w:pitch w:val="variable"/>
    <w:sig w:usb0="E1002AFF" w:usb1="C0000002" w:usb2="00000008" w:usb3="00000000" w:csb0="000101FF" w:csb1="00000000"/>
  </w:font>
  <w:font w:name="Univers">
    <w:altName w:val="Arial"/>
    <w:panose1 w:val="00000000000000000000"/>
    <w:charset w:val="00"/>
    <w:family w:val="swiss"/>
    <w:notTrueType/>
    <w:pitch w:val="default"/>
    <w:sig w:usb0="00000003" w:usb1="00000000" w:usb2="00000000" w:usb3="00000000" w:csb0="00000001" w:csb1="00000000"/>
  </w:font>
  <w:font w:name="Gravur-CondensedBold">
    <w:panose1 w:val="00000000000000000000"/>
    <w:charset w:val="00"/>
    <w:family w:val="swiss"/>
    <w:notTrueType/>
    <w:pitch w:val="default"/>
    <w:sig w:usb0="00000003" w:usb1="00000000" w:usb2="00000000" w:usb3="00000000" w:csb0="00000001" w:csb1="00000000"/>
  </w:font>
  <w:font w:name="Gravur-CondensedLight">
    <w:panose1 w:val="00000000000000000000"/>
    <w:charset w:val="00"/>
    <w:family w:val="swiss"/>
    <w:notTrueType/>
    <w:pitch w:val="default"/>
    <w:sig w:usb0="00000003" w:usb1="00000000" w:usb2="00000000" w:usb3="00000000" w:csb0="00000001" w:csb1="00000000"/>
  </w:font>
  <w:font w:name="Gravur-Condensed">
    <w:panose1 w:val="00000000000000000000"/>
    <w:charset w:val="00"/>
    <w:family w:val="swiss"/>
    <w:notTrueType/>
    <w:pitch w:val="default"/>
    <w:sig w:usb0="00000003" w:usb1="00000000" w:usb2="00000000" w:usb3="00000000" w:csb0="00000001" w:csb1="00000000"/>
  </w:font>
  <w:font w:name="EC Square Sans Cond Pro">
    <w:panose1 w:val="00000000000000000000"/>
    <w:charset w:val="00"/>
    <w:family w:val="swiss"/>
    <w:notTrueType/>
    <w:pitch w:val="default"/>
    <w:sig w:usb0="00000003" w:usb1="00000000" w:usb2="00000000" w:usb3="00000000" w:csb0="00000001" w:csb1="00000000"/>
  </w:font>
  <w:font w:name="TT2BDBO00">
    <w:panose1 w:val="00000000000000000000"/>
    <w:charset w:val="00"/>
    <w:family w:val="auto"/>
    <w:notTrueType/>
    <w:pitch w:val="default"/>
    <w:sig w:usb0="00000003" w:usb1="00000000" w:usb2="00000000" w:usb3="00000000" w:csb0="00000001" w:csb1="00000000"/>
  </w:font>
  <w:font w:name="MyriadPro-Regular">
    <w:altName w:val="Myriad Pro"/>
    <w:panose1 w:val="00000000000000000000"/>
    <w:charset w:val="00"/>
    <w:family w:val="auto"/>
    <w:notTrueType/>
    <w:pitch w:val="default"/>
    <w:sig w:usb0="00000003" w:usb1="00000000" w:usb2="00000000" w:usb3="00000000" w:csb0="00000001" w:csb1="00000000"/>
  </w:font>
  <w:font w:name="NewCicle-Fina">
    <w:altName w:val="Cambria"/>
    <w:panose1 w:val="00000000000000000000"/>
    <w:charset w:val="4D"/>
    <w:family w:val="swiss"/>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HelveticaNeue-Light">
    <w:panose1 w:val="00000000000000000000"/>
    <w:charset w:val="00"/>
    <w:family w:val="swiss"/>
    <w:notTrueType/>
    <w:pitch w:val="default"/>
    <w:sig w:usb0="00000003" w:usb1="00000000" w:usb2="00000000" w:usb3="00000000" w:csb0="00000001" w:csb1="00000000"/>
  </w:font>
  <w:font w:name="HelveticaNeue-LightItalic">
    <w:panose1 w:val="00000000000000000000"/>
    <w:charset w:val="00"/>
    <w:family w:val="roman"/>
    <w:notTrueType/>
    <w:pitch w:val="default"/>
    <w:sig w:usb0="00000003" w:usb1="00000000" w:usb2="00000000" w:usb3="00000000" w:csb0="00000001" w:csb1="00000000"/>
  </w:font>
  <w:font w:name="HelveticaNeue-Bold">
    <w:panose1 w:val="00000000000000000000"/>
    <w:charset w:val="00"/>
    <w:family w:val="swiss"/>
    <w:notTrueType/>
    <w:pitch w:val="default"/>
    <w:sig w:usb0="00000003" w:usb1="00000000" w:usb2="00000000" w:usb3="00000000" w:csb0="00000001" w:csb1="00000000"/>
  </w:font>
  <w:font w:name="Sabon-Roman">
    <w:panose1 w:val="00000000000000000000"/>
    <w:charset w:val="00"/>
    <w:family w:val="roman"/>
    <w:notTrueType/>
    <w:pitch w:val="default"/>
    <w:sig w:usb0="00000003" w:usb1="00000000" w:usb2="00000000" w:usb3="00000000" w:csb0="00000001" w:csb1="00000000"/>
  </w:font>
  <w:font w:name="EC Square Sans Cond Pro,Bold">
    <w:panose1 w:val="00000000000000000000"/>
    <w:charset w:val="00"/>
    <w:family w:val="swiss"/>
    <w:notTrueType/>
    <w:pitch w:val="default"/>
    <w:sig w:usb0="00000003" w:usb1="00000000" w:usb2="00000000" w:usb3="00000000" w:csb0="00000001" w:csb1="00000000"/>
  </w:font>
  <w:font w:name="GulliverRM">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55F3" w:rsidRDefault="001C55F3">
    <w:pPr>
      <w:pStyle w:val="Pieddepage"/>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Final Report Part 2: Task 1 31-10-2013</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sidRPr="0019789C">
      <w:rPr>
        <w:rFonts w:eastAsiaTheme="minorEastAsia"/>
      </w:rPr>
      <w:fldChar w:fldCharType="begin"/>
    </w:r>
    <w:r>
      <w:instrText xml:space="preserve"> PAGE   \* MERGEFORMAT </w:instrText>
    </w:r>
    <w:r w:rsidRPr="0019789C">
      <w:rPr>
        <w:rFonts w:eastAsiaTheme="minorEastAsia"/>
      </w:rPr>
      <w:fldChar w:fldCharType="separate"/>
    </w:r>
    <w:r w:rsidR="00661E74" w:rsidRPr="00661E74">
      <w:rPr>
        <w:rFonts w:asciiTheme="majorHAnsi" w:eastAsiaTheme="majorEastAsia" w:hAnsiTheme="majorHAnsi" w:cstheme="majorBidi"/>
        <w:noProof/>
      </w:rPr>
      <w:t>4</w:t>
    </w:r>
    <w:r>
      <w:rPr>
        <w:rFonts w:asciiTheme="majorHAnsi" w:eastAsiaTheme="majorEastAsia" w:hAnsiTheme="majorHAnsi" w:cstheme="majorBidi"/>
        <w:noProof/>
      </w:rPr>
      <w:fldChar w:fldCharType="end"/>
    </w:r>
  </w:p>
  <w:p w:rsidR="001C55F3" w:rsidRDefault="001C55F3">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3332164"/>
      <w:docPartObj>
        <w:docPartGallery w:val="Page Numbers (Bottom of Page)"/>
        <w:docPartUnique/>
      </w:docPartObj>
    </w:sdtPr>
    <w:sdtEndPr>
      <w:rPr>
        <w:noProof/>
      </w:rPr>
    </w:sdtEndPr>
    <w:sdtContent>
      <w:p w:rsidR="001C55F3" w:rsidRDefault="001C55F3" w:rsidP="001C55F3">
        <w:pPr>
          <w:pStyle w:val="Pieddepage"/>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Final Report Part 3: Task 2</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sidRPr="00DF0812">
          <w:rPr>
            <w:rFonts w:eastAsiaTheme="minorEastAsia"/>
          </w:rPr>
          <w:fldChar w:fldCharType="begin"/>
        </w:r>
        <w:r>
          <w:instrText xml:space="preserve"> PAGE   \* MERGEFORMAT </w:instrText>
        </w:r>
        <w:r w:rsidRPr="00DF0812">
          <w:rPr>
            <w:rFonts w:eastAsiaTheme="minorEastAsia"/>
          </w:rPr>
          <w:fldChar w:fldCharType="separate"/>
        </w:r>
        <w:r w:rsidRPr="001C55F3">
          <w:rPr>
            <w:rFonts w:asciiTheme="majorHAnsi" w:eastAsiaTheme="majorEastAsia" w:hAnsiTheme="majorHAnsi" w:cstheme="majorBidi"/>
            <w:noProof/>
          </w:rPr>
          <w:t>103</w:t>
        </w:r>
        <w:r>
          <w:rPr>
            <w:rFonts w:asciiTheme="majorHAnsi" w:eastAsiaTheme="majorEastAsia" w:hAnsiTheme="majorHAnsi" w:cstheme="majorBidi"/>
            <w:noProof/>
          </w:rPr>
          <w:fldChar w:fldCharType="end"/>
        </w:r>
      </w:p>
      <w:p w:rsidR="001C55F3" w:rsidRDefault="001C55F3" w:rsidP="001C55F3">
        <w:pPr>
          <w:pStyle w:val="Pieddepage"/>
        </w:pPr>
      </w:p>
      <w:p w:rsidR="001C55F3" w:rsidRDefault="001C55F3">
        <w:pPr>
          <w:pStyle w:val="Pieddepage"/>
          <w:jc w:val="center"/>
        </w:pPr>
      </w:p>
    </w:sdtContent>
  </w:sdt>
  <w:p w:rsidR="001C55F3" w:rsidRDefault="001C55F3">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55F3" w:rsidRDefault="001C55F3">
    <w:pPr>
      <w:pStyle w:val="Pieddepage"/>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Final Report 31-10-2013 Part 1 Introduction, summary and conclusions</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sidRPr="00AC6501">
      <w:rPr>
        <w:rFonts w:eastAsiaTheme="minorEastAsia"/>
      </w:rPr>
      <w:fldChar w:fldCharType="begin"/>
    </w:r>
    <w:r>
      <w:instrText xml:space="preserve"> PAGE   \* MERGEFORMAT </w:instrText>
    </w:r>
    <w:r w:rsidRPr="00AC6501">
      <w:rPr>
        <w:rFonts w:eastAsiaTheme="minorEastAsia"/>
      </w:rPr>
      <w:fldChar w:fldCharType="separate"/>
    </w:r>
    <w:r w:rsidRPr="001C55F3">
      <w:rPr>
        <w:rFonts w:asciiTheme="majorHAnsi" w:eastAsiaTheme="majorEastAsia" w:hAnsiTheme="majorHAnsi" w:cstheme="majorBidi"/>
        <w:noProof/>
      </w:rPr>
      <w:t>213</w:t>
    </w:r>
    <w:r>
      <w:rPr>
        <w:rFonts w:asciiTheme="majorHAnsi" w:eastAsiaTheme="majorEastAsia" w:hAnsiTheme="majorHAnsi" w:cstheme="majorBidi"/>
        <w:noProof/>
      </w:rPr>
      <w:fldChar w:fldCharType="end"/>
    </w:r>
  </w:p>
  <w:p w:rsidR="001C55F3" w:rsidRDefault="001C55F3">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22218" w:rsidRDefault="00622218" w:rsidP="0090040A">
      <w:pPr>
        <w:spacing w:after="0" w:line="240" w:lineRule="auto"/>
      </w:pPr>
      <w:r>
        <w:separator/>
      </w:r>
    </w:p>
  </w:footnote>
  <w:footnote w:type="continuationSeparator" w:id="1">
    <w:p w:rsidR="00622218" w:rsidRDefault="00622218" w:rsidP="0090040A">
      <w:pPr>
        <w:spacing w:after="0" w:line="240" w:lineRule="auto"/>
      </w:pPr>
      <w:r>
        <w:continuationSeparator/>
      </w:r>
    </w:p>
  </w:footnote>
  <w:footnote w:id="2">
    <w:p w:rsidR="001C55F3" w:rsidRPr="00DC3B22" w:rsidRDefault="001C55F3">
      <w:pPr>
        <w:pStyle w:val="Notedebasdepage"/>
      </w:pPr>
      <w:r>
        <w:rPr>
          <w:rStyle w:val="Appelnotedebasdep"/>
        </w:rPr>
        <w:footnoteRef/>
      </w:r>
      <w:r w:rsidRPr="00F970A6">
        <w:t>An analytical framework for ecosystem assessments under Action 5 of the EU Biodiversity Strategy to 2020; Discussion paper -</w:t>
      </w:r>
      <w:r>
        <w:t xml:space="preserve"> final</w:t>
      </w:r>
      <w:r w:rsidRPr="00F970A6">
        <w:t xml:space="preserve"> version </w:t>
      </w:r>
      <w:r>
        <w:t>April 2013; Maes et al., 2013</w:t>
      </w:r>
    </w:p>
  </w:footnote>
  <w:footnote w:id="3">
    <w:p w:rsidR="001C55F3" w:rsidRPr="00BE14DD" w:rsidRDefault="001C55F3" w:rsidP="001C55F3">
      <w:pPr>
        <w:pStyle w:val="Notedebasdepage"/>
        <w:rPr>
          <w:rFonts w:asciiTheme="minorHAnsi" w:hAnsiTheme="minorHAnsi"/>
        </w:rPr>
      </w:pPr>
      <w:r w:rsidRPr="00BE14DD">
        <w:rPr>
          <w:rStyle w:val="Appelnotedebasdep"/>
          <w:rFonts w:asciiTheme="minorHAnsi" w:hAnsiTheme="minorHAnsi"/>
        </w:rPr>
        <w:footnoteRef/>
      </w:r>
      <w:r w:rsidRPr="00BE14DD">
        <w:rPr>
          <w:rFonts w:asciiTheme="minorHAnsi" w:hAnsiTheme="minorHAnsi"/>
        </w:rPr>
        <w:t xml:space="preserve"> In this report the definition of the CBD is followed: "Biological diversity" means the variability among living organisms from all sources including, inter alia, terrestrial, marine and other aquatic ecosystems and the ecological complexes of which they are part; this includes diversity within species, between species and of ecosystems.</w:t>
      </w:r>
    </w:p>
  </w:footnote>
  <w:footnote w:id="4">
    <w:p w:rsidR="001C55F3" w:rsidRDefault="001C55F3" w:rsidP="001C55F3">
      <w:pPr>
        <w:pStyle w:val="Notedebasdepage"/>
      </w:pPr>
      <w:r>
        <w:rPr>
          <w:rStyle w:val="Appelnotedebasdep"/>
        </w:rPr>
        <w:footnoteRef/>
      </w:r>
      <w:hyperlink r:id="rId1" w:history="1">
        <w:r w:rsidRPr="0014683D">
          <w:rPr>
            <w:rStyle w:val="Lienhypertexte"/>
          </w:rPr>
          <w:t>http://www.eea.europa.eu/publications/technical_report_2007_11</w:t>
        </w:r>
      </w:hyperlink>
    </w:p>
  </w:footnote>
  <w:footnote w:id="5">
    <w:p w:rsidR="001C55F3" w:rsidRDefault="001C55F3" w:rsidP="001C55F3">
      <w:pPr>
        <w:pStyle w:val="Notedebasdepage"/>
      </w:pPr>
      <w:r>
        <w:rPr>
          <w:rStyle w:val="Appelnotedebasdep"/>
        </w:rPr>
        <w:footnoteRef/>
      </w:r>
      <w:r>
        <w:t xml:space="preserve"> Check latest status</w:t>
      </w:r>
    </w:p>
  </w:footnote>
  <w:footnote w:id="6">
    <w:p w:rsidR="001C55F3" w:rsidRDefault="001C55F3" w:rsidP="001C55F3">
      <w:pPr>
        <w:pStyle w:val="Notedebasdepage"/>
      </w:pPr>
      <w:r>
        <w:rPr>
          <w:rStyle w:val="Appelnotedebasdep"/>
        </w:rPr>
        <w:footnoteRef/>
      </w:r>
      <w:r>
        <w:t xml:space="preserve"> In the period 1998 - 2010 the report was published annually</w:t>
      </w:r>
    </w:p>
  </w:footnote>
  <w:footnote w:id="7">
    <w:p w:rsidR="001C55F3" w:rsidRPr="007F7FFD" w:rsidRDefault="001C55F3" w:rsidP="001C55F3">
      <w:pPr>
        <w:pStyle w:val="Notedebasdepage"/>
        <w:rPr>
          <w:lang w:val="fr-FR"/>
        </w:rPr>
      </w:pPr>
      <w:r>
        <w:rPr>
          <w:rStyle w:val="Appelnotedebasdep"/>
        </w:rPr>
        <w:footnoteRef/>
      </w:r>
      <w:r w:rsidRPr="007F7FFD">
        <w:rPr>
          <w:lang w:val="fr-FR"/>
        </w:rPr>
        <w:t xml:space="preserve"> Source: http://www.netwerkecologischemonitoring.nl/home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eastAsiaTheme="majorEastAsia" w:cstheme="minorHAnsi"/>
      </w:rPr>
      <w:alias w:val="Title"/>
      <w:id w:val="82666438"/>
      <w:placeholder/>
      <w:dataBinding w:prefixMappings="xmlns:ns0='http://schemas.openxmlformats.org/package/2006/metadata/core-properties' xmlns:ns1='http://purl.org/dc/elements/1.1/'" w:xpath="/ns0:coreProperties[1]/ns1:title[1]" w:storeItemID="{6C3C8BC8-F283-45AE-878A-BAB7291924A1}"/>
      <w:text/>
    </w:sdtPr>
    <w:sdtContent>
      <w:p w:rsidR="001C55F3" w:rsidRPr="0090040A" w:rsidRDefault="001C55F3">
        <w:pPr>
          <w:pStyle w:val="En-tte"/>
          <w:pBdr>
            <w:bottom w:val="thickThinSmallGap" w:sz="24" w:space="1" w:color="622423" w:themeColor="accent2" w:themeShade="7F"/>
          </w:pBdr>
          <w:jc w:val="center"/>
          <w:rPr>
            <w:rFonts w:eastAsiaTheme="majorEastAsia" w:cstheme="minorHAnsi"/>
          </w:rPr>
        </w:pPr>
        <w:r w:rsidRPr="0090040A">
          <w:rPr>
            <w:rFonts w:eastAsiaTheme="majorEastAsia" w:cstheme="minorHAnsi"/>
          </w:rPr>
          <w:t>Mapping of Ecosystems and their Services in the EU and its Member States</w:t>
        </w:r>
      </w:p>
    </w:sdtContent>
  </w:sdt>
  <w:p w:rsidR="001C55F3" w:rsidRDefault="001C55F3">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eastAsiaTheme="majorEastAsia" w:cstheme="minorHAnsi"/>
      </w:rPr>
      <w:alias w:val="Title"/>
      <w:id w:val="82666440"/>
      <w:dataBinding w:prefixMappings="xmlns:ns0='http://schemas.openxmlformats.org/package/2006/metadata/core-properties' xmlns:ns1='http://purl.org/dc/elements/1.1/'" w:xpath="/ns0:coreProperties[1]/ns1:title[1]" w:storeItemID="{6C3C8BC8-F283-45AE-878A-BAB7291924A1}"/>
      <w:text/>
    </w:sdtPr>
    <w:sdtContent>
      <w:p w:rsidR="001C55F3" w:rsidRDefault="001C55F3" w:rsidP="001C55F3">
        <w:pPr>
          <w:pStyle w:val="En-tte"/>
          <w:pBdr>
            <w:bottom w:val="thickThinSmallGap" w:sz="24" w:space="1" w:color="622423" w:themeColor="accent2" w:themeShade="7F"/>
          </w:pBdr>
          <w:jc w:val="center"/>
          <w:rPr>
            <w:rFonts w:asciiTheme="majorHAnsi" w:eastAsiaTheme="majorEastAsia" w:hAnsiTheme="majorHAnsi" w:cstheme="majorBidi"/>
            <w:sz w:val="32"/>
            <w:szCs w:val="32"/>
          </w:rPr>
        </w:pPr>
        <w:r w:rsidRPr="00C94B00">
          <w:rPr>
            <w:rFonts w:eastAsiaTheme="majorEastAsia" w:cstheme="minorHAnsi"/>
          </w:rPr>
          <w:t>Mapping of Ecosystems and their Services in the EU and its Member States</w:t>
        </w:r>
      </w:p>
    </w:sdtContent>
  </w:sdt>
  <w:p w:rsidR="001C55F3" w:rsidRDefault="001C55F3">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55F3" w:rsidRPr="0090040A" w:rsidRDefault="001C55F3">
    <w:pPr>
      <w:pStyle w:val="En-tte"/>
      <w:pBdr>
        <w:bottom w:val="thickThinSmallGap" w:sz="24" w:space="1" w:color="622423" w:themeColor="accent2" w:themeShade="7F"/>
      </w:pBdr>
      <w:jc w:val="center"/>
      <w:rPr>
        <w:rFonts w:eastAsiaTheme="majorEastAsia" w:cstheme="minorHAnsi"/>
      </w:rPr>
    </w:pPr>
    <w:r w:rsidRPr="0090040A">
      <w:rPr>
        <w:rFonts w:eastAsiaTheme="majorEastAsia" w:cstheme="minorHAnsi"/>
      </w:rPr>
      <w:t>Mapping of Ecosystems and their Services in the EU and its Member States</w:t>
    </w:r>
    <w:r>
      <w:rPr>
        <w:rFonts w:eastAsiaTheme="majorEastAsia" w:cstheme="minorHAnsi"/>
      </w:rPr>
    </w:r>
  </w:p>
  <w:p w:rsidR="001C55F3" w:rsidRDefault="001C55F3">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B32D2F"/>
    <w:multiLevelType w:val="hybridMultilevel"/>
    <w:tmpl w:val="7BB42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3005632"/>
    <w:multiLevelType w:val="hybridMultilevel"/>
    <w:tmpl w:val="EE1C506A"/>
    <w:lvl w:ilvl="0" w:tplc="C25CDC5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3EA5DFC"/>
    <w:multiLevelType w:val="multilevel"/>
    <w:tmpl w:val="99A49A26"/>
    <w:lvl w:ilvl="0">
      <w:start w:val="1"/>
      <w:numFmt w:val="decimal"/>
      <w:lvlText w:val="%1."/>
      <w:lvlJc w:val="left"/>
      <w:pPr>
        <w:ind w:left="360" w:hanging="360"/>
      </w:pPr>
      <w:rPr>
        <w:rFonts w:hint="default"/>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3">
    <w:nsid w:val="03F743D0"/>
    <w:multiLevelType w:val="hybridMultilevel"/>
    <w:tmpl w:val="DD3E3AFA"/>
    <w:lvl w:ilvl="0" w:tplc="228CC4B2">
      <w:start w:val="3"/>
      <w:numFmt w:val="bullet"/>
      <w:lvlText w:val="-"/>
      <w:lvlJc w:val="left"/>
      <w:pPr>
        <w:ind w:left="720" w:hanging="360"/>
      </w:pPr>
      <w:rPr>
        <w:rFonts w:ascii="Times New Roman" w:eastAsiaTheme="minorHAnsi" w:hAnsi="Times New Roman" w:cs="Times New Roman" w:hint="default"/>
        <w: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5E60AA4"/>
    <w:multiLevelType w:val="hybridMultilevel"/>
    <w:tmpl w:val="C4E04D34"/>
    <w:lvl w:ilvl="0" w:tplc="12A809E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6F179B0"/>
    <w:multiLevelType w:val="multilevel"/>
    <w:tmpl w:val="C11CCF68"/>
    <w:lvl w:ilvl="0">
      <w:start w:val="1"/>
      <w:numFmt w:val="decimal"/>
      <w:lvlText w:val="%1."/>
      <w:lvlJc w:val="left"/>
      <w:pPr>
        <w:ind w:left="1494" w:hanging="360"/>
      </w:pPr>
      <w:rPr>
        <w:rFonts w:hint="default"/>
      </w:rPr>
    </w:lvl>
    <w:lvl w:ilvl="1">
      <w:start w:val="1"/>
      <w:numFmt w:val="decimal"/>
      <w:isLgl/>
      <w:lvlText w:val="%1.%2"/>
      <w:lvlJc w:val="left"/>
      <w:pPr>
        <w:ind w:left="1494" w:hanging="360"/>
      </w:pPr>
      <w:rPr>
        <w:rFonts w:hint="default"/>
        <w:color w:val="4F81BD" w:themeColor="accent1"/>
      </w:rPr>
    </w:lvl>
    <w:lvl w:ilvl="2">
      <w:start w:val="1"/>
      <w:numFmt w:val="decimal"/>
      <w:isLgl/>
      <w:lvlText w:val="%1.%2.%3"/>
      <w:lvlJc w:val="left"/>
      <w:pPr>
        <w:ind w:left="1854" w:hanging="720"/>
      </w:pPr>
      <w:rPr>
        <w:rFonts w:hint="default"/>
        <w:color w:val="4F81BD" w:themeColor="accent1"/>
      </w:rPr>
    </w:lvl>
    <w:lvl w:ilvl="3">
      <w:start w:val="1"/>
      <w:numFmt w:val="decimal"/>
      <w:isLgl/>
      <w:lvlText w:val="%1.%2.%3.%4"/>
      <w:lvlJc w:val="left"/>
      <w:pPr>
        <w:ind w:left="1854" w:hanging="720"/>
      </w:pPr>
      <w:rPr>
        <w:rFonts w:hint="default"/>
        <w:color w:val="4F81BD" w:themeColor="accent1"/>
      </w:rPr>
    </w:lvl>
    <w:lvl w:ilvl="4">
      <w:start w:val="1"/>
      <w:numFmt w:val="decimal"/>
      <w:isLgl/>
      <w:lvlText w:val="%1.%2.%3.%4.%5"/>
      <w:lvlJc w:val="left"/>
      <w:pPr>
        <w:ind w:left="2214" w:hanging="1080"/>
      </w:pPr>
      <w:rPr>
        <w:rFonts w:hint="default"/>
        <w:color w:val="4F81BD" w:themeColor="accent1"/>
      </w:rPr>
    </w:lvl>
    <w:lvl w:ilvl="5">
      <w:start w:val="1"/>
      <w:numFmt w:val="decimal"/>
      <w:isLgl/>
      <w:lvlText w:val="%1.%2.%3.%4.%5.%6"/>
      <w:lvlJc w:val="left"/>
      <w:pPr>
        <w:ind w:left="2214" w:hanging="1080"/>
      </w:pPr>
      <w:rPr>
        <w:rFonts w:hint="default"/>
        <w:color w:val="4F81BD" w:themeColor="accent1"/>
      </w:rPr>
    </w:lvl>
    <w:lvl w:ilvl="6">
      <w:start w:val="1"/>
      <w:numFmt w:val="decimal"/>
      <w:isLgl/>
      <w:lvlText w:val="%1.%2.%3.%4.%5.%6.%7"/>
      <w:lvlJc w:val="left"/>
      <w:pPr>
        <w:ind w:left="2574" w:hanging="1440"/>
      </w:pPr>
      <w:rPr>
        <w:rFonts w:hint="default"/>
        <w:color w:val="4F81BD" w:themeColor="accent1"/>
      </w:rPr>
    </w:lvl>
    <w:lvl w:ilvl="7">
      <w:start w:val="1"/>
      <w:numFmt w:val="decimal"/>
      <w:isLgl/>
      <w:lvlText w:val="%1.%2.%3.%4.%5.%6.%7.%8"/>
      <w:lvlJc w:val="left"/>
      <w:pPr>
        <w:ind w:left="2574" w:hanging="1440"/>
      </w:pPr>
      <w:rPr>
        <w:rFonts w:hint="default"/>
        <w:color w:val="4F81BD" w:themeColor="accent1"/>
      </w:rPr>
    </w:lvl>
    <w:lvl w:ilvl="8">
      <w:start w:val="1"/>
      <w:numFmt w:val="decimal"/>
      <w:isLgl/>
      <w:lvlText w:val="%1.%2.%3.%4.%5.%6.%7.%8.%9"/>
      <w:lvlJc w:val="left"/>
      <w:pPr>
        <w:ind w:left="2934" w:hanging="1800"/>
      </w:pPr>
      <w:rPr>
        <w:rFonts w:hint="default"/>
        <w:color w:val="4F81BD" w:themeColor="accent1"/>
      </w:rPr>
    </w:lvl>
  </w:abstractNum>
  <w:abstractNum w:abstractNumId="6">
    <w:nsid w:val="06FC2DA5"/>
    <w:multiLevelType w:val="multilevel"/>
    <w:tmpl w:val="9A94B864"/>
    <w:lvl w:ilvl="0">
      <w:start w:val="4"/>
      <w:numFmt w:val="decimal"/>
      <w:lvlText w:val="%1."/>
      <w:lvlJc w:val="left"/>
      <w:pPr>
        <w:ind w:left="420" w:hanging="4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06FE79F0"/>
    <w:multiLevelType w:val="hybridMultilevel"/>
    <w:tmpl w:val="1AB04B1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78B0C7A"/>
    <w:multiLevelType w:val="hybridMultilevel"/>
    <w:tmpl w:val="974E03EE"/>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ACC7475"/>
    <w:multiLevelType w:val="hybridMultilevel"/>
    <w:tmpl w:val="CC1CF5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C694EE1"/>
    <w:multiLevelType w:val="hybridMultilevel"/>
    <w:tmpl w:val="B7082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E5F149F"/>
    <w:multiLevelType w:val="hybridMultilevel"/>
    <w:tmpl w:val="885A791C"/>
    <w:lvl w:ilvl="0" w:tplc="AD8683BA">
      <w:start w:val="5"/>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FFF4DCA"/>
    <w:multiLevelType w:val="hybridMultilevel"/>
    <w:tmpl w:val="EA742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1244A82"/>
    <w:multiLevelType w:val="singleLevel"/>
    <w:tmpl w:val="595EF8C4"/>
    <w:lvl w:ilvl="0">
      <w:start w:val="1"/>
      <w:numFmt w:val="bullet"/>
      <w:pStyle w:val="tabelkop"/>
      <w:lvlText w:val=""/>
      <w:legacy w:legacy="1" w:legacySpace="0" w:legacyIndent="283"/>
      <w:lvlJc w:val="left"/>
      <w:pPr>
        <w:ind w:left="283" w:hanging="283"/>
      </w:pPr>
      <w:rPr>
        <w:rFonts w:ascii="Symbol" w:hAnsi="Symbol" w:hint="default"/>
      </w:rPr>
    </w:lvl>
  </w:abstractNum>
  <w:abstractNum w:abstractNumId="14">
    <w:nsid w:val="119948A2"/>
    <w:multiLevelType w:val="hybridMultilevel"/>
    <w:tmpl w:val="462EA1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11FE6C10"/>
    <w:multiLevelType w:val="hybridMultilevel"/>
    <w:tmpl w:val="EF202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41B1517"/>
    <w:multiLevelType w:val="hybridMultilevel"/>
    <w:tmpl w:val="8A8EFD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43858B3"/>
    <w:multiLevelType w:val="multilevel"/>
    <w:tmpl w:val="0B4A5E54"/>
    <w:lvl w:ilvl="0">
      <w:start w:val="2"/>
      <w:numFmt w:val="decimal"/>
      <w:lvlText w:val="%1"/>
      <w:lvlJc w:val="left"/>
      <w:pPr>
        <w:ind w:left="372" w:hanging="37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8">
    <w:nsid w:val="14512BE8"/>
    <w:multiLevelType w:val="multilevel"/>
    <w:tmpl w:val="B7F6DCE6"/>
    <w:lvl w:ilvl="0">
      <w:start w:val="1"/>
      <w:numFmt w:val="decimal"/>
      <w:lvlText w:val="%1."/>
      <w:lvlJc w:val="left"/>
      <w:pPr>
        <w:ind w:left="720" w:hanging="360"/>
      </w:pPr>
      <w:rPr>
        <w:rFonts w:hint="default"/>
      </w:rPr>
    </w:lvl>
    <w:lvl w:ilvl="1">
      <w:start w:val="3"/>
      <w:numFmt w:val="decimal"/>
      <w:isLgl/>
      <w:lvlText w:val="%1.%2."/>
      <w:lvlJc w:val="left"/>
      <w:pPr>
        <w:ind w:left="864" w:hanging="504"/>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152B50A6"/>
    <w:multiLevelType w:val="hybridMultilevel"/>
    <w:tmpl w:val="E8E40850"/>
    <w:lvl w:ilvl="0" w:tplc="142A06BE">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nsid w:val="174B417F"/>
    <w:multiLevelType w:val="hybridMultilevel"/>
    <w:tmpl w:val="B2E200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18966755"/>
    <w:multiLevelType w:val="hybridMultilevel"/>
    <w:tmpl w:val="0BAE74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1978371B"/>
    <w:multiLevelType w:val="multilevel"/>
    <w:tmpl w:val="55DA10BE"/>
    <w:lvl w:ilvl="0">
      <w:start w:val="1"/>
      <w:numFmt w:val="decimal"/>
      <w:lvlText w:val="%1."/>
      <w:lvlJc w:val="left"/>
      <w:pPr>
        <w:ind w:left="720" w:hanging="360"/>
      </w:pPr>
    </w:lvl>
    <w:lvl w:ilvl="1">
      <w:start w:val="4"/>
      <w:numFmt w:val="decimal"/>
      <w:isLgl/>
      <w:lvlText w:val="%1.%2."/>
      <w:lvlJc w:val="left"/>
      <w:pPr>
        <w:ind w:left="1080" w:hanging="720"/>
      </w:pPr>
      <w:rPr>
        <w:rFonts w:asciiTheme="minorHAnsi" w:eastAsiaTheme="minorHAnsi" w:hAnsiTheme="minorHAnsi" w:cstheme="minorBidi" w:hint="default"/>
        <w:b w:val="0"/>
        <w:color w:val="auto"/>
        <w:sz w:val="22"/>
      </w:rPr>
    </w:lvl>
    <w:lvl w:ilvl="2">
      <w:start w:val="1"/>
      <w:numFmt w:val="decimal"/>
      <w:isLgl/>
      <w:lvlText w:val="%1.%2.%3."/>
      <w:lvlJc w:val="left"/>
      <w:pPr>
        <w:ind w:left="1440" w:hanging="1080"/>
      </w:pPr>
      <w:rPr>
        <w:rFonts w:asciiTheme="minorHAnsi" w:eastAsiaTheme="minorHAnsi" w:hAnsiTheme="minorHAnsi" w:cstheme="minorBidi" w:hint="default"/>
        <w:b w:val="0"/>
        <w:color w:val="auto"/>
        <w:sz w:val="22"/>
      </w:rPr>
    </w:lvl>
    <w:lvl w:ilvl="3">
      <w:start w:val="1"/>
      <w:numFmt w:val="decimal"/>
      <w:isLgl/>
      <w:lvlText w:val="%1.%2.%3.%4."/>
      <w:lvlJc w:val="left"/>
      <w:pPr>
        <w:ind w:left="1800" w:hanging="1440"/>
      </w:pPr>
      <w:rPr>
        <w:rFonts w:asciiTheme="minorHAnsi" w:eastAsiaTheme="minorHAnsi" w:hAnsiTheme="minorHAnsi" w:cstheme="minorBidi" w:hint="default"/>
        <w:b w:val="0"/>
        <w:color w:val="auto"/>
        <w:sz w:val="22"/>
      </w:rPr>
    </w:lvl>
    <w:lvl w:ilvl="4">
      <w:start w:val="1"/>
      <w:numFmt w:val="decimal"/>
      <w:isLgl/>
      <w:lvlText w:val="%1.%2.%3.%4.%5."/>
      <w:lvlJc w:val="left"/>
      <w:pPr>
        <w:ind w:left="2160" w:hanging="1800"/>
      </w:pPr>
      <w:rPr>
        <w:rFonts w:asciiTheme="minorHAnsi" w:eastAsiaTheme="minorHAnsi" w:hAnsiTheme="minorHAnsi" w:cstheme="minorBidi" w:hint="default"/>
        <w:b w:val="0"/>
        <w:color w:val="auto"/>
        <w:sz w:val="22"/>
      </w:rPr>
    </w:lvl>
    <w:lvl w:ilvl="5">
      <w:start w:val="1"/>
      <w:numFmt w:val="decimal"/>
      <w:isLgl/>
      <w:lvlText w:val="%1.%2.%3.%4.%5.%6."/>
      <w:lvlJc w:val="left"/>
      <w:pPr>
        <w:ind w:left="2520" w:hanging="2160"/>
      </w:pPr>
      <w:rPr>
        <w:rFonts w:asciiTheme="minorHAnsi" w:eastAsiaTheme="minorHAnsi" w:hAnsiTheme="minorHAnsi" w:cstheme="minorBidi" w:hint="default"/>
        <w:b w:val="0"/>
        <w:color w:val="auto"/>
        <w:sz w:val="22"/>
      </w:rPr>
    </w:lvl>
    <w:lvl w:ilvl="6">
      <w:start w:val="1"/>
      <w:numFmt w:val="decimal"/>
      <w:isLgl/>
      <w:lvlText w:val="%1.%2.%3.%4.%5.%6.%7."/>
      <w:lvlJc w:val="left"/>
      <w:pPr>
        <w:ind w:left="2880" w:hanging="2520"/>
      </w:pPr>
      <w:rPr>
        <w:rFonts w:asciiTheme="minorHAnsi" w:eastAsiaTheme="minorHAnsi" w:hAnsiTheme="minorHAnsi" w:cstheme="minorBidi" w:hint="default"/>
        <w:b w:val="0"/>
        <w:color w:val="auto"/>
        <w:sz w:val="22"/>
      </w:rPr>
    </w:lvl>
    <w:lvl w:ilvl="7">
      <w:start w:val="1"/>
      <w:numFmt w:val="decimal"/>
      <w:isLgl/>
      <w:lvlText w:val="%1.%2.%3.%4.%5.%6.%7.%8."/>
      <w:lvlJc w:val="left"/>
      <w:pPr>
        <w:ind w:left="3240" w:hanging="2880"/>
      </w:pPr>
      <w:rPr>
        <w:rFonts w:asciiTheme="minorHAnsi" w:eastAsiaTheme="minorHAnsi" w:hAnsiTheme="minorHAnsi" w:cstheme="minorBidi" w:hint="default"/>
        <w:b w:val="0"/>
        <w:color w:val="auto"/>
        <w:sz w:val="22"/>
      </w:rPr>
    </w:lvl>
    <w:lvl w:ilvl="8">
      <w:start w:val="1"/>
      <w:numFmt w:val="decimal"/>
      <w:isLgl/>
      <w:lvlText w:val="%1.%2.%3.%4.%5.%6.%7.%8.%9."/>
      <w:lvlJc w:val="left"/>
      <w:pPr>
        <w:ind w:left="3600" w:hanging="3240"/>
      </w:pPr>
      <w:rPr>
        <w:rFonts w:asciiTheme="minorHAnsi" w:eastAsiaTheme="minorHAnsi" w:hAnsiTheme="minorHAnsi" w:cstheme="minorBidi" w:hint="default"/>
        <w:b w:val="0"/>
        <w:color w:val="auto"/>
        <w:sz w:val="22"/>
      </w:rPr>
    </w:lvl>
  </w:abstractNum>
  <w:abstractNum w:abstractNumId="23">
    <w:nsid w:val="198E2216"/>
    <w:multiLevelType w:val="hybridMultilevel"/>
    <w:tmpl w:val="C2860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1A707B32"/>
    <w:multiLevelType w:val="hybridMultilevel"/>
    <w:tmpl w:val="07BC31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1DC3769F"/>
    <w:multiLevelType w:val="hybridMultilevel"/>
    <w:tmpl w:val="CA8CF9D2"/>
    <w:lvl w:ilvl="0" w:tplc="D89EE2D6">
      <w:start w:val="1"/>
      <w:numFmt w:val="upp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1DF905F6"/>
    <w:multiLevelType w:val="hybridMultilevel"/>
    <w:tmpl w:val="9AA663B2"/>
    <w:lvl w:ilvl="0" w:tplc="C9CC4E00">
      <w:start w:val="1"/>
      <w:numFmt w:val="decimal"/>
      <w:lvlText w:val="%1."/>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1DFB4D61"/>
    <w:multiLevelType w:val="hybridMultilevel"/>
    <w:tmpl w:val="715EB9F8"/>
    <w:lvl w:ilvl="0" w:tplc="E5A222C2">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1F35750D"/>
    <w:multiLevelType w:val="hybridMultilevel"/>
    <w:tmpl w:val="A9DCDA50"/>
    <w:lvl w:ilvl="0" w:tplc="04EA06FC">
      <w:start w:val="1"/>
      <w:numFmt w:val="bullet"/>
      <w:pStyle w:val="NormalWeb"/>
      <w:lvlText w:val=""/>
      <w:lvlJc w:val="left"/>
      <w:pPr>
        <w:tabs>
          <w:tab w:val="num" w:pos="284"/>
        </w:tabs>
        <w:ind w:left="284" w:hanging="284"/>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nsid w:val="1FB47678"/>
    <w:multiLevelType w:val="hybridMultilevel"/>
    <w:tmpl w:val="6EFE8AF4"/>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nsid w:val="204F39E2"/>
    <w:multiLevelType w:val="hybridMultilevel"/>
    <w:tmpl w:val="B23C1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20D71413"/>
    <w:multiLevelType w:val="hybridMultilevel"/>
    <w:tmpl w:val="85EE8564"/>
    <w:lvl w:ilvl="0" w:tplc="2BCC950E">
      <w:start w:val="4"/>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21712796"/>
    <w:multiLevelType w:val="multilevel"/>
    <w:tmpl w:val="CA303F4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nsid w:val="21C5432A"/>
    <w:multiLevelType w:val="hybridMultilevel"/>
    <w:tmpl w:val="AF18B1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224B4591"/>
    <w:multiLevelType w:val="hybridMultilevel"/>
    <w:tmpl w:val="511E511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nsid w:val="22C053FC"/>
    <w:multiLevelType w:val="hybridMultilevel"/>
    <w:tmpl w:val="52F274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22E568FE"/>
    <w:multiLevelType w:val="multilevel"/>
    <w:tmpl w:val="080C001F"/>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23AC2644"/>
    <w:multiLevelType w:val="hybridMultilevel"/>
    <w:tmpl w:val="81D69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24C30E51"/>
    <w:multiLevelType w:val="hybridMultilevel"/>
    <w:tmpl w:val="CBB09F1A"/>
    <w:lvl w:ilvl="0" w:tplc="E5A222C2">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28A33768"/>
    <w:multiLevelType w:val="multilevel"/>
    <w:tmpl w:val="AD6456EC"/>
    <w:lvl w:ilvl="0">
      <w:start w:val="1"/>
      <w:numFmt w:val="decimal"/>
      <w:lvlText w:val="%1."/>
      <w:lvlJc w:val="left"/>
      <w:pPr>
        <w:ind w:left="360" w:hanging="360"/>
      </w:pPr>
      <w:rPr>
        <w:rFonts w:hint="default"/>
      </w:rPr>
    </w:lvl>
    <w:lvl w:ilvl="1">
      <w:start w:val="4"/>
      <w:numFmt w:val="decimal"/>
      <w:isLgl/>
      <w:lvlText w:val="%1.%2"/>
      <w:lvlJc w:val="left"/>
      <w:pPr>
        <w:ind w:left="90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880" w:hanging="1800"/>
      </w:pPr>
      <w:rPr>
        <w:rFonts w:hint="default"/>
      </w:rPr>
    </w:lvl>
    <w:lvl w:ilvl="7">
      <w:start w:val="1"/>
      <w:numFmt w:val="decimal"/>
      <w:isLgl/>
      <w:lvlText w:val="%1.%2.%3.%4.%5.%6.%7.%8"/>
      <w:lvlJc w:val="left"/>
      <w:pPr>
        <w:ind w:left="3420" w:hanging="2160"/>
      </w:pPr>
      <w:rPr>
        <w:rFonts w:hint="default"/>
      </w:rPr>
    </w:lvl>
    <w:lvl w:ilvl="8">
      <w:start w:val="1"/>
      <w:numFmt w:val="decimal"/>
      <w:isLgl/>
      <w:lvlText w:val="%1.%2.%3.%4.%5.%6.%7.%8.%9"/>
      <w:lvlJc w:val="left"/>
      <w:pPr>
        <w:ind w:left="3600" w:hanging="2160"/>
      </w:pPr>
      <w:rPr>
        <w:rFonts w:hint="default"/>
      </w:rPr>
    </w:lvl>
  </w:abstractNum>
  <w:abstractNum w:abstractNumId="40">
    <w:nsid w:val="2A041B14"/>
    <w:multiLevelType w:val="hybridMultilevel"/>
    <w:tmpl w:val="1234C4C8"/>
    <w:lvl w:ilvl="0" w:tplc="0809000F">
      <w:start w:val="1"/>
      <w:numFmt w:val="decimal"/>
      <w:lvlText w:val="%1."/>
      <w:lvlJc w:val="left"/>
      <w:pPr>
        <w:ind w:left="720" w:hanging="360"/>
      </w:pPr>
      <w:rPr>
        <w:rFonts w:hint="default"/>
      </w:rPr>
    </w:lvl>
    <w:lvl w:ilvl="1" w:tplc="12A809E2">
      <w:numFmt w:val="bullet"/>
      <w:lvlText w:val="-"/>
      <w:lvlJc w:val="left"/>
      <w:pPr>
        <w:ind w:left="1440" w:hanging="360"/>
      </w:pPr>
      <w:rPr>
        <w:rFonts w:ascii="Verdana" w:eastAsiaTheme="minorHAnsi" w:hAnsi="Verdana" w:cstheme="minorBidi"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2C5C0736"/>
    <w:multiLevelType w:val="hybridMultilevel"/>
    <w:tmpl w:val="728CE67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2C9F7A49"/>
    <w:multiLevelType w:val="multilevel"/>
    <w:tmpl w:val="297CCA16"/>
    <w:lvl w:ilvl="0">
      <w:start w:val="1"/>
      <w:numFmt w:val="decimal"/>
      <w:lvlText w:val="%1."/>
      <w:lvlJc w:val="left"/>
      <w:pPr>
        <w:ind w:left="720" w:hanging="360"/>
      </w:pPr>
      <w:rPr>
        <w:rFonts w:asciiTheme="minorHAnsi" w:eastAsiaTheme="minorHAnsi" w:hAnsiTheme="minorHAnsi" w:cstheme="minorBidi" w:hint="default"/>
        <w:b w:val="0"/>
        <w:i w:val="0"/>
        <w:sz w:val="22"/>
      </w:rPr>
    </w:lvl>
    <w:lvl w:ilvl="1">
      <w:start w:val="1"/>
      <w:numFmt w:val="decimal"/>
      <w:lvlText w:val="%2."/>
      <w:lvlJc w:val="left"/>
      <w:pPr>
        <w:ind w:left="900" w:hanging="54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1800" w:hanging="1440"/>
      </w:pPr>
    </w:lvl>
  </w:abstractNum>
  <w:abstractNum w:abstractNumId="43">
    <w:nsid w:val="2DEE3821"/>
    <w:multiLevelType w:val="hybridMultilevel"/>
    <w:tmpl w:val="1CB217A2"/>
    <w:lvl w:ilvl="0" w:tplc="BA549EA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2E5772F8"/>
    <w:multiLevelType w:val="hybridMultilevel"/>
    <w:tmpl w:val="E52EB40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2FC14C5A"/>
    <w:multiLevelType w:val="multilevel"/>
    <w:tmpl w:val="974E0A46"/>
    <w:lvl w:ilvl="0">
      <w:start w:val="3"/>
      <w:numFmt w:val="decimal"/>
      <w:lvlText w:val="%1"/>
      <w:lvlJc w:val="left"/>
      <w:pPr>
        <w:ind w:left="396" w:hanging="39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6">
    <w:nsid w:val="2FCD01E9"/>
    <w:multiLevelType w:val="hybridMultilevel"/>
    <w:tmpl w:val="00703E90"/>
    <w:lvl w:ilvl="0" w:tplc="12A809E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30612692"/>
    <w:multiLevelType w:val="hybridMultilevel"/>
    <w:tmpl w:val="EDA4348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30A97EE6"/>
    <w:multiLevelType w:val="multilevel"/>
    <w:tmpl w:val="6B80900E"/>
    <w:lvl w:ilvl="0">
      <w:start w:val="1"/>
      <w:numFmt w:val="decimal"/>
      <w:lvlText w:val="%1."/>
      <w:lvlJc w:val="left"/>
      <w:pPr>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9">
    <w:nsid w:val="32B46F95"/>
    <w:multiLevelType w:val="hybridMultilevel"/>
    <w:tmpl w:val="FDF07E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nsid w:val="33E510C4"/>
    <w:multiLevelType w:val="hybridMultilevel"/>
    <w:tmpl w:val="D90632BE"/>
    <w:lvl w:ilvl="0" w:tplc="496E6B9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nsid w:val="34555EFB"/>
    <w:multiLevelType w:val="hybridMultilevel"/>
    <w:tmpl w:val="A97ECA3C"/>
    <w:lvl w:ilvl="0" w:tplc="8A3E181E">
      <w:start w:val="1"/>
      <w:numFmt w:val="decimal"/>
      <w:lvlText w:val="%1."/>
      <w:lvlJc w:val="left"/>
      <w:pPr>
        <w:ind w:left="72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nsid w:val="35D319B2"/>
    <w:multiLevelType w:val="hybridMultilevel"/>
    <w:tmpl w:val="9CC25284"/>
    <w:lvl w:ilvl="0" w:tplc="3C8AE820">
      <w:start w:val="1"/>
      <w:numFmt w:val="decimal"/>
      <w:lvlText w:val="%1."/>
      <w:lvlJc w:val="left"/>
      <w:pPr>
        <w:ind w:left="720" w:hanging="360"/>
      </w:pPr>
      <w:rPr>
        <w:rFonts w:hint="default"/>
        <w:color w:val="4F81BD" w:themeColor="accent1"/>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nsid w:val="377835DF"/>
    <w:multiLevelType w:val="hybridMultilevel"/>
    <w:tmpl w:val="AD82FD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385848B7"/>
    <w:multiLevelType w:val="hybridMultilevel"/>
    <w:tmpl w:val="AE384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388A4F66"/>
    <w:multiLevelType w:val="hybridMultilevel"/>
    <w:tmpl w:val="76062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38DD3EFD"/>
    <w:multiLevelType w:val="hybridMultilevel"/>
    <w:tmpl w:val="527838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7">
    <w:nsid w:val="392173EA"/>
    <w:multiLevelType w:val="hybridMultilevel"/>
    <w:tmpl w:val="D744D7FE"/>
    <w:lvl w:ilvl="0" w:tplc="C7B2707A">
      <w:start w:val="4"/>
      <w:numFmt w:val="bullet"/>
      <w:lvlText w:val=""/>
      <w:lvlJc w:val="left"/>
      <w:pPr>
        <w:ind w:left="720" w:hanging="360"/>
      </w:pPr>
      <w:rPr>
        <w:rFonts w:ascii="Wingdings" w:eastAsiaTheme="majorEastAsia"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3926382A"/>
    <w:multiLevelType w:val="hybridMultilevel"/>
    <w:tmpl w:val="3D6E06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nsid w:val="398F51BF"/>
    <w:multiLevelType w:val="hybridMultilevel"/>
    <w:tmpl w:val="FB023A92"/>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nsid w:val="39CC02E6"/>
    <w:multiLevelType w:val="hybridMultilevel"/>
    <w:tmpl w:val="E06C41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3A977500"/>
    <w:multiLevelType w:val="hybridMultilevel"/>
    <w:tmpl w:val="975E5D9C"/>
    <w:lvl w:ilvl="0" w:tplc="080C0019">
      <w:start w:val="1"/>
      <w:numFmt w:val="lowerLetter"/>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62">
    <w:nsid w:val="3AE46C8B"/>
    <w:multiLevelType w:val="hybridMultilevel"/>
    <w:tmpl w:val="B2D29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nsid w:val="3B696E66"/>
    <w:multiLevelType w:val="multilevel"/>
    <w:tmpl w:val="492222F0"/>
    <w:lvl w:ilvl="0">
      <w:start w:val="1"/>
      <w:numFmt w:val="decimal"/>
      <w:lvlText w:val="%1."/>
      <w:lvlJc w:val="left"/>
      <w:pPr>
        <w:ind w:left="720" w:hanging="360"/>
      </w:pPr>
      <w:rPr>
        <w:rFonts w:asciiTheme="minorHAnsi" w:eastAsiaTheme="minorHAnsi" w:hAnsiTheme="minorHAnsi" w:cstheme="minorBidi" w:hint="default"/>
        <w:b w:val="0"/>
        <w:i w:val="0"/>
        <w:sz w:val="22"/>
      </w:rPr>
    </w:lvl>
    <w:lvl w:ilvl="1">
      <w:start w:val="1"/>
      <w:numFmt w:val="decimal"/>
      <w:lvlText w:val="%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4">
    <w:nsid w:val="3B987ED6"/>
    <w:multiLevelType w:val="hybridMultilevel"/>
    <w:tmpl w:val="5130F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3C7E7CB4"/>
    <w:multiLevelType w:val="multilevel"/>
    <w:tmpl w:val="942262B8"/>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nsid w:val="3E0511A7"/>
    <w:multiLevelType w:val="multilevel"/>
    <w:tmpl w:val="E790081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7">
    <w:nsid w:val="400966C2"/>
    <w:multiLevelType w:val="multilevel"/>
    <w:tmpl w:val="E806D8E2"/>
    <w:lvl w:ilvl="0">
      <w:start w:val="3"/>
      <w:numFmt w:val="decimal"/>
      <w:lvlText w:val="%1"/>
      <w:lvlJc w:val="left"/>
      <w:pPr>
        <w:ind w:left="396" w:hanging="39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8">
    <w:nsid w:val="40331D44"/>
    <w:multiLevelType w:val="multilevel"/>
    <w:tmpl w:val="E348CD76"/>
    <w:lvl w:ilvl="0">
      <w:start w:val="6"/>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9">
    <w:nsid w:val="408B4EB2"/>
    <w:multiLevelType w:val="hybridMultilevel"/>
    <w:tmpl w:val="9A621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nsid w:val="416D4208"/>
    <w:multiLevelType w:val="hybridMultilevel"/>
    <w:tmpl w:val="E188DEF0"/>
    <w:lvl w:ilvl="0" w:tplc="0C070001">
      <w:start w:val="1"/>
      <w:numFmt w:val="bullet"/>
      <w:lvlText w:val=""/>
      <w:lvlJc w:val="left"/>
      <w:pPr>
        <w:ind w:left="1429" w:hanging="360"/>
      </w:pPr>
      <w:rPr>
        <w:rFonts w:ascii="Symbol" w:hAnsi="Symbol" w:hint="default"/>
      </w:rPr>
    </w:lvl>
    <w:lvl w:ilvl="1" w:tplc="0C070003" w:tentative="1">
      <w:start w:val="1"/>
      <w:numFmt w:val="bullet"/>
      <w:lvlText w:val="o"/>
      <w:lvlJc w:val="left"/>
      <w:pPr>
        <w:ind w:left="2149" w:hanging="360"/>
      </w:pPr>
      <w:rPr>
        <w:rFonts w:ascii="Courier New" w:hAnsi="Courier New" w:cs="Courier New" w:hint="default"/>
      </w:rPr>
    </w:lvl>
    <w:lvl w:ilvl="2" w:tplc="0C070005" w:tentative="1">
      <w:start w:val="1"/>
      <w:numFmt w:val="bullet"/>
      <w:lvlText w:val=""/>
      <w:lvlJc w:val="left"/>
      <w:pPr>
        <w:ind w:left="2869" w:hanging="360"/>
      </w:pPr>
      <w:rPr>
        <w:rFonts w:ascii="Wingdings" w:hAnsi="Wingdings" w:hint="default"/>
      </w:rPr>
    </w:lvl>
    <w:lvl w:ilvl="3" w:tplc="0C070001" w:tentative="1">
      <w:start w:val="1"/>
      <w:numFmt w:val="bullet"/>
      <w:lvlText w:val=""/>
      <w:lvlJc w:val="left"/>
      <w:pPr>
        <w:ind w:left="3589" w:hanging="360"/>
      </w:pPr>
      <w:rPr>
        <w:rFonts w:ascii="Symbol" w:hAnsi="Symbol" w:hint="default"/>
      </w:rPr>
    </w:lvl>
    <w:lvl w:ilvl="4" w:tplc="0C070003" w:tentative="1">
      <w:start w:val="1"/>
      <w:numFmt w:val="bullet"/>
      <w:lvlText w:val="o"/>
      <w:lvlJc w:val="left"/>
      <w:pPr>
        <w:ind w:left="4309" w:hanging="360"/>
      </w:pPr>
      <w:rPr>
        <w:rFonts w:ascii="Courier New" w:hAnsi="Courier New" w:cs="Courier New" w:hint="default"/>
      </w:rPr>
    </w:lvl>
    <w:lvl w:ilvl="5" w:tplc="0C070005" w:tentative="1">
      <w:start w:val="1"/>
      <w:numFmt w:val="bullet"/>
      <w:lvlText w:val=""/>
      <w:lvlJc w:val="left"/>
      <w:pPr>
        <w:ind w:left="5029" w:hanging="360"/>
      </w:pPr>
      <w:rPr>
        <w:rFonts w:ascii="Wingdings" w:hAnsi="Wingdings" w:hint="default"/>
      </w:rPr>
    </w:lvl>
    <w:lvl w:ilvl="6" w:tplc="0C070001" w:tentative="1">
      <w:start w:val="1"/>
      <w:numFmt w:val="bullet"/>
      <w:lvlText w:val=""/>
      <w:lvlJc w:val="left"/>
      <w:pPr>
        <w:ind w:left="5749" w:hanging="360"/>
      </w:pPr>
      <w:rPr>
        <w:rFonts w:ascii="Symbol" w:hAnsi="Symbol" w:hint="default"/>
      </w:rPr>
    </w:lvl>
    <w:lvl w:ilvl="7" w:tplc="0C070003" w:tentative="1">
      <w:start w:val="1"/>
      <w:numFmt w:val="bullet"/>
      <w:lvlText w:val="o"/>
      <w:lvlJc w:val="left"/>
      <w:pPr>
        <w:ind w:left="6469" w:hanging="360"/>
      </w:pPr>
      <w:rPr>
        <w:rFonts w:ascii="Courier New" w:hAnsi="Courier New" w:cs="Courier New" w:hint="default"/>
      </w:rPr>
    </w:lvl>
    <w:lvl w:ilvl="8" w:tplc="0C070005" w:tentative="1">
      <w:start w:val="1"/>
      <w:numFmt w:val="bullet"/>
      <w:lvlText w:val=""/>
      <w:lvlJc w:val="left"/>
      <w:pPr>
        <w:ind w:left="7189" w:hanging="360"/>
      </w:pPr>
      <w:rPr>
        <w:rFonts w:ascii="Wingdings" w:hAnsi="Wingdings" w:hint="default"/>
      </w:rPr>
    </w:lvl>
  </w:abstractNum>
  <w:abstractNum w:abstractNumId="71">
    <w:nsid w:val="4753082D"/>
    <w:multiLevelType w:val="multilevel"/>
    <w:tmpl w:val="96A6F4EC"/>
    <w:lvl w:ilvl="0">
      <w:start w:val="2"/>
      <w:numFmt w:val="decimal"/>
      <w:lvlText w:val="%1"/>
      <w:lvlJc w:val="left"/>
      <w:pPr>
        <w:ind w:left="516" w:hanging="516"/>
      </w:pPr>
      <w:rPr>
        <w:rFonts w:hint="default"/>
      </w:rPr>
    </w:lvl>
    <w:lvl w:ilvl="1">
      <w:start w:val="1"/>
      <w:numFmt w:val="decimal"/>
      <w:lvlText w:val="%1.%2"/>
      <w:lvlJc w:val="left"/>
      <w:pPr>
        <w:ind w:left="1440" w:hanging="720"/>
      </w:pPr>
      <w:rPr>
        <w:rFonts w:hint="default"/>
      </w:rPr>
    </w:lvl>
    <w:lvl w:ilvl="2">
      <w:start w:val="1"/>
      <w:numFmt w:val="lowerLetter"/>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72">
    <w:nsid w:val="488D0D05"/>
    <w:multiLevelType w:val="hybridMultilevel"/>
    <w:tmpl w:val="5266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nsid w:val="48936F8A"/>
    <w:multiLevelType w:val="hybridMultilevel"/>
    <w:tmpl w:val="8524287E"/>
    <w:lvl w:ilvl="0" w:tplc="E5A222C2">
      <w:start w:val="1"/>
      <w:numFmt w:val="bullet"/>
      <w:lvlText w:val=""/>
      <w:lvlJc w:val="left"/>
      <w:pPr>
        <w:ind w:left="1440" w:hanging="360"/>
      </w:pPr>
      <w:rPr>
        <w:rFonts w:ascii="Symbol" w:hAnsi="Symbol" w:hint="default"/>
        <w:color w:val="0070C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4">
    <w:nsid w:val="49B90CC6"/>
    <w:multiLevelType w:val="multilevel"/>
    <w:tmpl w:val="53CADE2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4F81BD" w:themeColor="accent1"/>
        <w:sz w:val="26"/>
      </w:rPr>
    </w:lvl>
    <w:lvl w:ilvl="2">
      <w:start w:val="1"/>
      <w:numFmt w:val="decimal"/>
      <w:isLgl/>
      <w:lvlText w:val="%1.%2.%3"/>
      <w:lvlJc w:val="left"/>
      <w:pPr>
        <w:ind w:left="1080" w:hanging="720"/>
      </w:pPr>
      <w:rPr>
        <w:rFonts w:hint="default"/>
        <w:color w:val="4F81BD" w:themeColor="accent1"/>
        <w:sz w:val="26"/>
      </w:rPr>
    </w:lvl>
    <w:lvl w:ilvl="3">
      <w:start w:val="1"/>
      <w:numFmt w:val="decimal"/>
      <w:isLgl/>
      <w:lvlText w:val="%1.%2.%3.%4"/>
      <w:lvlJc w:val="left"/>
      <w:pPr>
        <w:ind w:left="1440" w:hanging="1080"/>
      </w:pPr>
      <w:rPr>
        <w:rFonts w:hint="default"/>
        <w:color w:val="4F81BD" w:themeColor="accent1"/>
        <w:sz w:val="26"/>
      </w:rPr>
    </w:lvl>
    <w:lvl w:ilvl="4">
      <w:start w:val="1"/>
      <w:numFmt w:val="decimal"/>
      <w:isLgl/>
      <w:lvlText w:val="%1.%2.%3.%4.%5"/>
      <w:lvlJc w:val="left"/>
      <w:pPr>
        <w:ind w:left="1440" w:hanging="1080"/>
      </w:pPr>
      <w:rPr>
        <w:rFonts w:hint="default"/>
        <w:color w:val="4F81BD" w:themeColor="accent1"/>
        <w:sz w:val="26"/>
      </w:rPr>
    </w:lvl>
    <w:lvl w:ilvl="5">
      <w:start w:val="1"/>
      <w:numFmt w:val="decimal"/>
      <w:isLgl/>
      <w:lvlText w:val="%1.%2.%3.%4.%5.%6"/>
      <w:lvlJc w:val="left"/>
      <w:pPr>
        <w:ind w:left="1800" w:hanging="1440"/>
      </w:pPr>
      <w:rPr>
        <w:rFonts w:hint="default"/>
        <w:color w:val="4F81BD" w:themeColor="accent1"/>
        <w:sz w:val="26"/>
      </w:rPr>
    </w:lvl>
    <w:lvl w:ilvl="6">
      <w:start w:val="1"/>
      <w:numFmt w:val="decimal"/>
      <w:isLgl/>
      <w:lvlText w:val="%1.%2.%3.%4.%5.%6.%7"/>
      <w:lvlJc w:val="left"/>
      <w:pPr>
        <w:ind w:left="1800" w:hanging="1440"/>
      </w:pPr>
      <w:rPr>
        <w:rFonts w:hint="default"/>
        <w:color w:val="4F81BD" w:themeColor="accent1"/>
        <w:sz w:val="26"/>
      </w:rPr>
    </w:lvl>
    <w:lvl w:ilvl="7">
      <w:start w:val="1"/>
      <w:numFmt w:val="decimal"/>
      <w:isLgl/>
      <w:lvlText w:val="%1.%2.%3.%4.%5.%6.%7.%8"/>
      <w:lvlJc w:val="left"/>
      <w:pPr>
        <w:ind w:left="2160" w:hanging="1800"/>
      </w:pPr>
      <w:rPr>
        <w:rFonts w:hint="default"/>
        <w:color w:val="4F81BD" w:themeColor="accent1"/>
        <w:sz w:val="26"/>
      </w:rPr>
    </w:lvl>
    <w:lvl w:ilvl="8">
      <w:start w:val="1"/>
      <w:numFmt w:val="decimal"/>
      <w:isLgl/>
      <w:lvlText w:val="%1.%2.%3.%4.%5.%6.%7.%8.%9"/>
      <w:lvlJc w:val="left"/>
      <w:pPr>
        <w:ind w:left="2520" w:hanging="2160"/>
      </w:pPr>
      <w:rPr>
        <w:rFonts w:hint="default"/>
        <w:color w:val="4F81BD" w:themeColor="accent1"/>
        <w:sz w:val="26"/>
      </w:rPr>
    </w:lvl>
  </w:abstractNum>
  <w:abstractNum w:abstractNumId="75">
    <w:nsid w:val="49CC5495"/>
    <w:multiLevelType w:val="hybridMultilevel"/>
    <w:tmpl w:val="407077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nsid w:val="4A031D86"/>
    <w:multiLevelType w:val="multilevel"/>
    <w:tmpl w:val="A7306BF6"/>
    <w:lvl w:ilvl="0">
      <w:start w:val="2"/>
      <w:numFmt w:val="decimal"/>
      <w:lvlText w:val="%1"/>
      <w:lvlJc w:val="left"/>
      <w:pPr>
        <w:ind w:left="372" w:hanging="37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7">
    <w:nsid w:val="4AA854ED"/>
    <w:multiLevelType w:val="multilevel"/>
    <w:tmpl w:val="C5CCCE6E"/>
    <w:lvl w:ilvl="0">
      <w:start w:val="1"/>
      <w:numFmt w:val="decimal"/>
      <w:lvlText w:val="%1"/>
      <w:lvlJc w:val="left"/>
      <w:pPr>
        <w:ind w:left="372" w:hanging="37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78">
    <w:nsid w:val="4ACB219B"/>
    <w:multiLevelType w:val="multilevel"/>
    <w:tmpl w:val="C628A2F0"/>
    <w:lvl w:ilvl="0">
      <w:start w:val="1"/>
      <w:numFmt w:val="decimal"/>
      <w:lvlText w:val="%1."/>
      <w:lvlJc w:val="left"/>
      <w:pPr>
        <w:ind w:left="720" w:hanging="360"/>
      </w:pPr>
      <w:rPr>
        <w:rFonts w:hint="default"/>
      </w:rPr>
    </w:lvl>
    <w:lvl w:ilvl="1">
      <w:start w:val="4"/>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79">
    <w:nsid w:val="4E931FB3"/>
    <w:multiLevelType w:val="multilevel"/>
    <w:tmpl w:val="ABDA4D6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0">
    <w:nsid w:val="4EFF4CB0"/>
    <w:multiLevelType w:val="hybridMultilevel"/>
    <w:tmpl w:val="12FA6E52"/>
    <w:lvl w:ilvl="0" w:tplc="F8EACAE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nsid w:val="4FEE2710"/>
    <w:multiLevelType w:val="hybridMultilevel"/>
    <w:tmpl w:val="AD82FD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nsid w:val="50080029"/>
    <w:multiLevelType w:val="hybridMultilevel"/>
    <w:tmpl w:val="ABECF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nsid w:val="50187EED"/>
    <w:multiLevelType w:val="multilevel"/>
    <w:tmpl w:val="1E2AB9B2"/>
    <w:lvl w:ilvl="0">
      <w:start w:val="1"/>
      <w:numFmt w:val="decimal"/>
      <w:lvlText w:val="%1"/>
      <w:lvlJc w:val="left"/>
      <w:pPr>
        <w:ind w:left="588" w:hanging="588"/>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84">
    <w:nsid w:val="502A2C3C"/>
    <w:multiLevelType w:val="hybridMultilevel"/>
    <w:tmpl w:val="A6D2300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nsid w:val="515B453D"/>
    <w:multiLevelType w:val="hybridMultilevel"/>
    <w:tmpl w:val="31E8E21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
    <w:nsid w:val="51D22064"/>
    <w:multiLevelType w:val="hybridMultilevel"/>
    <w:tmpl w:val="BCC087E8"/>
    <w:lvl w:ilvl="0" w:tplc="C97670D2">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nsid w:val="562042C7"/>
    <w:multiLevelType w:val="hybridMultilevel"/>
    <w:tmpl w:val="2A182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nsid w:val="58033B3A"/>
    <w:multiLevelType w:val="hybridMultilevel"/>
    <w:tmpl w:val="B276E780"/>
    <w:lvl w:ilvl="0" w:tplc="06289912">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nsid w:val="5813066A"/>
    <w:multiLevelType w:val="hybridMultilevel"/>
    <w:tmpl w:val="4630149E"/>
    <w:lvl w:ilvl="0" w:tplc="12A809E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nsid w:val="5BCE3007"/>
    <w:multiLevelType w:val="hybridMultilevel"/>
    <w:tmpl w:val="85769B88"/>
    <w:lvl w:ilvl="0" w:tplc="0809000F">
      <w:start w:val="1"/>
      <w:numFmt w:val="decimal"/>
      <w:lvlText w:val="%1."/>
      <w:lvlJc w:val="left"/>
      <w:pPr>
        <w:ind w:left="720" w:hanging="360"/>
      </w:pPr>
      <w:rPr>
        <w:rFonts w:hint="default"/>
      </w:rPr>
    </w:lvl>
    <w:lvl w:ilvl="1" w:tplc="E5A222C2">
      <w:start w:val="1"/>
      <w:numFmt w:val="bullet"/>
      <w:lvlText w:val=""/>
      <w:lvlJc w:val="left"/>
      <w:pPr>
        <w:ind w:left="1440" w:hanging="360"/>
      </w:pPr>
      <w:rPr>
        <w:rFonts w:ascii="Symbol" w:hAnsi="Symbol" w:hint="default"/>
        <w:color w:val="0070C0"/>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nsid w:val="5C974547"/>
    <w:multiLevelType w:val="hybridMultilevel"/>
    <w:tmpl w:val="0AD83B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nsid w:val="5D9A26BE"/>
    <w:multiLevelType w:val="hybridMultilevel"/>
    <w:tmpl w:val="DB6AEFF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nsid w:val="5DAC64C3"/>
    <w:multiLevelType w:val="multilevel"/>
    <w:tmpl w:val="9666470A"/>
    <w:lvl w:ilvl="0">
      <w:start w:val="2"/>
      <w:numFmt w:val="decimal"/>
      <w:lvlText w:val="%1"/>
      <w:lvlJc w:val="left"/>
      <w:pPr>
        <w:ind w:left="372" w:hanging="37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4">
    <w:nsid w:val="5F852E0A"/>
    <w:multiLevelType w:val="hybridMultilevel"/>
    <w:tmpl w:val="F20E844C"/>
    <w:lvl w:ilvl="0" w:tplc="14BE15F6">
      <w:start w:val="1"/>
      <w:numFmt w:val="bullet"/>
      <w:lvlText w:val=""/>
      <w:lvlJc w:val="left"/>
      <w:pPr>
        <w:ind w:left="720" w:hanging="360"/>
      </w:pPr>
      <w:rPr>
        <w:rFonts w:ascii="Wingdings" w:eastAsiaTheme="majorEastAsia" w:hAnsi="Wingdings" w:cstheme="maj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nsid w:val="613862F5"/>
    <w:multiLevelType w:val="hybridMultilevel"/>
    <w:tmpl w:val="D22425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nsid w:val="639B0622"/>
    <w:multiLevelType w:val="multilevel"/>
    <w:tmpl w:val="7390C73C"/>
    <w:lvl w:ilvl="0">
      <w:start w:val="1"/>
      <w:numFmt w:val="decimal"/>
      <w:lvlText w:val="%1."/>
      <w:lvlJc w:val="left"/>
      <w:pPr>
        <w:ind w:left="720" w:hanging="360"/>
      </w:pPr>
      <w:rPr>
        <w:rFonts w:hint="default"/>
      </w:rPr>
    </w:lvl>
    <w:lvl w:ilvl="1">
      <w:start w:val="3"/>
      <w:numFmt w:val="decimal"/>
      <w:isLgl/>
      <w:lvlText w:val="%1.%2"/>
      <w:lvlJc w:val="left"/>
      <w:pPr>
        <w:ind w:left="840" w:hanging="48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7">
    <w:nsid w:val="63FC1723"/>
    <w:multiLevelType w:val="hybridMultilevel"/>
    <w:tmpl w:val="A8BEF5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nsid w:val="641B202E"/>
    <w:multiLevelType w:val="multilevel"/>
    <w:tmpl w:val="1C402C14"/>
    <w:lvl w:ilvl="0">
      <w:start w:val="1"/>
      <w:numFmt w:val="decimal"/>
      <w:lvlText w:val="%1."/>
      <w:lvlJc w:val="left"/>
      <w:pPr>
        <w:ind w:left="1080" w:hanging="360"/>
      </w:pPr>
      <w:rPr>
        <w:rFonts w:hint="default"/>
        <w:b/>
        <w:i/>
      </w:rPr>
    </w:lvl>
    <w:lvl w:ilvl="1">
      <w:start w:val="2"/>
      <w:numFmt w:val="decimal"/>
      <w:isLgl/>
      <w:lvlText w:val="%1.%2"/>
      <w:lvlJc w:val="left"/>
      <w:pPr>
        <w:ind w:left="1200" w:hanging="48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9">
    <w:nsid w:val="64945A34"/>
    <w:multiLevelType w:val="hybridMultilevel"/>
    <w:tmpl w:val="A90A69B2"/>
    <w:lvl w:ilvl="0" w:tplc="C8480C1A">
      <w:numFmt w:val="bullet"/>
      <w:lvlText w:val=""/>
      <w:lvlJc w:val="left"/>
      <w:pPr>
        <w:ind w:left="720" w:hanging="360"/>
      </w:pPr>
      <w:rPr>
        <w:rFonts w:ascii="Wingdings" w:eastAsiaTheme="minorHAnsi" w:hAnsi="Wingdings" w:cstheme="minorBidi" w:hint="default"/>
        <w:b w:val="0"/>
        <w:sz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nsid w:val="65B237FF"/>
    <w:multiLevelType w:val="hybridMultilevel"/>
    <w:tmpl w:val="D3367FC6"/>
    <w:lvl w:ilvl="0" w:tplc="08090001">
      <w:start w:val="1"/>
      <w:numFmt w:val="bullet"/>
      <w:lvlText w:val=""/>
      <w:lvlJc w:val="left"/>
      <w:pPr>
        <w:ind w:left="720" w:hanging="360"/>
      </w:pPr>
      <w:rPr>
        <w:rFonts w:ascii="Symbol" w:hAnsi="Symbol" w:hint="default"/>
        <w:b w:val="0"/>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nsid w:val="679E7122"/>
    <w:multiLevelType w:val="hybridMultilevel"/>
    <w:tmpl w:val="09321DE8"/>
    <w:lvl w:ilvl="0" w:tplc="C25CDC5A">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nsid w:val="68E90733"/>
    <w:multiLevelType w:val="hybridMultilevel"/>
    <w:tmpl w:val="1FE8821C"/>
    <w:lvl w:ilvl="0" w:tplc="5A280FF8">
      <w:start w:val="8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nsid w:val="699420C8"/>
    <w:multiLevelType w:val="hybridMultilevel"/>
    <w:tmpl w:val="025CF2D0"/>
    <w:lvl w:ilvl="0" w:tplc="08090001">
      <w:start w:val="1"/>
      <w:numFmt w:val="bullet"/>
      <w:lvlText w:val=""/>
      <w:lvlJc w:val="left"/>
      <w:pPr>
        <w:ind w:left="720" w:hanging="360"/>
      </w:pPr>
      <w:rPr>
        <w:rFonts w:ascii="Symbol" w:hAnsi="Symbol" w:hint="default"/>
      </w:rPr>
    </w:lvl>
    <w:lvl w:ilvl="1" w:tplc="CA18942A">
      <w:numFmt w:val="bullet"/>
      <w:lvlText w:val="•"/>
      <w:lvlJc w:val="left"/>
      <w:pPr>
        <w:ind w:left="1440" w:hanging="360"/>
      </w:pPr>
      <w:rPr>
        <w:rFonts w:ascii="Verdana" w:eastAsiaTheme="minorHAnsi" w:hAnsi="Verdana"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nsid w:val="69CA27D7"/>
    <w:multiLevelType w:val="hybridMultilevel"/>
    <w:tmpl w:val="2D7EA7F6"/>
    <w:lvl w:ilvl="0" w:tplc="1E9EF03E">
      <w:start w:val="1"/>
      <w:numFmt w:val="lowerRoman"/>
      <w:lvlText w:val="(%1)"/>
      <w:lvlJc w:val="left"/>
      <w:pPr>
        <w:ind w:left="1146" w:hanging="72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05">
    <w:nsid w:val="6A840D01"/>
    <w:multiLevelType w:val="multilevel"/>
    <w:tmpl w:val="0E7E6E94"/>
    <w:lvl w:ilvl="0">
      <w:start w:val="2"/>
      <w:numFmt w:val="decimal"/>
      <w:lvlText w:val="%1"/>
      <w:lvlJc w:val="left"/>
      <w:pPr>
        <w:ind w:left="372" w:hanging="372"/>
      </w:pPr>
      <w:rPr>
        <w:rFonts w:hint="default"/>
      </w:rPr>
    </w:lvl>
    <w:lvl w:ilvl="1">
      <w:start w:val="2"/>
      <w:numFmt w:val="decimal"/>
      <w:lvlText w:val="%1.%2"/>
      <w:lvlJc w:val="left"/>
      <w:pPr>
        <w:ind w:left="720" w:hanging="720"/>
      </w:pPr>
      <w:rPr>
        <w:rFonts w:hint="default"/>
      </w:rPr>
    </w:lvl>
    <w:lvl w:ilvl="2">
      <w:start w:val="1"/>
      <w:numFmt w:val="low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6">
    <w:nsid w:val="6BE75562"/>
    <w:multiLevelType w:val="multilevel"/>
    <w:tmpl w:val="A27607C2"/>
    <w:lvl w:ilvl="0">
      <w:start w:val="3"/>
      <w:numFmt w:val="decimal"/>
      <w:lvlText w:val="%1"/>
      <w:lvlJc w:val="left"/>
      <w:pPr>
        <w:ind w:left="372" w:hanging="372"/>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7">
    <w:nsid w:val="6D005BD2"/>
    <w:multiLevelType w:val="hybridMultilevel"/>
    <w:tmpl w:val="2160D8EA"/>
    <w:lvl w:ilvl="0" w:tplc="45E265F6">
      <w:start w:val="3"/>
      <w:numFmt w:val="bullet"/>
      <w:lvlText w:val=""/>
      <w:lvlJc w:val="left"/>
      <w:pPr>
        <w:ind w:left="405" w:hanging="360"/>
      </w:pPr>
      <w:rPr>
        <w:rFonts w:ascii="Wingdings" w:eastAsia="Times New Roman" w:hAnsi="Wingdings" w:cs="Times New Roman"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108">
    <w:nsid w:val="6D837FBE"/>
    <w:multiLevelType w:val="hybridMultilevel"/>
    <w:tmpl w:val="367CBB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nsid w:val="70B21ECA"/>
    <w:multiLevelType w:val="hybridMultilevel"/>
    <w:tmpl w:val="35F2EDC2"/>
    <w:lvl w:ilvl="0" w:tplc="C9CC4E00">
      <w:start w:val="1"/>
      <w:numFmt w:val="decimal"/>
      <w:lvlText w:val="%1."/>
      <w:lvlJc w:val="left"/>
      <w:pPr>
        <w:ind w:left="720" w:hanging="360"/>
      </w:pPr>
      <w:rPr>
        <w:rFonts w:ascii="Verdana" w:eastAsiaTheme="minorHAnsi" w:hAnsi="Verdana" w:cstheme="minorBid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nsid w:val="71E11BCE"/>
    <w:multiLevelType w:val="hybridMultilevel"/>
    <w:tmpl w:val="E9028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nsid w:val="721B4C96"/>
    <w:multiLevelType w:val="multilevel"/>
    <w:tmpl w:val="ED8492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2">
    <w:nsid w:val="73460338"/>
    <w:multiLevelType w:val="hybridMultilevel"/>
    <w:tmpl w:val="F62A74B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3">
    <w:nsid w:val="75405D26"/>
    <w:multiLevelType w:val="hybridMultilevel"/>
    <w:tmpl w:val="E6644216"/>
    <w:lvl w:ilvl="0" w:tplc="414C6C80">
      <w:numFmt w:val="bullet"/>
      <w:lvlText w:val="•"/>
      <w:lvlJc w:val="left"/>
      <w:pPr>
        <w:ind w:left="360" w:hanging="360"/>
      </w:pPr>
      <w:rPr>
        <w:rFonts w:ascii="Verdana" w:eastAsiaTheme="minorHAnsi" w:hAnsi="Verdana"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4">
    <w:nsid w:val="757C6A61"/>
    <w:multiLevelType w:val="hybridMultilevel"/>
    <w:tmpl w:val="3F96B9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nsid w:val="76295EAD"/>
    <w:multiLevelType w:val="hybridMultilevel"/>
    <w:tmpl w:val="B7D2A2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nsid w:val="770832CA"/>
    <w:multiLevelType w:val="hybridMultilevel"/>
    <w:tmpl w:val="422CE7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nsid w:val="7716661F"/>
    <w:multiLevelType w:val="multilevel"/>
    <w:tmpl w:val="ACD4E75C"/>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8">
    <w:nsid w:val="77425EFB"/>
    <w:multiLevelType w:val="hybridMultilevel"/>
    <w:tmpl w:val="3506A0A2"/>
    <w:lvl w:ilvl="0" w:tplc="0809000B">
      <w:start w:val="1"/>
      <w:numFmt w:val="bullet"/>
      <w:lvlText w:val=""/>
      <w:lvlJc w:val="left"/>
      <w:pPr>
        <w:ind w:left="360" w:hanging="360"/>
      </w:pPr>
      <w:rPr>
        <w:rFonts w:ascii="Wingdings" w:hAnsi="Wingdings" w:hint="default"/>
      </w:rPr>
    </w:lvl>
    <w:lvl w:ilvl="1" w:tplc="08090019">
      <w:start w:val="1"/>
      <w:numFmt w:val="lowerLetter"/>
      <w:lvlText w:val="%2."/>
      <w:lvlJc w:val="left"/>
      <w:pPr>
        <w:ind w:left="1080" w:hanging="360"/>
      </w:pPr>
      <w:rPr>
        <w:rFonts w:cs="Times New Roman"/>
      </w:rPr>
    </w:lvl>
    <w:lvl w:ilvl="2" w:tplc="0809001B">
      <w:start w:val="1"/>
      <w:numFmt w:val="lowerRoman"/>
      <w:lvlText w:val="%3."/>
      <w:lvlJc w:val="right"/>
      <w:pPr>
        <w:ind w:left="1800" w:hanging="180"/>
      </w:pPr>
      <w:rPr>
        <w:rFonts w:cs="Times New Roman"/>
      </w:rPr>
    </w:lvl>
    <w:lvl w:ilvl="3" w:tplc="567EB930">
      <w:start w:val="1"/>
      <w:numFmt w:val="decimal"/>
      <w:lvlText w:val="(%4)"/>
      <w:lvlJc w:val="left"/>
      <w:pPr>
        <w:ind w:left="5606" w:hanging="360"/>
      </w:pPr>
      <w:rPr>
        <w:rFonts w:hint="default"/>
      </w:rPr>
    </w:lvl>
    <w:lvl w:ilvl="4" w:tplc="08090001">
      <w:start w:val="1"/>
      <w:numFmt w:val="bullet"/>
      <w:lvlText w:val=""/>
      <w:lvlJc w:val="left"/>
      <w:pPr>
        <w:ind w:left="3240" w:hanging="360"/>
      </w:pPr>
      <w:rPr>
        <w:rFonts w:ascii="Symbol" w:hAnsi="Symbol" w:hint="default"/>
      </w:rPr>
    </w:lvl>
    <w:lvl w:ilvl="5" w:tplc="0809001B" w:tentative="1">
      <w:start w:val="1"/>
      <w:numFmt w:val="lowerRoman"/>
      <w:lvlText w:val="%6."/>
      <w:lvlJc w:val="right"/>
      <w:pPr>
        <w:ind w:left="3960" w:hanging="180"/>
      </w:pPr>
      <w:rPr>
        <w:rFonts w:cs="Times New Roman"/>
      </w:rPr>
    </w:lvl>
    <w:lvl w:ilvl="6" w:tplc="0809000F" w:tentative="1">
      <w:start w:val="1"/>
      <w:numFmt w:val="decimal"/>
      <w:lvlText w:val="%7."/>
      <w:lvlJc w:val="left"/>
      <w:pPr>
        <w:ind w:left="4680" w:hanging="360"/>
      </w:pPr>
      <w:rPr>
        <w:rFonts w:cs="Times New Roman"/>
      </w:rPr>
    </w:lvl>
    <w:lvl w:ilvl="7" w:tplc="08090019" w:tentative="1">
      <w:start w:val="1"/>
      <w:numFmt w:val="lowerLetter"/>
      <w:lvlText w:val="%8."/>
      <w:lvlJc w:val="left"/>
      <w:pPr>
        <w:ind w:left="5400" w:hanging="360"/>
      </w:pPr>
      <w:rPr>
        <w:rFonts w:cs="Times New Roman"/>
      </w:rPr>
    </w:lvl>
    <w:lvl w:ilvl="8" w:tplc="0809001B" w:tentative="1">
      <w:start w:val="1"/>
      <w:numFmt w:val="lowerRoman"/>
      <w:lvlText w:val="%9."/>
      <w:lvlJc w:val="right"/>
      <w:pPr>
        <w:ind w:left="6120" w:hanging="180"/>
      </w:pPr>
      <w:rPr>
        <w:rFonts w:cs="Times New Roman"/>
      </w:rPr>
    </w:lvl>
  </w:abstractNum>
  <w:abstractNum w:abstractNumId="119">
    <w:nsid w:val="791E3DAE"/>
    <w:multiLevelType w:val="hybridMultilevel"/>
    <w:tmpl w:val="06A8BB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nsid w:val="793833B4"/>
    <w:multiLevelType w:val="hybridMultilevel"/>
    <w:tmpl w:val="E3BE96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nsid w:val="79656B85"/>
    <w:multiLevelType w:val="hybridMultilevel"/>
    <w:tmpl w:val="B76052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nsid w:val="7A8A52CD"/>
    <w:multiLevelType w:val="hybridMultilevel"/>
    <w:tmpl w:val="47D2A01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nsid w:val="7B412CC6"/>
    <w:multiLevelType w:val="multilevel"/>
    <w:tmpl w:val="B04608D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4">
    <w:nsid w:val="7B6937FC"/>
    <w:multiLevelType w:val="hybridMultilevel"/>
    <w:tmpl w:val="128E4F28"/>
    <w:lvl w:ilvl="0" w:tplc="0C070001">
      <w:start w:val="1"/>
      <w:numFmt w:val="bullet"/>
      <w:lvlText w:val=""/>
      <w:lvlJc w:val="left"/>
      <w:pPr>
        <w:ind w:left="1429" w:hanging="360"/>
      </w:pPr>
      <w:rPr>
        <w:rFonts w:ascii="Symbol" w:hAnsi="Symbol" w:hint="default"/>
      </w:rPr>
    </w:lvl>
    <w:lvl w:ilvl="1" w:tplc="0C070003" w:tentative="1">
      <w:start w:val="1"/>
      <w:numFmt w:val="bullet"/>
      <w:lvlText w:val="o"/>
      <w:lvlJc w:val="left"/>
      <w:pPr>
        <w:ind w:left="2149" w:hanging="360"/>
      </w:pPr>
      <w:rPr>
        <w:rFonts w:ascii="Courier New" w:hAnsi="Courier New" w:cs="Courier New" w:hint="default"/>
      </w:rPr>
    </w:lvl>
    <w:lvl w:ilvl="2" w:tplc="0C070005" w:tentative="1">
      <w:start w:val="1"/>
      <w:numFmt w:val="bullet"/>
      <w:lvlText w:val=""/>
      <w:lvlJc w:val="left"/>
      <w:pPr>
        <w:ind w:left="2869" w:hanging="360"/>
      </w:pPr>
      <w:rPr>
        <w:rFonts w:ascii="Wingdings" w:hAnsi="Wingdings" w:hint="default"/>
      </w:rPr>
    </w:lvl>
    <w:lvl w:ilvl="3" w:tplc="0C070001" w:tentative="1">
      <w:start w:val="1"/>
      <w:numFmt w:val="bullet"/>
      <w:lvlText w:val=""/>
      <w:lvlJc w:val="left"/>
      <w:pPr>
        <w:ind w:left="3589" w:hanging="360"/>
      </w:pPr>
      <w:rPr>
        <w:rFonts w:ascii="Symbol" w:hAnsi="Symbol" w:hint="default"/>
      </w:rPr>
    </w:lvl>
    <w:lvl w:ilvl="4" w:tplc="0C070003" w:tentative="1">
      <w:start w:val="1"/>
      <w:numFmt w:val="bullet"/>
      <w:lvlText w:val="o"/>
      <w:lvlJc w:val="left"/>
      <w:pPr>
        <w:ind w:left="4309" w:hanging="360"/>
      </w:pPr>
      <w:rPr>
        <w:rFonts w:ascii="Courier New" w:hAnsi="Courier New" w:cs="Courier New" w:hint="default"/>
      </w:rPr>
    </w:lvl>
    <w:lvl w:ilvl="5" w:tplc="0C070005" w:tentative="1">
      <w:start w:val="1"/>
      <w:numFmt w:val="bullet"/>
      <w:lvlText w:val=""/>
      <w:lvlJc w:val="left"/>
      <w:pPr>
        <w:ind w:left="5029" w:hanging="360"/>
      </w:pPr>
      <w:rPr>
        <w:rFonts w:ascii="Wingdings" w:hAnsi="Wingdings" w:hint="default"/>
      </w:rPr>
    </w:lvl>
    <w:lvl w:ilvl="6" w:tplc="0C070001" w:tentative="1">
      <w:start w:val="1"/>
      <w:numFmt w:val="bullet"/>
      <w:lvlText w:val=""/>
      <w:lvlJc w:val="left"/>
      <w:pPr>
        <w:ind w:left="5749" w:hanging="360"/>
      </w:pPr>
      <w:rPr>
        <w:rFonts w:ascii="Symbol" w:hAnsi="Symbol" w:hint="default"/>
      </w:rPr>
    </w:lvl>
    <w:lvl w:ilvl="7" w:tplc="0C070003" w:tentative="1">
      <w:start w:val="1"/>
      <w:numFmt w:val="bullet"/>
      <w:lvlText w:val="o"/>
      <w:lvlJc w:val="left"/>
      <w:pPr>
        <w:ind w:left="6469" w:hanging="360"/>
      </w:pPr>
      <w:rPr>
        <w:rFonts w:ascii="Courier New" w:hAnsi="Courier New" w:cs="Courier New" w:hint="default"/>
      </w:rPr>
    </w:lvl>
    <w:lvl w:ilvl="8" w:tplc="0C070005" w:tentative="1">
      <w:start w:val="1"/>
      <w:numFmt w:val="bullet"/>
      <w:lvlText w:val=""/>
      <w:lvlJc w:val="left"/>
      <w:pPr>
        <w:ind w:left="7189" w:hanging="360"/>
      </w:pPr>
      <w:rPr>
        <w:rFonts w:ascii="Wingdings" w:hAnsi="Wingdings" w:hint="default"/>
      </w:rPr>
    </w:lvl>
  </w:abstractNum>
  <w:abstractNum w:abstractNumId="125">
    <w:nsid w:val="7D592538"/>
    <w:multiLevelType w:val="hybridMultilevel"/>
    <w:tmpl w:val="FB9E9068"/>
    <w:lvl w:ilvl="0" w:tplc="E5A222C2">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nsid w:val="7ECF1FF8"/>
    <w:multiLevelType w:val="multilevel"/>
    <w:tmpl w:val="571C4D2A"/>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98"/>
  </w:num>
  <w:num w:numId="2">
    <w:abstractNumId w:val="28"/>
  </w:num>
  <w:num w:numId="3">
    <w:abstractNumId w:val="0"/>
  </w:num>
  <w:num w:numId="4">
    <w:abstractNumId w:val="13"/>
  </w:num>
  <w:num w:numId="5">
    <w:abstractNumId w:val="75"/>
  </w:num>
  <w:num w:numId="6">
    <w:abstractNumId w:val="35"/>
  </w:num>
  <w:num w:numId="7">
    <w:abstractNumId w:val="64"/>
  </w:num>
  <w:num w:numId="8">
    <w:abstractNumId w:val="44"/>
  </w:num>
  <w:num w:numId="9">
    <w:abstractNumId w:val="8"/>
  </w:num>
  <w:num w:numId="10">
    <w:abstractNumId w:val="5"/>
  </w:num>
  <w:num w:numId="11">
    <w:abstractNumId w:val="77"/>
  </w:num>
  <w:num w:numId="12">
    <w:abstractNumId w:val="17"/>
  </w:num>
  <w:num w:numId="13">
    <w:abstractNumId w:val="32"/>
  </w:num>
  <w:num w:numId="14">
    <w:abstractNumId w:val="115"/>
  </w:num>
  <w:num w:numId="15">
    <w:abstractNumId w:val="99"/>
  </w:num>
  <w:num w:numId="16">
    <w:abstractNumId w:val="100"/>
  </w:num>
  <w:num w:numId="17">
    <w:abstractNumId w:val="119"/>
  </w:num>
  <w:num w:numId="18">
    <w:abstractNumId w:val="76"/>
  </w:num>
  <w:num w:numId="19">
    <w:abstractNumId w:val="45"/>
  </w:num>
  <w:num w:numId="20">
    <w:abstractNumId w:val="18"/>
  </w:num>
  <w:num w:numId="21">
    <w:abstractNumId w:val="67"/>
  </w:num>
  <w:num w:numId="22">
    <w:abstractNumId w:val="47"/>
  </w:num>
  <w:num w:numId="23">
    <w:abstractNumId w:val="71"/>
  </w:num>
  <w:num w:numId="24">
    <w:abstractNumId w:val="81"/>
  </w:num>
  <w:num w:numId="25">
    <w:abstractNumId w:val="53"/>
  </w:num>
  <w:num w:numId="26">
    <w:abstractNumId w:val="3"/>
  </w:num>
  <w:num w:numId="27">
    <w:abstractNumId w:val="7"/>
  </w:num>
  <w:num w:numId="28">
    <w:abstractNumId w:val="111"/>
  </w:num>
  <w:num w:numId="29">
    <w:abstractNumId w:val="68"/>
  </w:num>
  <w:num w:numId="30">
    <w:abstractNumId w:val="10"/>
  </w:num>
  <w:num w:numId="31">
    <w:abstractNumId w:val="62"/>
  </w:num>
  <w:num w:numId="32">
    <w:abstractNumId w:val="87"/>
  </w:num>
  <w:num w:numId="33">
    <w:abstractNumId w:val="15"/>
  </w:num>
  <w:num w:numId="34">
    <w:abstractNumId w:val="54"/>
  </w:num>
  <w:num w:numId="35">
    <w:abstractNumId w:val="95"/>
  </w:num>
  <w:num w:numId="36">
    <w:abstractNumId w:val="34"/>
  </w:num>
  <w:num w:numId="37">
    <w:abstractNumId w:val="33"/>
  </w:num>
  <w:num w:numId="38">
    <w:abstractNumId w:val="82"/>
  </w:num>
  <w:num w:numId="39">
    <w:abstractNumId w:val="114"/>
  </w:num>
  <w:num w:numId="40">
    <w:abstractNumId w:val="12"/>
  </w:num>
  <w:num w:numId="41">
    <w:abstractNumId w:val="108"/>
  </w:num>
  <w:num w:numId="42">
    <w:abstractNumId w:val="116"/>
  </w:num>
  <w:num w:numId="43">
    <w:abstractNumId w:val="91"/>
  </w:num>
  <w:num w:numId="44">
    <w:abstractNumId w:val="110"/>
  </w:num>
  <w:num w:numId="45">
    <w:abstractNumId w:val="40"/>
  </w:num>
  <w:num w:numId="46">
    <w:abstractNumId w:val="109"/>
  </w:num>
  <w:num w:numId="47">
    <w:abstractNumId w:val="120"/>
  </w:num>
  <w:num w:numId="48">
    <w:abstractNumId w:val="49"/>
  </w:num>
  <w:num w:numId="49">
    <w:abstractNumId w:val="60"/>
  </w:num>
  <w:num w:numId="50">
    <w:abstractNumId w:val="85"/>
  </w:num>
  <w:num w:numId="51">
    <w:abstractNumId w:val="1"/>
  </w:num>
  <w:num w:numId="52">
    <w:abstractNumId w:val="101"/>
  </w:num>
  <w:num w:numId="53">
    <w:abstractNumId w:val="26"/>
  </w:num>
  <w:num w:numId="54">
    <w:abstractNumId w:val="118"/>
  </w:num>
  <w:num w:numId="55">
    <w:abstractNumId w:val="29"/>
  </w:num>
  <w:num w:numId="56">
    <w:abstractNumId w:val="14"/>
  </w:num>
  <w:num w:numId="57">
    <w:abstractNumId w:val="112"/>
  </w:num>
  <w:num w:numId="58">
    <w:abstractNumId w:val="23"/>
  </w:num>
  <w:num w:numId="59">
    <w:abstractNumId w:val="21"/>
  </w:num>
  <w:num w:numId="60">
    <w:abstractNumId w:val="66"/>
  </w:num>
  <w:num w:numId="61">
    <w:abstractNumId w:val="97"/>
  </w:num>
  <w:num w:numId="62">
    <w:abstractNumId w:val="22"/>
  </w:num>
  <w:num w:numId="63">
    <w:abstractNumId w:val="117"/>
  </w:num>
  <w:num w:numId="64">
    <w:abstractNumId w:val="96"/>
  </w:num>
  <w:num w:numId="65">
    <w:abstractNumId w:val="63"/>
  </w:num>
  <w:num w:numId="66">
    <w:abstractNumId w:val="78"/>
  </w:num>
  <w:num w:numId="67">
    <w:abstractNumId w:val="24"/>
  </w:num>
  <w:num w:numId="68">
    <w:abstractNumId w:val="72"/>
  </w:num>
  <w:num w:numId="69">
    <w:abstractNumId w:val="50"/>
  </w:num>
  <w:num w:numId="70">
    <w:abstractNumId w:val="36"/>
  </w:num>
  <w:num w:numId="71">
    <w:abstractNumId w:val="61"/>
  </w:num>
  <w:num w:numId="72">
    <w:abstractNumId w:val="19"/>
  </w:num>
  <w:num w:numId="73">
    <w:abstractNumId w:val="9"/>
  </w:num>
  <w:num w:numId="74">
    <w:abstractNumId w:val="84"/>
  </w:num>
  <w:num w:numId="75">
    <w:abstractNumId w:val="58"/>
  </w:num>
  <w:num w:numId="76">
    <w:abstractNumId w:val="121"/>
  </w:num>
  <w:num w:numId="77">
    <w:abstractNumId w:val="125"/>
  </w:num>
  <w:num w:numId="78">
    <w:abstractNumId w:val="38"/>
  </w:num>
  <w:num w:numId="79">
    <w:abstractNumId w:val="27"/>
  </w:num>
  <w:num w:numId="80">
    <w:abstractNumId w:val="122"/>
  </w:num>
  <w:num w:numId="81">
    <w:abstractNumId w:val="90"/>
  </w:num>
  <w:num w:numId="82">
    <w:abstractNumId w:val="73"/>
  </w:num>
  <w:num w:numId="83">
    <w:abstractNumId w:val="41"/>
  </w:num>
  <w:num w:numId="84">
    <w:abstractNumId w:val="51"/>
  </w:num>
  <w:num w:numId="85">
    <w:abstractNumId w:val="16"/>
  </w:num>
  <w:num w:numId="86">
    <w:abstractNumId w:val="30"/>
  </w:num>
  <w:num w:numId="87">
    <w:abstractNumId w:val="106"/>
  </w:num>
  <w:num w:numId="88">
    <w:abstractNumId w:val="74"/>
  </w:num>
  <w:num w:numId="89">
    <w:abstractNumId w:val="83"/>
  </w:num>
  <w:num w:numId="90">
    <w:abstractNumId w:val="93"/>
  </w:num>
  <w:num w:numId="91">
    <w:abstractNumId w:val="89"/>
  </w:num>
  <w:num w:numId="92">
    <w:abstractNumId w:val="31"/>
  </w:num>
  <w:num w:numId="93">
    <w:abstractNumId w:val="86"/>
  </w:num>
  <w:num w:numId="94">
    <w:abstractNumId w:val="103"/>
  </w:num>
  <w:num w:numId="95">
    <w:abstractNumId w:val="4"/>
  </w:num>
  <w:num w:numId="96">
    <w:abstractNumId w:val="92"/>
  </w:num>
  <w:num w:numId="97">
    <w:abstractNumId w:val="39"/>
  </w:num>
  <w:num w:numId="98">
    <w:abstractNumId w:val="2"/>
  </w:num>
  <w:num w:numId="99">
    <w:abstractNumId w:val="107"/>
  </w:num>
  <w:num w:numId="100">
    <w:abstractNumId w:val="102"/>
  </w:num>
  <w:num w:numId="101">
    <w:abstractNumId w:val="46"/>
  </w:num>
  <w:num w:numId="102">
    <w:abstractNumId w:val="113"/>
  </w:num>
  <w:num w:numId="103">
    <w:abstractNumId w:val="69"/>
  </w:num>
  <w:num w:numId="104">
    <w:abstractNumId w:val="55"/>
  </w:num>
  <w:num w:numId="105">
    <w:abstractNumId w:val="37"/>
  </w:num>
  <w:num w:numId="106">
    <w:abstractNumId w:val="43"/>
  </w:num>
  <w:num w:numId="107">
    <w:abstractNumId w:val="25"/>
  </w:num>
  <w:num w:numId="108">
    <w:abstractNumId w:val="88"/>
  </w:num>
  <w:num w:numId="109">
    <w:abstractNumId w:val="48"/>
  </w:num>
  <w:num w:numId="110">
    <w:abstractNumId w:val="11"/>
  </w:num>
  <w:num w:numId="111">
    <w:abstractNumId w:val="6"/>
  </w:num>
  <w:num w:numId="112">
    <w:abstractNumId w:val="80"/>
  </w:num>
  <w:num w:numId="113">
    <w:abstractNumId w:val="20"/>
  </w:num>
  <w:num w:numId="114">
    <w:abstractNumId w:val="104"/>
  </w:num>
  <w:num w:numId="115">
    <w:abstractNumId w:val="126"/>
  </w:num>
  <w:num w:numId="116">
    <w:abstractNumId w:val="59"/>
  </w:num>
  <w:num w:numId="11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56"/>
  </w:num>
  <w:num w:numId="119">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65"/>
  </w:num>
  <w:num w:numId="121">
    <w:abstractNumId w:val="94"/>
  </w:num>
  <w:num w:numId="122">
    <w:abstractNumId w:val="79"/>
  </w:num>
  <w:num w:numId="123">
    <w:abstractNumId w:val="57"/>
  </w:num>
  <w:num w:numId="124">
    <w:abstractNumId w:val="70"/>
  </w:num>
  <w:num w:numId="125">
    <w:abstractNumId w:val="124"/>
  </w:num>
  <w:num w:numId="126">
    <w:abstractNumId w:val="123"/>
  </w:num>
  <w:num w:numId="127">
    <w:abstractNumId w:val="52"/>
  </w:num>
  <w:num w:numId="128">
    <w:abstractNumId w:val="105"/>
  </w:num>
  <w:numIdMacAtCleanup w:val="1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defaultTabStop w:val="720"/>
  <w:hyphenationZone w:val="425"/>
  <w:characterSpacingControl w:val="doNotCompress"/>
  <w:hdrShapeDefaults>
    <o:shapedefaults v:ext="edit" spidmax="8194"/>
  </w:hdrShapeDefaults>
  <w:footnotePr>
    <w:footnote w:id="0"/>
    <w:footnote w:id="1"/>
  </w:footnotePr>
  <w:endnotePr>
    <w:endnote w:id="0"/>
    <w:endnote w:id="1"/>
  </w:endnotePr>
  <w:compat/>
  <w:docVars>
    <w:docVar w:name="LW_DocType" w:val="NORMAL"/>
  </w:docVars>
  <w:rsids>
    <w:rsidRoot w:val="00C874F5"/>
    <w:rsid w:val="00004183"/>
    <w:rsid w:val="00004240"/>
    <w:rsid w:val="00004566"/>
    <w:rsid w:val="0001090D"/>
    <w:rsid w:val="00010C43"/>
    <w:rsid w:val="00012413"/>
    <w:rsid w:val="00014FAE"/>
    <w:rsid w:val="00015D5C"/>
    <w:rsid w:val="00016053"/>
    <w:rsid w:val="00017A4F"/>
    <w:rsid w:val="0002207E"/>
    <w:rsid w:val="00031C10"/>
    <w:rsid w:val="000323C6"/>
    <w:rsid w:val="000406F7"/>
    <w:rsid w:val="0004086A"/>
    <w:rsid w:val="0004316A"/>
    <w:rsid w:val="00044297"/>
    <w:rsid w:val="0004451B"/>
    <w:rsid w:val="00044684"/>
    <w:rsid w:val="0004585C"/>
    <w:rsid w:val="00046597"/>
    <w:rsid w:val="00051234"/>
    <w:rsid w:val="00057170"/>
    <w:rsid w:val="00057BF9"/>
    <w:rsid w:val="000602E0"/>
    <w:rsid w:val="000605E8"/>
    <w:rsid w:val="00065C9C"/>
    <w:rsid w:val="000660C0"/>
    <w:rsid w:val="000721A8"/>
    <w:rsid w:val="00072F4E"/>
    <w:rsid w:val="000742CE"/>
    <w:rsid w:val="00074380"/>
    <w:rsid w:val="00077A5D"/>
    <w:rsid w:val="00080502"/>
    <w:rsid w:val="00085DE1"/>
    <w:rsid w:val="00086A44"/>
    <w:rsid w:val="00091886"/>
    <w:rsid w:val="00092755"/>
    <w:rsid w:val="00093011"/>
    <w:rsid w:val="0009417E"/>
    <w:rsid w:val="0009489A"/>
    <w:rsid w:val="00095588"/>
    <w:rsid w:val="00096799"/>
    <w:rsid w:val="00097788"/>
    <w:rsid w:val="000A1982"/>
    <w:rsid w:val="000A3150"/>
    <w:rsid w:val="000A3DA1"/>
    <w:rsid w:val="000B007F"/>
    <w:rsid w:val="000B338B"/>
    <w:rsid w:val="000B3426"/>
    <w:rsid w:val="000B381C"/>
    <w:rsid w:val="000B446B"/>
    <w:rsid w:val="000C22FB"/>
    <w:rsid w:val="000C2F93"/>
    <w:rsid w:val="000C3124"/>
    <w:rsid w:val="000C449B"/>
    <w:rsid w:val="000C4924"/>
    <w:rsid w:val="000D1873"/>
    <w:rsid w:val="000D29E0"/>
    <w:rsid w:val="000D4AD1"/>
    <w:rsid w:val="000D4BAE"/>
    <w:rsid w:val="000D77AD"/>
    <w:rsid w:val="000E0EA3"/>
    <w:rsid w:val="000E3A10"/>
    <w:rsid w:val="000E3C16"/>
    <w:rsid w:val="000E582B"/>
    <w:rsid w:val="000E5CCE"/>
    <w:rsid w:val="000E7623"/>
    <w:rsid w:val="000F0ACE"/>
    <w:rsid w:val="000F17E8"/>
    <w:rsid w:val="00103CCF"/>
    <w:rsid w:val="00105805"/>
    <w:rsid w:val="00107103"/>
    <w:rsid w:val="0010751C"/>
    <w:rsid w:val="001101C5"/>
    <w:rsid w:val="00112BDF"/>
    <w:rsid w:val="00113B4C"/>
    <w:rsid w:val="00113CB4"/>
    <w:rsid w:val="00115B78"/>
    <w:rsid w:val="0012142A"/>
    <w:rsid w:val="00121B65"/>
    <w:rsid w:val="0012536F"/>
    <w:rsid w:val="001263BD"/>
    <w:rsid w:val="0012696C"/>
    <w:rsid w:val="00126BA2"/>
    <w:rsid w:val="001275D4"/>
    <w:rsid w:val="00130268"/>
    <w:rsid w:val="00130C67"/>
    <w:rsid w:val="00133049"/>
    <w:rsid w:val="001337B9"/>
    <w:rsid w:val="0013681F"/>
    <w:rsid w:val="00140266"/>
    <w:rsid w:val="00142A4E"/>
    <w:rsid w:val="0014347E"/>
    <w:rsid w:val="001434F1"/>
    <w:rsid w:val="00144984"/>
    <w:rsid w:val="00146229"/>
    <w:rsid w:val="0014680A"/>
    <w:rsid w:val="00147BF4"/>
    <w:rsid w:val="00147D60"/>
    <w:rsid w:val="00155250"/>
    <w:rsid w:val="0015624F"/>
    <w:rsid w:val="00160568"/>
    <w:rsid w:val="00161147"/>
    <w:rsid w:val="0016258D"/>
    <w:rsid w:val="00162912"/>
    <w:rsid w:val="00162D77"/>
    <w:rsid w:val="001645D4"/>
    <w:rsid w:val="00165C0F"/>
    <w:rsid w:val="00166B2A"/>
    <w:rsid w:val="001677F6"/>
    <w:rsid w:val="00170B16"/>
    <w:rsid w:val="001723F8"/>
    <w:rsid w:val="00173A38"/>
    <w:rsid w:val="00174A14"/>
    <w:rsid w:val="001753CA"/>
    <w:rsid w:val="001777EE"/>
    <w:rsid w:val="0018042D"/>
    <w:rsid w:val="00180AA2"/>
    <w:rsid w:val="00180C37"/>
    <w:rsid w:val="00183275"/>
    <w:rsid w:val="00183C36"/>
    <w:rsid w:val="0018489F"/>
    <w:rsid w:val="00185AB9"/>
    <w:rsid w:val="00194D23"/>
    <w:rsid w:val="001959EB"/>
    <w:rsid w:val="001A007B"/>
    <w:rsid w:val="001A016E"/>
    <w:rsid w:val="001A1E20"/>
    <w:rsid w:val="001A241F"/>
    <w:rsid w:val="001A559B"/>
    <w:rsid w:val="001B1402"/>
    <w:rsid w:val="001B1F0D"/>
    <w:rsid w:val="001B5B92"/>
    <w:rsid w:val="001C1EEB"/>
    <w:rsid w:val="001C2A21"/>
    <w:rsid w:val="001C2DB2"/>
    <w:rsid w:val="001C3EEC"/>
    <w:rsid w:val="001C4A05"/>
    <w:rsid w:val="001C4E44"/>
    <w:rsid w:val="001C55F3"/>
    <w:rsid w:val="001D216D"/>
    <w:rsid w:val="001D31FA"/>
    <w:rsid w:val="001D5AF0"/>
    <w:rsid w:val="001D790B"/>
    <w:rsid w:val="001E3BF3"/>
    <w:rsid w:val="001E4718"/>
    <w:rsid w:val="001F0B83"/>
    <w:rsid w:val="001F6DDC"/>
    <w:rsid w:val="001F7785"/>
    <w:rsid w:val="00200FC6"/>
    <w:rsid w:val="002019B8"/>
    <w:rsid w:val="00203B37"/>
    <w:rsid w:val="002102BC"/>
    <w:rsid w:val="002111A9"/>
    <w:rsid w:val="002121FF"/>
    <w:rsid w:val="00213C9D"/>
    <w:rsid w:val="002143F7"/>
    <w:rsid w:val="00221437"/>
    <w:rsid w:val="00221A70"/>
    <w:rsid w:val="002222E7"/>
    <w:rsid w:val="0022249F"/>
    <w:rsid w:val="0022389A"/>
    <w:rsid w:val="0023080B"/>
    <w:rsid w:val="00232FB6"/>
    <w:rsid w:val="00233363"/>
    <w:rsid w:val="002340DC"/>
    <w:rsid w:val="00234475"/>
    <w:rsid w:val="00234E29"/>
    <w:rsid w:val="0023559F"/>
    <w:rsid w:val="00235694"/>
    <w:rsid w:val="0023578F"/>
    <w:rsid w:val="0023592E"/>
    <w:rsid w:val="00237BB4"/>
    <w:rsid w:val="00240487"/>
    <w:rsid w:val="00241573"/>
    <w:rsid w:val="00242D50"/>
    <w:rsid w:val="00242EA5"/>
    <w:rsid w:val="0024368C"/>
    <w:rsid w:val="0024594E"/>
    <w:rsid w:val="002465A3"/>
    <w:rsid w:val="0024685B"/>
    <w:rsid w:val="00246DC5"/>
    <w:rsid w:val="002472B3"/>
    <w:rsid w:val="0024791F"/>
    <w:rsid w:val="00251B2A"/>
    <w:rsid w:val="00253978"/>
    <w:rsid w:val="00253A36"/>
    <w:rsid w:val="00256207"/>
    <w:rsid w:val="002574C1"/>
    <w:rsid w:val="00263B97"/>
    <w:rsid w:val="002667E5"/>
    <w:rsid w:val="00271524"/>
    <w:rsid w:val="00271802"/>
    <w:rsid w:val="00274A58"/>
    <w:rsid w:val="002753DA"/>
    <w:rsid w:val="00280B09"/>
    <w:rsid w:val="00280D5B"/>
    <w:rsid w:val="00290E2F"/>
    <w:rsid w:val="00290F85"/>
    <w:rsid w:val="002912E7"/>
    <w:rsid w:val="002929BC"/>
    <w:rsid w:val="00293EF9"/>
    <w:rsid w:val="002A088A"/>
    <w:rsid w:val="002A0C1C"/>
    <w:rsid w:val="002A2930"/>
    <w:rsid w:val="002A2E4B"/>
    <w:rsid w:val="002A3F0F"/>
    <w:rsid w:val="002A566F"/>
    <w:rsid w:val="002B08C0"/>
    <w:rsid w:val="002B0C2B"/>
    <w:rsid w:val="002B0C8C"/>
    <w:rsid w:val="002B0D16"/>
    <w:rsid w:val="002B0F55"/>
    <w:rsid w:val="002B118B"/>
    <w:rsid w:val="002B16C6"/>
    <w:rsid w:val="002B17C1"/>
    <w:rsid w:val="002B2C71"/>
    <w:rsid w:val="002C125F"/>
    <w:rsid w:val="002C295D"/>
    <w:rsid w:val="002C3655"/>
    <w:rsid w:val="002C78BB"/>
    <w:rsid w:val="002D332C"/>
    <w:rsid w:val="002D5018"/>
    <w:rsid w:val="002D7DBA"/>
    <w:rsid w:val="002E29E5"/>
    <w:rsid w:val="002E3901"/>
    <w:rsid w:val="002E4B87"/>
    <w:rsid w:val="002E5973"/>
    <w:rsid w:val="002E72AC"/>
    <w:rsid w:val="002E740D"/>
    <w:rsid w:val="002F06B0"/>
    <w:rsid w:val="002F3726"/>
    <w:rsid w:val="002F532C"/>
    <w:rsid w:val="002F5F3A"/>
    <w:rsid w:val="002F62F1"/>
    <w:rsid w:val="003010EE"/>
    <w:rsid w:val="00302A16"/>
    <w:rsid w:val="00306C37"/>
    <w:rsid w:val="0030746D"/>
    <w:rsid w:val="00307718"/>
    <w:rsid w:val="003123DC"/>
    <w:rsid w:val="00320879"/>
    <w:rsid w:val="00320C5A"/>
    <w:rsid w:val="00322A15"/>
    <w:rsid w:val="00322F3D"/>
    <w:rsid w:val="00324082"/>
    <w:rsid w:val="00326212"/>
    <w:rsid w:val="00326F11"/>
    <w:rsid w:val="00327800"/>
    <w:rsid w:val="00330324"/>
    <w:rsid w:val="00330419"/>
    <w:rsid w:val="0033093F"/>
    <w:rsid w:val="00333E92"/>
    <w:rsid w:val="00333EA9"/>
    <w:rsid w:val="00335B67"/>
    <w:rsid w:val="00335E73"/>
    <w:rsid w:val="003361B2"/>
    <w:rsid w:val="00341A94"/>
    <w:rsid w:val="00343689"/>
    <w:rsid w:val="003458A0"/>
    <w:rsid w:val="00347716"/>
    <w:rsid w:val="00350C35"/>
    <w:rsid w:val="00351DDC"/>
    <w:rsid w:val="00360722"/>
    <w:rsid w:val="003621B9"/>
    <w:rsid w:val="00362D77"/>
    <w:rsid w:val="00363EF0"/>
    <w:rsid w:val="00364AF2"/>
    <w:rsid w:val="0036559B"/>
    <w:rsid w:val="0036589F"/>
    <w:rsid w:val="00370CBF"/>
    <w:rsid w:val="003716EF"/>
    <w:rsid w:val="003729E5"/>
    <w:rsid w:val="00372E73"/>
    <w:rsid w:val="00373CEF"/>
    <w:rsid w:val="0037499E"/>
    <w:rsid w:val="0038010B"/>
    <w:rsid w:val="00383F7F"/>
    <w:rsid w:val="0038663D"/>
    <w:rsid w:val="00386A8A"/>
    <w:rsid w:val="0038783B"/>
    <w:rsid w:val="00390027"/>
    <w:rsid w:val="00390934"/>
    <w:rsid w:val="00392558"/>
    <w:rsid w:val="003964FE"/>
    <w:rsid w:val="003976AE"/>
    <w:rsid w:val="00397FC7"/>
    <w:rsid w:val="003A0F2A"/>
    <w:rsid w:val="003A2EC7"/>
    <w:rsid w:val="003A33DE"/>
    <w:rsid w:val="003A41E6"/>
    <w:rsid w:val="003A4FB1"/>
    <w:rsid w:val="003A5018"/>
    <w:rsid w:val="003A6524"/>
    <w:rsid w:val="003B07DC"/>
    <w:rsid w:val="003B0B9D"/>
    <w:rsid w:val="003B0CE4"/>
    <w:rsid w:val="003B1B01"/>
    <w:rsid w:val="003B1E12"/>
    <w:rsid w:val="003B2B55"/>
    <w:rsid w:val="003B32A4"/>
    <w:rsid w:val="003B668B"/>
    <w:rsid w:val="003C05A4"/>
    <w:rsid w:val="003C25DE"/>
    <w:rsid w:val="003C4148"/>
    <w:rsid w:val="003C4A9C"/>
    <w:rsid w:val="003C5FBD"/>
    <w:rsid w:val="003C6018"/>
    <w:rsid w:val="003C76B8"/>
    <w:rsid w:val="003D06F4"/>
    <w:rsid w:val="003D30CE"/>
    <w:rsid w:val="003D4731"/>
    <w:rsid w:val="003D62B5"/>
    <w:rsid w:val="003D6BDE"/>
    <w:rsid w:val="003D7561"/>
    <w:rsid w:val="003D7769"/>
    <w:rsid w:val="003D7894"/>
    <w:rsid w:val="003E4FC4"/>
    <w:rsid w:val="003E7490"/>
    <w:rsid w:val="003F489A"/>
    <w:rsid w:val="003F6C38"/>
    <w:rsid w:val="00402E74"/>
    <w:rsid w:val="00403D80"/>
    <w:rsid w:val="00404443"/>
    <w:rsid w:val="00404DB8"/>
    <w:rsid w:val="00404DDD"/>
    <w:rsid w:val="0040537C"/>
    <w:rsid w:val="00406E74"/>
    <w:rsid w:val="00415481"/>
    <w:rsid w:val="004162DF"/>
    <w:rsid w:val="0041743B"/>
    <w:rsid w:val="0042136E"/>
    <w:rsid w:val="004234C9"/>
    <w:rsid w:val="00423BE6"/>
    <w:rsid w:val="004241F5"/>
    <w:rsid w:val="004242FC"/>
    <w:rsid w:val="00424A49"/>
    <w:rsid w:val="00426AA6"/>
    <w:rsid w:val="004273AE"/>
    <w:rsid w:val="00430BE6"/>
    <w:rsid w:val="0043288F"/>
    <w:rsid w:val="00432928"/>
    <w:rsid w:val="00434498"/>
    <w:rsid w:val="004353CC"/>
    <w:rsid w:val="00435C2E"/>
    <w:rsid w:val="00445290"/>
    <w:rsid w:val="00445E4C"/>
    <w:rsid w:val="00446A93"/>
    <w:rsid w:val="0044747F"/>
    <w:rsid w:val="00447A0B"/>
    <w:rsid w:val="00450603"/>
    <w:rsid w:val="004521F0"/>
    <w:rsid w:val="0045295A"/>
    <w:rsid w:val="00453E43"/>
    <w:rsid w:val="00457A50"/>
    <w:rsid w:val="004615D2"/>
    <w:rsid w:val="00462568"/>
    <w:rsid w:val="0046375D"/>
    <w:rsid w:val="00465896"/>
    <w:rsid w:val="004659CE"/>
    <w:rsid w:val="004670A5"/>
    <w:rsid w:val="00472971"/>
    <w:rsid w:val="00474743"/>
    <w:rsid w:val="0047498E"/>
    <w:rsid w:val="00475A89"/>
    <w:rsid w:val="004806BF"/>
    <w:rsid w:val="00480A90"/>
    <w:rsid w:val="0048243E"/>
    <w:rsid w:val="00483245"/>
    <w:rsid w:val="00487E20"/>
    <w:rsid w:val="00491286"/>
    <w:rsid w:val="004917A0"/>
    <w:rsid w:val="004949DC"/>
    <w:rsid w:val="00494ADF"/>
    <w:rsid w:val="004979D0"/>
    <w:rsid w:val="00497A88"/>
    <w:rsid w:val="004A1240"/>
    <w:rsid w:val="004A1437"/>
    <w:rsid w:val="004A3131"/>
    <w:rsid w:val="004A5085"/>
    <w:rsid w:val="004A5FB5"/>
    <w:rsid w:val="004A602A"/>
    <w:rsid w:val="004A652C"/>
    <w:rsid w:val="004A70F9"/>
    <w:rsid w:val="004B0101"/>
    <w:rsid w:val="004B099B"/>
    <w:rsid w:val="004B1A0E"/>
    <w:rsid w:val="004B3B90"/>
    <w:rsid w:val="004B587B"/>
    <w:rsid w:val="004B7C8F"/>
    <w:rsid w:val="004C042B"/>
    <w:rsid w:val="004C1A72"/>
    <w:rsid w:val="004C1BB4"/>
    <w:rsid w:val="004C2832"/>
    <w:rsid w:val="004C2C7C"/>
    <w:rsid w:val="004C53FE"/>
    <w:rsid w:val="004C7168"/>
    <w:rsid w:val="004D3496"/>
    <w:rsid w:val="004D5D3A"/>
    <w:rsid w:val="004E0341"/>
    <w:rsid w:val="004E3AAA"/>
    <w:rsid w:val="004E774C"/>
    <w:rsid w:val="004F02DA"/>
    <w:rsid w:val="004F57D1"/>
    <w:rsid w:val="004F63DD"/>
    <w:rsid w:val="004F793D"/>
    <w:rsid w:val="0050154B"/>
    <w:rsid w:val="005048AE"/>
    <w:rsid w:val="00506DFE"/>
    <w:rsid w:val="00510956"/>
    <w:rsid w:val="00511CA0"/>
    <w:rsid w:val="00513732"/>
    <w:rsid w:val="00514CE6"/>
    <w:rsid w:val="00520A9D"/>
    <w:rsid w:val="00521EC6"/>
    <w:rsid w:val="00522F66"/>
    <w:rsid w:val="005232A3"/>
    <w:rsid w:val="005235DE"/>
    <w:rsid w:val="00531787"/>
    <w:rsid w:val="0053184B"/>
    <w:rsid w:val="00531C1C"/>
    <w:rsid w:val="00533036"/>
    <w:rsid w:val="00533B44"/>
    <w:rsid w:val="005356B8"/>
    <w:rsid w:val="0053588E"/>
    <w:rsid w:val="00535D97"/>
    <w:rsid w:val="00540A82"/>
    <w:rsid w:val="00540D16"/>
    <w:rsid w:val="00541D0B"/>
    <w:rsid w:val="00542961"/>
    <w:rsid w:val="00545A38"/>
    <w:rsid w:val="005462E9"/>
    <w:rsid w:val="00546949"/>
    <w:rsid w:val="005527F6"/>
    <w:rsid w:val="005579E2"/>
    <w:rsid w:val="005616D0"/>
    <w:rsid w:val="00561D1F"/>
    <w:rsid w:val="00564265"/>
    <w:rsid w:val="00564FF5"/>
    <w:rsid w:val="00566643"/>
    <w:rsid w:val="005678F9"/>
    <w:rsid w:val="00572660"/>
    <w:rsid w:val="00573698"/>
    <w:rsid w:val="00573F33"/>
    <w:rsid w:val="00574769"/>
    <w:rsid w:val="00585BE7"/>
    <w:rsid w:val="00586938"/>
    <w:rsid w:val="00592DE6"/>
    <w:rsid w:val="00593DDB"/>
    <w:rsid w:val="00593E81"/>
    <w:rsid w:val="005950AD"/>
    <w:rsid w:val="005956CF"/>
    <w:rsid w:val="00595DBE"/>
    <w:rsid w:val="00597158"/>
    <w:rsid w:val="005A2863"/>
    <w:rsid w:val="005A5F79"/>
    <w:rsid w:val="005A60EA"/>
    <w:rsid w:val="005B243C"/>
    <w:rsid w:val="005B2E10"/>
    <w:rsid w:val="005B2EED"/>
    <w:rsid w:val="005B6E8B"/>
    <w:rsid w:val="005B783B"/>
    <w:rsid w:val="005C2072"/>
    <w:rsid w:val="005C2E0E"/>
    <w:rsid w:val="005C3DF6"/>
    <w:rsid w:val="005C54D4"/>
    <w:rsid w:val="005C6632"/>
    <w:rsid w:val="005D1B76"/>
    <w:rsid w:val="005D5B8F"/>
    <w:rsid w:val="005E11A0"/>
    <w:rsid w:val="005E6710"/>
    <w:rsid w:val="005E6A04"/>
    <w:rsid w:val="005F2C66"/>
    <w:rsid w:val="005F2CEB"/>
    <w:rsid w:val="006036D6"/>
    <w:rsid w:val="0060463E"/>
    <w:rsid w:val="00604E94"/>
    <w:rsid w:val="00606A52"/>
    <w:rsid w:val="00611C60"/>
    <w:rsid w:val="00612F86"/>
    <w:rsid w:val="0061385F"/>
    <w:rsid w:val="00614D9A"/>
    <w:rsid w:val="0061729F"/>
    <w:rsid w:val="00622218"/>
    <w:rsid w:val="006237CF"/>
    <w:rsid w:val="00624766"/>
    <w:rsid w:val="00624A58"/>
    <w:rsid w:val="00627A89"/>
    <w:rsid w:val="00630639"/>
    <w:rsid w:val="00631017"/>
    <w:rsid w:val="00631110"/>
    <w:rsid w:val="0063389B"/>
    <w:rsid w:val="006347E4"/>
    <w:rsid w:val="00635074"/>
    <w:rsid w:val="006436D8"/>
    <w:rsid w:val="0064756B"/>
    <w:rsid w:val="0065186E"/>
    <w:rsid w:val="00651D23"/>
    <w:rsid w:val="00653FF9"/>
    <w:rsid w:val="00654B33"/>
    <w:rsid w:val="006558B1"/>
    <w:rsid w:val="00657F8B"/>
    <w:rsid w:val="00660B2F"/>
    <w:rsid w:val="00661E74"/>
    <w:rsid w:val="00664B11"/>
    <w:rsid w:val="006652B8"/>
    <w:rsid w:val="00667A2A"/>
    <w:rsid w:val="00667B0D"/>
    <w:rsid w:val="006701F4"/>
    <w:rsid w:val="00670671"/>
    <w:rsid w:val="0067078D"/>
    <w:rsid w:val="00672A9C"/>
    <w:rsid w:val="00673C41"/>
    <w:rsid w:val="0067478D"/>
    <w:rsid w:val="00676F5E"/>
    <w:rsid w:val="00680C81"/>
    <w:rsid w:val="00681D3E"/>
    <w:rsid w:val="00682895"/>
    <w:rsid w:val="006828D2"/>
    <w:rsid w:val="00683D9E"/>
    <w:rsid w:val="006859C7"/>
    <w:rsid w:val="00691EDC"/>
    <w:rsid w:val="006932F9"/>
    <w:rsid w:val="006942EE"/>
    <w:rsid w:val="00697671"/>
    <w:rsid w:val="006A24ED"/>
    <w:rsid w:val="006A3473"/>
    <w:rsid w:val="006A3898"/>
    <w:rsid w:val="006A4B30"/>
    <w:rsid w:val="006A4EF1"/>
    <w:rsid w:val="006A5D1A"/>
    <w:rsid w:val="006A69D8"/>
    <w:rsid w:val="006B1100"/>
    <w:rsid w:val="006B113F"/>
    <w:rsid w:val="006B21D3"/>
    <w:rsid w:val="006B31A1"/>
    <w:rsid w:val="006B353C"/>
    <w:rsid w:val="006B46F5"/>
    <w:rsid w:val="006B5CF5"/>
    <w:rsid w:val="006B5E93"/>
    <w:rsid w:val="006B6F61"/>
    <w:rsid w:val="006B719A"/>
    <w:rsid w:val="006B7C29"/>
    <w:rsid w:val="006C080B"/>
    <w:rsid w:val="006C2B66"/>
    <w:rsid w:val="006C2EBB"/>
    <w:rsid w:val="006C353E"/>
    <w:rsid w:val="006C445F"/>
    <w:rsid w:val="006C57AD"/>
    <w:rsid w:val="006C7BFC"/>
    <w:rsid w:val="006D0E4A"/>
    <w:rsid w:val="006D26E0"/>
    <w:rsid w:val="006D296F"/>
    <w:rsid w:val="006D4857"/>
    <w:rsid w:val="006D5FBA"/>
    <w:rsid w:val="006E1697"/>
    <w:rsid w:val="006E37DE"/>
    <w:rsid w:val="006E782B"/>
    <w:rsid w:val="006F3ED1"/>
    <w:rsid w:val="006F4C93"/>
    <w:rsid w:val="006F50BA"/>
    <w:rsid w:val="006F5694"/>
    <w:rsid w:val="006F71D2"/>
    <w:rsid w:val="007068A3"/>
    <w:rsid w:val="00707B67"/>
    <w:rsid w:val="0071045F"/>
    <w:rsid w:val="00710619"/>
    <w:rsid w:val="007115D2"/>
    <w:rsid w:val="00720570"/>
    <w:rsid w:val="007208A1"/>
    <w:rsid w:val="00720C45"/>
    <w:rsid w:val="00721D34"/>
    <w:rsid w:val="00726CB7"/>
    <w:rsid w:val="00732D93"/>
    <w:rsid w:val="00733F0D"/>
    <w:rsid w:val="0073613F"/>
    <w:rsid w:val="00736834"/>
    <w:rsid w:val="00736B51"/>
    <w:rsid w:val="00742AFD"/>
    <w:rsid w:val="00746E3F"/>
    <w:rsid w:val="00751B0B"/>
    <w:rsid w:val="00754E67"/>
    <w:rsid w:val="00755CD4"/>
    <w:rsid w:val="00762D1C"/>
    <w:rsid w:val="00763AF9"/>
    <w:rsid w:val="00763F03"/>
    <w:rsid w:val="00765CC4"/>
    <w:rsid w:val="007704AB"/>
    <w:rsid w:val="0077210F"/>
    <w:rsid w:val="00774128"/>
    <w:rsid w:val="00774CFD"/>
    <w:rsid w:val="0078140F"/>
    <w:rsid w:val="007831A5"/>
    <w:rsid w:val="00783B9F"/>
    <w:rsid w:val="00784724"/>
    <w:rsid w:val="00784CD7"/>
    <w:rsid w:val="00784CF1"/>
    <w:rsid w:val="007850BA"/>
    <w:rsid w:val="007879E4"/>
    <w:rsid w:val="00787C6E"/>
    <w:rsid w:val="0079079F"/>
    <w:rsid w:val="00795379"/>
    <w:rsid w:val="007A0EF9"/>
    <w:rsid w:val="007A0FF2"/>
    <w:rsid w:val="007A2D05"/>
    <w:rsid w:val="007A591A"/>
    <w:rsid w:val="007A5F4A"/>
    <w:rsid w:val="007A6E46"/>
    <w:rsid w:val="007A7D0D"/>
    <w:rsid w:val="007B03A5"/>
    <w:rsid w:val="007B0A87"/>
    <w:rsid w:val="007B2527"/>
    <w:rsid w:val="007B2C80"/>
    <w:rsid w:val="007B4B70"/>
    <w:rsid w:val="007B5930"/>
    <w:rsid w:val="007B752F"/>
    <w:rsid w:val="007B759C"/>
    <w:rsid w:val="007B7A9B"/>
    <w:rsid w:val="007C04D2"/>
    <w:rsid w:val="007C05C2"/>
    <w:rsid w:val="007C32D4"/>
    <w:rsid w:val="007C5BA0"/>
    <w:rsid w:val="007C7614"/>
    <w:rsid w:val="007C77C6"/>
    <w:rsid w:val="007D4A85"/>
    <w:rsid w:val="007D69EF"/>
    <w:rsid w:val="007E217B"/>
    <w:rsid w:val="007E3796"/>
    <w:rsid w:val="007E42E2"/>
    <w:rsid w:val="007E43B6"/>
    <w:rsid w:val="007E5DFE"/>
    <w:rsid w:val="007E67B8"/>
    <w:rsid w:val="007E7C40"/>
    <w:rsid w:val="007E7EB6"/>
    <w:rsid w:val="007F0988"/>
    <w:rsid w:val="007F1045"/>
    <w:rsid w:val="007F3D5F"/>
    <w:rsid w:val="007F55AC"/>
    <w:rsid w:val="00804049"/>
    <w:rsid w:val="00805C0D"/>
    <w:rsid w:val="00807D8C"/>
    <w:rsid w:val="008102CE"/>
    <w:rsid w:val="008122CC"/>
    <w:rsid w:val="00814C4D"/>
    <w:rsid w:val="008202C0"/>
    <w:rsid w:val="00825631"/>
    <w:rsid w:val="00827099"/>
    <w:rsid w:val="00831D0C"/>
    <w:rsid w:val="00831FA4"/>
    <w:rsid w:val="00835B77"/>
    <w:rsid w:val="00842898"/>
    <w:rsid w:val="008505EA"/>
    <w:rsid w:val="00851694"/>
    <w:rsid w:val="008520E4"/>
    <w:rsid w:val="0085221D"/>
    <w:rsid w:val="008549EB"/>
    <w:rsid w:val="00855114"/>
    <w:rsid w:val="00855A23"/>
    <w:rsid w:val="00856BF8"/>
    <w:rsid w:val="00857997"/>
    <w:rsid w:val="008635B2"/>
    <w:rsid w:val="008642F1"/>
    <w:rsid w:val="008667A1"/>
    <w:rsid w:val="00871D89"/>
    <w:rsid w:val="008752CB"/>
    <w:rsid w:val="0087540D"/>
    <w:rsid w:val="00876D66"/>
    <w:rsid w:val="008800E5"/>
    <w:rsid w:val="00880862"/>
    <w:rsid w:val="00890020"/>
    <w:rsid w:val="008969D6"/>
    <w:rsid w:val="008975C2"/>
    <w:rsid w:val="008A2F2F"/>
    <w:rsid w:val="008A4CF5"/>
    <w:rsid w:val="008A53DA"/>
    <w:rsid w:val="008B185B"/>
    <w:rsid w:val="008B2C59"/>
    <w:rsid w:val="008B4541"/>
    <w:rsid w:val="008B4597"/>
    <w:rsid w:val="008B5CAA"/>
    <w:rsid w:val="008B6D4B"/>
    <w:rsid w:val="008B74B3"/>
    <w:rsid w:val="008C2C49"/>
    <w:rsid w:val="008C4FC7"/>
    <w:rsid w:val="008C5A57"/>
    <w:rsid w:val="008C613C"/>
    <w:rsid w:val="008C6772"/>
    <w:rsid w:val="008D0955"/>
    <w:rsid w:val="008D24EA"/>
    <w:rsid w:val="008D5193"/>
    <w:rsid w:val="008E682E"/>
    <w:rsid w:val="008E70B7"/>
    <w:rsid w:val="008F1804"/>
    <w:rsid w:val="008F36EE"/>
    <w:rsid w:val="008F3EF4"/>
    <w:rsid w:val="008F4363"/>
    <w:rsid w:val="008F63F6"/>
    <w:rsid w:val="0090040A"/>
    <w:rsid w:val="00903580"/>
    <w:rsid w:val="00904C68"/>
    <w:rsid w:val="00905EAF"/>
    <w:rsid w:val="00906028"/>
    <w:rsid w:val="009103F1"/>
    <w:rsid w:val="00912DC7"/>
    <w:rsid w:val="009138FD"/>
    <w:rsid w:val="00914532"/>
    <w:rsid w:val="009165B9"/>
    <w:rsid w:val="0092033A"/>
    <w:rsid w:val="009208BF"/>
    <w:rsid w:val="00922AD7"/>
    <w:rsid w:val="00923A4A"/>
    <w:rsid w:val="0092674D"/>
    <w:rsid w:val="00926B8F"/>
    <w:rsid w:val="00930091"/>
    <w:rsid w:val="00930DDA"/>
    <w:rsid w:val="0093229B"/>
    <w:rsid w:val="009324ED"/>
    <w:rsid w:val="00932B8B"/>
    <w:rsid w:val="00933AC9"/>
    <w:rsid w:val="0093620E"/>
    <w:rsid w:val="00937409"/>
    <w:rsid w:val="00940282"/>
    <w:rsid w:val="00940A59"/>
    <w:rsid w:val="0094436E"/>
    <w:rsid w:val="00947A51"/>
    <w:rsid w:val="00950DAD"/>
    <w:rsid w:val="00951E94"/>
    <w:rsid w:val="00952C60"/>
    <w:rsid w:val="009541D5"/>
    <w:rsid w:val="009552BF"/>
    <w:rsid w:val="009566B9"/>
    <w:rsid w:val="00956CF7"/>
    <w:rsid w:val="00960BC6"/>
    <w:rsid w:val="00961A5F"/>
    <w:rsid w:val="00962A9E"/>
    <w:rsid w:val="00962EE6"/>
    <w:rsid w:val="00963F8E"/>
    <w:rsid w:val="00966B52"/>
    <w:rsid w:val="00966C6C"/>
    <w:rsid w:val="00970638"/>
    <w:rsid w:val="00972E6C"/>
    <w:rsid w:val="00985401"/>
    <w:rsid w:val="009875B1"/>
    <w:rsid w:val="00990F1A"/>
    <w:rsid w:val="00994470"/>
    <w:rsid w:val="009965D0"/>
    <w:rsid w:val="009A11BF"/>
    <w:rsid w:val="009A2827"/>
    <w:rsid w:val="009B2257"/>
    <w:rsid w:val="009B4F0C"/>
    <w:rsid w:val="009B7B50"/>
    <w:rsid w:val="009C171A"/>
    <w:rsid w:val="009C2C0C"/>
    <w:rsid w:val="009D083A"/>
    <w:rsid w:val="009D39B8"/>
    <w:rsid w:val="009D44E0"/>
    <w:rsid w:val="009D49D2"/>
    <w:rsid w:val="009D7024"/>
    <w:rsid w:val="009D782D"/>
    <w:rsid w:val="009E1341"/>
    <w:rsid w:val="009E1EDC"/>
    <w:rsid w:val="009E3071"/>
    <w:rsid w:val="009E3852"/>
    <w:rsid w:val="009E5FDD"/>
    <w:rsid w:val="009E712E"/>
    <w:rsid w:val="009F5B58"/>
    <w:rsid w:val="009F7D7F"/>
    <w:rsid w:val="00A02C76"/>
    <w:rsid w:val="00A036A1"/>
    <w:rsid w:val="00A043CB"/>
    <w:rsid w:val="00A046D8"/>
    <w:rsid w:val="00A0509F"/>
    <w:rsid w:val="00A118B2"/>
    <w:rsid w:val="00A11A04"/>
    <w:rsid w:val="00A20440"/>
    <w:rsid w:val="00A220D8"/>
    <w:rsid w:val="00A22E24"/>
    <w:rsid w:val="00A23092"/>
    <w:rsid w:val="00A31BE5"/>
    <w:rsid w:val="00A33754"/>
    <w:rsid w:val="00A33D7B"/>
    <w:rsid w:val="00A341FA"/>
    <w:rsid w:val="00A35610"/>
    <w:rsid w:val="00A35971"/>
    <w:rsid w:val="00A3620B"/>
    <w:rsid w:val="00A404EF"/>
    <w:rsid w:val="00A41054"/>
    <w:rsid w:val="00A4160F"/>
    <w:rsid w:val="00A41F18"/>
    <w:rsid w:val="00A42345"/>
    <w:rsid w:val="00A435F0"/>
    <w:rsid w:val="00A43600"/>
    <w:rsid w:val="00A4369E"/>
    <w:rsid w:val="00A4481A"/>
    <w:rsid w:val="00A44B4D"/>
    <w:rsid w:val="00A50016"/>
    <w:rsid w:val="00A50AE2"/>
    <w:rsid w:val="00A524F7"/>
    <w:rsid w:val="00A5686F"/>
    <w:rsid w:val="00A568A6"/>
    <w:rsid w:val="00A57A29"/>
    <w:rsid w:val="00A622A4"/>
    <w:rsid w:val="00A67599"/>
    <w:rsid w:val="00A70818"/>
    <w:rsid w:val="00A70D62"/>
    <w:rsid w:val="00A73144"/>
    <w:rsid w:val="00A7331E"/>
    <w:rsid w:val="00A74616"/>
    <w:rsid w:val="00A747D2"/>
    <w:rsid w:val="00A755B2"/>
    <w:rsid w:val="00A77B96"/>
    <w:rsid w:val="00A800CB"/>
    <w:rsid w:val="00A8052C"/>
    <w:rsid w:val="00A80D6D"/>
    <w:rsid w:val="00A811BE"/>
    <w:rsid w:val="00A83D92"/>
    <w:rsid w:val="00A840B7"/>
    <w:rsid w:val="00A84607"/>
    <w:rsid w:val="00A85BCD"/>
    <w:rsid w:val="00A87C6F"/>
    <w:rsid w:val="00A909B5"/>
    <w:rsid w:val="00A91EC6"/>
    <w:rsid w:val="00A96B4F"/>
    <w:rsid w:val="00A9742B"/>
    <w:rsid w:val="00AA6489"/>
    <w:rsid w:val="00AA7F50"/>
    <w:rsid w:val="00AB0746"/>
    <w:rsid w:val="00AB38DD"/>
    <w:rsid w:val="00AB5D71"/>
    <w:rsid w:val="00AB7607"/>
    <w:rsid w:val="00AC0B29"/>
    <w:rsid w:val="00AC57B3"/>
    <w:rsid w:val="00AC5EDB"/>
    <w:rsid w:val="00AC6501"/>
    <w:rsid w:val="00AD55F2"/>
    <w:rsid w:val="00AD6B9C"/>
    <w:rsid w:val="00AD6DD3"/>
    <w:rsid w:val="00AD6FB3"/>
    <w:rsid w:val="00AE39C7"/>
    <w:rsid w:val="00AE3BE7"/>
    <w:rsid w:val="00AE501D"/>
    <w:rsid w:val="00AE53F8"/>
    <w:rsid w:val="00AE716B"/>
    <w:rsid w:val="00AE7CD0"/>
    <w:rsid w:val="00AF116B"/>
    <w:rsid w:val="00AF127C"/>
    <w:rsid w:val="00AF23EC"/>
    <w:rsid w:val="00AF435C"/>
    <w:rsid w:val="00AF7279"/>
    <w:rsid w:val="00AF72A1"/>
    <w:rsid w:val="00B01DE1"/>
    <w:rsid w:val="00B03F88"/>
    <w:rsid w:val="00B0774D"/>
    <w:rsid w:val="00B10FAE"/>
    <w:rsid w:val="00B119DC"/>
    <w:rsid w:val="00B1534B"/>
    <w:rsid w:val="00B15B4A"/>
    <w:rsid w:val="00B210D9"/>
    <w:rsid w:val="00B21BD3"/>
    <w:rsid w:val="00B22628"/>
    <w:rsid w:val="00B2292F"/>
    <w:rsid w:val="00B22F82"/>
    <w:rsid w:val="00B24F91"/>
    <w:rsid w:val="00B33C23"/>
    <w:rsid w:val="00B3534F"/>
    <w:rsid w:val="00B35EB9"/>
    <w:rsid w:val="00B3798E"/>
    <w:rsid w:val="00B4079A"/>
    <w:rsid w:val="00B4182D"/>
    <w:rsid w:val="00B422C3"/>
    <w:rsid w:val="00B47242"/>
    <w:rsid w:val="00B47EC6"/>
    <w:rsid w:val="00B5773A"/>
    <w:rsid w:val="00B62ADD"/>
    <w:rsid w:val="00B633DF"/>
    <w:rsid w:val="00B644FB"/>
    <w:rsid w:val="00B65252"/>
    <w:rsid w:val="00B65CA2"/>
    <w:rsid w:val="00B66578"/>
    <w:rsid w:val="00B67F7A"/>
    <w:rsid w:val="00B75171"/>
    <w:rsid w:val="00B753DA"/>
    <w:rsid w:val="00B80B98"/>
    <w:rsid w:val="00B8113E"/>
    <w:rsid w:val="00B83482"/>
    <w:rsid w:val="00B83F76"/>
    <w:rsid w:val="00B87697"/>
    <w:rsid w:val="00B919C2"/>
    <w:rsid w:val="00B96842"/>
    <w:rsid w:val="00BA06F3"/>
    <w:rsid w:val="00BA1A81"/>
    <w:rsid w:val="00BA2BA0"/>
    <w:rsid w:val="00BA4370"/>
    <w:rsid w:val="00BA73E5"/>
    <w:rsid w:val="00BA7B7A"/>
    <w:rsid w:val="00BB07CD"/>
    <w:rsid w:val="00BB1BF1"/>
    <w:rsid w:val="00BB425F"/>
    <w:rsid w:val="00BB6063"/>
    <w:rsid w:val="00BD25C3"/>
    <w:rsid w:val="00BD5A12"/>
    <w:rsid w:val="00BE299D"/>
    <w:rsid w:val="00BE3014"/>
    <w:rsid w:val="00BE36EA"/>
    <w:rsid w:val="00BE4D88"/>
    <w:rsid w:val="00BE57F6"/>
    <w:rsid w:val="00BE745B"/>
    <w:rsid w:val="00BE7F63"/>
    <w:rsid w:val="00BF14CD"/>
    <w:rsid w:val="00BF16A0"/>
    <w:rsid w:val="00BF1A46"/>
    <w:rsid w:val="00BF35D6"/>
    <w:rsid w:val="00BF79DB"/>
    <w:rsid w:val="00BF7FDC"/>
    <w:rsid w:val="00C0006F"/>
    <w:rsid w:val="00C0067E"/>
    <w:rsid w:val="00C03102"/>
    <w:rsid w:val="00C04E59"/>
    <w:rsid w:val="00C04E8D"/>
    <w:rsid w:val="00C106FE"/>
    <w:rsid w:val="00C1307D"/>
    <w:rsid w:val="00C14DA7"/>
    <w:rsid w:val="00C17724"/>
    <w:rsid w:val="00C21A2F"/>
    <w:rsid w:val="00C22861"/>
    <w:rsid w:val="00C22AAE"/>
    <w:rsid w:val="00C22C74"/>
    <w:rsid w:val="00C27363"/>
    <w:rsid w:val="00C33BFB"/>
    <w:rsid w:val="00C34012"/>
    <w:rsid w:val="00C3730E"/>
    <w:rsid w:val="00C41502"/>
    <w:rsid w:val="00C41E19"/>
    <w:rsid w:val="00C447D4"/>
    <w:rsid w:val="00C447EA"/>
    <w:rsid w:val="00C47661"/>
    <w:rsid w:val="00C47862"/>
    <w:rsid w:val="00C50B5C"/>
    <w:rsid w:val="00C51DD6"/>
    <w:rsid w:val="00C52716"/>
    <w:rsid w:val="00C55359"/>
    <w:rsid w:val="00C60D69"/>
    <w:rsid w:val="00C61FD9"/>
    <w:rsid w:val="00C632EE"/>
    <w:rsid w:val="00C64933"/>
    <w:rsid w:val="00C65798"/>
    <w:rsid w:val="00C7705C"/>
    <w:rsid w:val="00C77715"/>
    <w:rsid w:val="00C800D4"/>
    <w:rsid w:val="00C8233A"/>
    <w:rsid w:val="00C8506E"/>
    <w:rsid w:val="00C854F9"/>
    <w:rsid w:val="00C874F5"/>
    <w:rsid w:val="00C87D04"/>
    <w:rsid w:val="00C906B6"/>
    <w:rsid w:val="00C944DC"/>
    <w:rsid w:val="00C95CDF"/>
    <w:rsid w:val="00CA0A4C"/>
    <w:rsid w:val="00CA0F47"/>
    <w:rsid w:val="00CA364C"/>
    <w:rsid w:val="00CA3739"/>
    <w:rsid w:val="00CA5A89"/>
    <w:rsid w:val="00CA647C"/>
    <w:rsid w:val="00CA780F"/>
    <w:rsid w:val="00CA78F8"/>
    <w:rsid w:val="00CA7A0F"/>
    <w:rsid w:val="00CB05A4"/>
    <w:rsid w:val="00CB45D0"/>
    <w:rsid w:val="00CB58C9"/>
    <w:rsid w:val="00CB73A3"/>
    <w:rsid w:val="00CC058E"/>
    <w:rsid w:val="00CC0D51"/>
    <w:rsid w:val="00CC2719"/>
    <w:rsid w:val="00CC283C"/>
    <w:rsid w:val="00CC4D84"/>
    <w:rsid w:val="00CC7EB3"/>
    <w:rsid w:val="00CD4139"/>
    <w:rsid w:val="00CD5D4B"/>
    <w:rsid w:val="00CD5F01"/>
    <w:rsid w:val="00CD6EF9"/>
    <w:rsid w:val="00CE05DD"/>
    <w:rsid w:val="00CE170F"/>
    <w:rsid w:val="00CE2140"/>
    <w:rsid w:val="00CE4BBA"/>
    <w:rsid w:val="00CF0D30"/>
    <w:rsid w:val="00CF1446"/>
    <w:rsid w:val="00CF195B"/>
    <w:rsid w:val="00CF599E"/>
    <w:rsid w:val="00CF72CB"/>
    <w:rsid w:val="00D02A89"/>
    <w:rsid w:val="00D07C5C"/>
    <w:rsid w:val="00D100E7"/>
    <w:rsid w:val="00D1100D"/>
    <w:rsid w:val="00D11D9C"/>
    <w:rsid w:val="00D12AC2"/>
    <w:rsid w:val="00D133CF"/>
    <w:rsid w:val="00D2158D"/>
    <w:rsid w:val="00D22AFA"/>
    <w:rsid w:val="00D22B61"/>
    <w:rsid w:val="00D234C8"/>
    <w:rsid w:val="00D24F9C"/>
    <w:rsid w:val="00D30071"/>
    <w:rsid w:val="00D32284"/>
    <w:rsid w:val="00D324FD"/>
    <w:rsid w:val="00D3268B"/>
    <w:rsid w:val="00D346BD"/>
    <w:rsid w:val="00D402FA"/>
    <w:rsid w:val="00D43CA0"/>
    <w:rsid w:val="00D460E3"/>
    <w:rsid w:val="00D4622F"/>
    <w:rsid w:val="00D47880"/>
    <w:rsid w:val="00D47A3C"/>
    <w:rsid w:val="00D47CE2"/>
    <w:rsid w:val="00D6484B"/>
    <w:rsid w:val="00D7002C"/>
    <w:rsid w:val="00D71B29"/>
    <w:rsid w:val="00D722B4"/>
    <w:rsid w:val="00D72708"/>
    <w:rsid w:val="00D73920"/>
    <w:rsid w:val="00D73D10"/>
    <w:rsid w:val="00D74B28"/>
    <w:rsid w:val="00D756E5"/>
    <w:rsid w:val="00D75761"/>
    <w:rsid w:val="00D7589D"/>
    <w:rsid w:val="00D764ED"/>
    <w:rsid w:val="00D8158A"/>
    <w:rsid w:val="00D838B6"/>
    <w:rsid w:val="00D84A28"/>
    <w:rsid w:val="00D84B06"/>
    <w:rsid w:val="00D85E75"/>
    <w:rsid w:val="00D86909"/>
    <w:rsid w:val="00D91CB3"/>
    <w:rsid w:val="00D92F86"/>
    <w:rsid w:val="00DA01D9"/>
    <w:rsid w:val="00DA1F65"/>
    <w:rsid w:val="00DA340D"/>
    <w:rsid w:val="00DA487C"/>
    <w:rsid w:val="00DA4B5F"/>
    <w:rsid w:val="00DA6B9F"/>
    <w:rsid w:val="00DA7118"/>
    <w:rsid w:val="00DA7A6E"/>
    <w:rsid w:val="00DA7D57"/>
    <w:rsid w:val="00DB3BA9"/>
    <w:rsid w:val="00DB4B75"/>
    <w:rsid w:val="00DC3B22"/>
    <w:rsid w:val="00DC64F7"/>
    <w:rsid w:val="00DC6C39"/>
    <w:rsid w:val="00DD0269"/>
    <w:rsid w:val="00DD1E01"/>
    <w:rsid w:val="00DD2BB8"/>
    <w:rsid w:val="00DD35F7"/>
    <w:rsid w:val="00DD42FF"/>
    <w:rsid w:val="00DD675F"/>
    <w:rsid w:val="00DE105B"/>
    <w:rsid w:val="00DE2EB7"/>
    <w:rsid w:val="00DE4773"/>
    <w:rsid w:val="00DE4BBF"/>
    <w:rsid w:val="00DE701D"/>
    <w:rsid w:val="00DF1307"/>
    <w:rsid w:val="00DF2CD1"/>
    <w:rsid w:val="00DF4D96"/>
    <w:rsid w:val="00DF6561"/>
    <w:rsid w:val="00DF722E"/>
    <w:rsid w:val="00E004FF"/>
    <w:rsid w:val="00E044A6"/>
    <w:rsid w:val="00E04AB7"/>
    <w:rsid w:val="00E05AB1"/>
    <w:rsid w:val="00E06F92"/>
    <w:rsid w:val="00E07CAF"/>
    <w:rsid w:val="00E10722"/>
    <w:rsid w:val="00E15167"/>
    <w:rsid w:val="00E153E2"/>
    <w:rsid w:val="00E15699"/>
    <w:rsid w:val="00E159F8"/>
    <w:rsid w:val="00E15E1B"/>
    <w:rsid w:val="00E16887"/>
    <w:rsid w:val="00E16ECE"/>
    <w:rsid w:val="00E17077"/>
    <w:rsid w:val="00E17661"/>
    <w:rsid w:val="00E219EC"/>
    <w:rsid w:val="00E22659"/>
    <w:rsid w:val="00E22C71"/>
    <w:rsid w:val="00E24F8C"/>
    <w:rsid w:val="00E26A16"/>
    <w:rsid w:val="00E278E3"/>
    <w:rsid w:val="00E2790B"/>
    <w:rsid w:val="00E30052"/>
    <w:rsid w:val="00E403C1"/>
    <w:rsid w:val="00E404C5"/>
    <w:rsid w:val="00E40789"/>
    <w:rsid w:val="00E4241E"/>
    <w:rsid w:val="00E43AE4"/>
    <w:rsid w:val="00E44802"/>
    <w:rsid w:val="00E50705"/>
    <w:rsid w:val="00E519E8"/>
    <w:rsid w:val="00E534A8"/>
    <w:rsid w:val="00E60CDF"/>
    <w:rsid w:val="00E6154B"/>
    <w:rsid w:val="00E63930"/>
    <w:rsid w:val="00E63AB6"/>
    <w:rsid w:val="00E64C5D"/>
    <w:rsid w:val="00E66B91"/>
    <w:rsid w:val="00E71598"/>
    <w:rsid w:val="00E721FE"/>
    <w:rsid w:val="00E75AB5"/>
    <w:rsid w:val="00E761A0"/>
    <w:rsid w:val="00E7687E"/>
    <w:rsid w:val="00E769DA"/>
    <w:rsid w:val="00E80F21"/>
    <w:rsid w:val="00E834E0"/>
    <w:rsid w:val="00E84C1B"/>
    <w:rsid w:val="00E87815"/>
    <w:rsid w:val="00E92487"/>
    <w:rsid w:val="00E92A8D"/>
    <w:rsid w:val="00E94668"/>
    <w:rsid w:val="00E94B00"/>
    <w:rsid w:val="00E96AEE"/>
    <w:rsid w:val="00EA0A20"/>
    <w:rsid w:val="00EA1C09"/>
    <w:rsid w:val="00EA2AA8"/>
    <w:rsid w:val="00EA3664"/>
    <w:rsid w:val="00EA376A"/>
    <w:rsid w:val="00EA482E"/>
    <w:rsid w:val="00EA4B32"/>
    <w:rsid w:val="00EA4DB1"/>
    <w:rsid w:val="00EB1ACD"/>
    <w:rsid w:val="00EB1F71"/>
    <w:rsid w:val="00EB7645"/>
    <w:rsid w:val="00EC3DB8"/>
    <w:rsid w:val="00EC432E"/>
    <w:rsid w:val="00ED17A3"/>
    <w:rsid w:val="00ED1BD9"/>
    <w:rsid w:val="00ED20F1"/>
    <w:rsid w:val="00ED31F2"/>
    <w:rsid w:val="00ED35D1"/>
    <w:rsid w:val="00ED425B"/>
    <w:rsid w:val="00ED55E9"/>
    <w:rsid w:val="00ED64EE"/>
    <w:rsid w:val="00ED65F5"/>
    <w:rsid w:val="00ED7937"/>
    <w:rsid w:val="00ED7B9E"/>
    <w:rsid w:val="00ED7FC0"/>
    <w:rsid w:val="00EE2651"/>
    <w:rsid w:val="00EE566B"/>
    <w:rsid w:val="00EE5B1D"/>
    <w:rsid w:val="00EE6F0A"/>
    <w:rsid w:val="00EF1248"/>
    <w:rsid w:val="00EF18E2"/>
    <w:rsid w:val="00EF3324"/>
    <w:rsid w:val="00EF4F52"/>
    <w:rsid w:val="00EF55D6"/>
    <w:rsid w:val="00EF74D1"/>
    <w:rsid w:val="00EF770E"/>
    <w:rsid w:val="00F002CE"/>
    <w:rsid w:val="00F00FFF"/>
    <w:rsid w:val="00F02F62"/>
    <w:rsid w:val="00F0379F"/>
    <w:rsid w:val="00F040D4"/>
    <w:rsid w:val="00F043F7"/>
    <w:rsid w:val="00F06CFC"/>
    <w:rsid w:val="00F07AAA"/>
    <w:rsid w:val="00F1142B"/>
    <w:rsid w:val="00F1664B"/>
    <w:rsid w:val="00F168C0"/>
    <w:rsid w:val="00F1696A"/>
    <w:rsid w:val="00F16C13"/>
    <w:rsid w:val="00F202FE"/>
    <w:rsid w:val="00F203EC"/>
    <w:rsid w:val="00F206FE"/>
    <w:rsid w:val="00F2176C"/>
    <w:rsid w:val="00F237C8"/>
    <w:rsid w:val="00F23C7F"/>
    <w:rsid w:val="00F24CF5"/>
    <w:rsid w:val="00F269AE"/>
    <w:rsid w:val="00F27C8F"/>
    <w:rsid w:val="00F27FF1"/>
    <w:rsid w:val="00F30509"/>
    <w:rsid w:val="00F349CD"/>
    <w:rsid w:val="00F354F4"/>
    <w:rsid w:val="00F355B3"/>
    <w:rsid w:val="00F44401"/>
    <w:rsid w:val="00F5216C"/>
    <w:rsid w:val="00F52770"/>
    <w:rsid w:val="00F62270"/>
    <w:rsid w:val="00F637E7"/>
    <w:rsid w:val="00F64525"/>
    <w:rsid w:val="00F652D5"/>
    <w:rsid w:val="00F65696"/>
    <w:rsid w:val="00F65A5E"/>
    <w:rsid w:val="00F6610E"/>
    <w:rsid w:val="00F706C8"/>
    <w:rsid w:val="00F73677"/>
    <w:rsid w:val="00F73BFA"/>
    <w:rsid w:val="00F7592D"/>
    <w:rsid w:val="00F81507"/>
    <w:rsid w:val="00F9090E"/>
    <w:rsid w:val="00F93F56"/>
    <w:rsid w:val="00F95ECA"/>
    <w:rsid w:val="00F969C7"/>
    <w:rsid w:val="00F970A6"/>
    <w:rsid w:val="00F97B70"/>
    <w:rsid w:val="00FA116D"/>
    <w:rsid w:val="00FA15EC"/>
    <w:rsid w:val="00FA1A4F"/>
    <w:rsid w:val="00FA3316"/>
    <w:rsid w:val="00FA3C14"/>
    <w:rsid w:val="00FA780D"/>
    <w:rsid w:val="00FB033F"/>
    <w:rsid w:val="00FB7246"/>
    <w:rsid w:val="00FC2F1D"/>
    <w:rsid w:val="00FC3D1E"/>
    <w:rsid w:val="00FC6CBF"/>
    <w:rsid w:val="00FC6EAD"/>
    <w:rsid w:val="00FD5918"/>
    <w:rsid w:val="00FD6E78"/>
    <w:rsid w:val="00FD75E8"/>
    <w:rsid w:val="00FE0981"/>
    <w:rsid w:val="00FE15EE"/>
    <w:rsid w:val="00FE17AA"/>
    <w:rsid w:val="00FE2E03"/>
    <w:rsid w:val="00FE2FA6"/>
    <w:rsid w:val="00FE3147"/>
    <w:rsid w:val="00FE46C2"/>
    <w:rsid w:val="00FE489A"/>
    <w:rsid w:val="00FE63C8"/>
    <w:rsid w:val="00FF005E"/>
    <w:rsid w:val="00FF1136"/>
    <w:rsid w:val="00FF17AA"/>
    <w:rsid w:val="00FF363B"/>
    <w:rsid w:val="00FF5D80"/>
    <w:rsid w:val="00FF7DB9"/>
  </w:rsids>
  <m:mathPr>
    <m:mathFont m:val="Cambria Math"/>
    <m:brkBin m:val="before"/>
    <m:brkBinSub m:val="--"/>
    <m:smallFrac/>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5D4B"/>
  </w:style>
  <w:style w:type="paragraph" w:styleId="Titre1">
    <w:name w:val="heading 1"/>
    <w:basedOn w:val="Normal"/>
    <w:next w:val="Normal"/>
    <w:link w:val="Titre1Car"/>
    <w:qFormat/>
    <w:rsid w:val="005C2E0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nhideWhenUsed/>
    <w:qFormat/>
    <w:rsid w:val="005C2E0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qFormat/>
    <w:rsid w:val="00B80B98"/>
    <w:pPr>
      <w:keepNext/>
      <w:tabs>
        <w:tab w:val="num" w:pos="720"/>
      </w:tabs>
      <w:spacing w:before="240" w:after="60" w:line="240" w:lineRule="auto"/>
      <w:ind w:left="720" w:hanging="720"/>
      <w:jc w:val="both"/>
      <w:outlineLvl w:val="2"/>
    </w:pPr>
    <w:rPr>
      <w:rFonts w:ascii="Times New Roman" w:eastAsia="Times New Roman" w:hAnsi="Times New Roman" w:cs="Arial"/>
      <w:b/>
      <w:bCs/>
      <w:i/>
      <w:sz w:val="24"/>
      <w:szCs w:val="26"/>
    </w:rPr>
  </w:style>
  <w:style w:type="paragraph" w:styleId="Titre4">
    <w:name w:val="heading 4"/>
    <w:basedOn w:val="Normal"/>
    <w:next w:val="Normal"/>
    <w:link w:val="Titre4Car"/>
    <w:uiPriority w:val="9"/>
    <w:unhideWhenUsed/>
    <w:qFormat/>
    <w:rsid w:val="001C55F3"/>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qFormat/>
    <w:rsid w:val="00B80B98"/>
    <w:pPr>
      <w:tabs>
        <w:tab w:val="num" w:pos="1008"/>
      </w:tabs>
      <w:spacing w:before="240" w:after="60" w:line="240" w:lineRule="auto"/>
      <w:ind w:left="1008" w:hanging="1008"/>
      <w:jc w:val="both"/>
      <w:outlineLvl w:val="4"/>
    </w:pPr>
    <w:rPr>
      <w:rFonts w:ascii="Times New Roman" w:eastAsia="Times New Roman" w:hAnsi="Times New Roman" w:cs="Times New Roman"/>
      <w:b/>
      <w:bCs/>
      <w:i/>
      <w:iCs/>
      <w:sz w:val="26"/>
      <w:szCs w:val="26"/>
    </w:rPr>
  </w:style>
  <w:style w:type="paragraph" w:styleId="Titre6">
    <w:name w:val="heading 6"/>
    <w:basedOn w:val="Normal"/>
    <w:next w:val="Normal"/>
    <w:link w:val="Titre6Car"/>
    <w:qFormat/>
    <w:rsid w:val="00B80B98"/>
    <w:pPr>
      <w:tabs>
        <w:tab w:val="num" w:pos="1152"/>
      </w:tabs>
      <w:spacing w:before="240" w:after="60" w:line="240" w:lineRule="auto"/>
      <w:ind w:left="1152" w:hanging="1152"/>
      <w:jc w:val="both"/>
      <w:outlineLvl w:val="5"/>
    </w:pPr>
    <w:rPr>
      <w:rFonts w:ascii="Times New Roman" w:eastAsia="Times New Roman" w:hAnsi="Times New Roman" w:cs="Times New Roman"/>
      <w:b/>
      <w:bCs/>
      <w:sz w:val="24"/>
    </w:rPr>
  </w:style>
  <w:style w:type="paragraph" w:styleId="Titre7">
    <w:name w:val="heading 7"/>
    <w:basedOn w:val="Normal"/>
    <w:next w:val="Normal"/>
    <w:link w:val="Titre7Car"/>
    <w:qFormat/>
    <w:rsid w:val="00B80B98"/>
    <w:pPr>
      <w:tabs>
        <w:tab w:val="num" w:pos="1296"/>
      </w:tabs>
      <w:spacing w:before="240" w:after="60" w:line="240" w:lineRule="auto"/>
      <w:ind w:left="1296" w:hanging="1296"/>
      <w:jc w:val="both"/>
      <w:outlineLvl w:val="6"/>
    </w:pPr>
    <w:rPr>
      <w:rFonts w:ascii="Times New Roman" w:eastAsia="Times New Roman" w:hAnsi="Times New Roman" w:cs="Times New Roman"/>
      <w:sz w:val="24"/>
      <w:szCs w:val="24"/>
    </w:rPr>
  </w:style>
  <w:style w:type="paragraph" w:styleId="Titre8">
    <w:name w:val="heading 8"/>
    <w:basedOn w:val="Normal"/>
    <w:next w:val="Normal"/>
    <w:link w:val="Titre8Car"/>
    <w:qFormat/>
    <w:rsid w:val="00B80B98"/>
    <w:pPr>
      <w:tabs>
        <w:tab w:val="num" w:pos="1440"/>
      </w:tabs>
      <w:spacing w:before="240" w:after="60" w:line="240" w:lineRule="auto"/>
      <w:ind w:left="1440" w:hanging="1440"/>
      <w:jc w:val="both"/>
      <w:outlineLvl w:val="7"/>
    </w:pPr>
    <w:rPr>
      <w:rFonts w:ascii="Times New Roman" w:eastAsia="Times New Roman" w:hAnsi="Times New Roman" w:cs="Times New Roman"/>
      <w:i/>
      <w:i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C2E0E"/>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5C2E0E"/>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rsid w:val="00B80B98"/>
    <w:rPr>
      <w:rFonts w:ascii="Times New Roman" w:eastAsia="Times New Roman" w:hAnsi="Times New Roman" w:cs="Arial"/>
      <w:b/>
      <w:bCs/>
      <w:i/>
      <w:sz w:val="24"/>
      <w:szCs w:val="26"/>
    </w:rPr>
  </w:style>
  <w:style w:type="character" w:customStyle="1" w:styleId="Titre4Car">
    <w:name w:val="Titre 4 Car"/>
    <w:basedOn w:val="Policepardfaut"/>
    <w:link w:val="Titre4"/>
    <w:uiPriority w:val="9"/>
    <w:rsid w:val="001C55F3"/>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rsid w:val="00B80B98"/>
    <w:rPr>
      <w:rFonts w:ascii="Times New Roman" w:eastAsia="Times New Roman" w:hAnsi="Times New Roman" w:cs="Times New Roman"/>
      <w:b/>
      <w:bCs/>
      <w:i/>
      <w:iCs/>
      <w:sz w:val="26"/>
      <w:szCs w:val="26"/>
    </w:rPr>
  </w:style>
  <w:style w:type="character" w:customStyle="1" w:styleId="Titre6Car">
    <w:name w:val="Titre 6 Car"/>
    <w:basedOn w:val="Policepardfaut"/>
    <w:link w:val="Titre6"/>
    <w:rsid w:val="00B80B98"/>
    <w:rPr>
      <w:rFonts w:ascii="Times New Roman" w:eastAsia="Times New Roman" w:hAnsi="Times New Roman" w:cs="Times New Roman"/>
      <w:b/>
      <w:bCs/>
      <w:sz w:val="24"/>
    </w:rPr>
  </w:style>
  <w:style w:type="character" w:customStyle="1" w:styleId="Titre7Car">
    <w:name w:val="Titre 7 Car"/>
    <w:basedOn w:val="Policepardfaut"/>
    <w:link w:val="Titre7"/>
    <w:rsid w:val="00B80B98"/>
    <w:rPr>
      <w:rFonts w:ascii="Times New Roman" w:eastAsia="Times New Roman" w:hAnsi="Times New Roman" w:cs="Times New Roman"/>
      <w:sz w:val="24"/>
      <w:szCs w:val="24"/>
    </w:rPr>
  </w:style>
  <w:style w:type="character" w:customStyle="1" w:styleId="Titre8Car">
    <w:name w:val="Titre 8 Car"/>
    <w:basedOn w:val="Policepardfaut"/>
    <w:link w:val="Titre8"/>
    <w:rsid w:val="00B80B98"/>
    <w:rPr>
      <w:rFonts w:ascii="Times New Roman" w:eastAsia="Times New Roman" w:hAnsi="Times New Roman" w:cs="Times New Roman"/>
      <w:i/>
      <w:iCs/>
      <w:sz w:val="24"/>
      <w:szCs w:val="24"/>
    </w:rPr>
  </w:style>
  <w:style w:type="paragraph" w:styleId="Paragraphedeliste">
    <w:name w:val="List Paragraph"/>
    <w:basedOn w:val="Normal"/>
    <w:link w:val="ParagraphedelisteCar"/>
    <w:uiPriority w:val="99"/>
    <w:qFormat/>
    <w:rsid w:val="00C874F5"/>
    <w:pPr>
      <w:ind w:left="720"/>
      <w:contextualSpacing/>
    </w:pPr>
  </w:style>
  <w:style w:type="character" w:customStyle="1" w:styleId="ParagraphedelisteCar">
    <w:name w:val="Paragraphe de liste Car"/>
    <w:link w:val="Paragraphedeliste"/>
    <w:uiPriority w:val="99"/>
    <w:rsid w:val="00B80B98"/>
  </w:style>
  <w:style w:type="character" w:styleId="Lienhypertexte">
    <w:name w:val="Hyperlink"/>
    <w:basedOn w:val="Policepardfaut"/>
    <w:uiPriority w:val="99"/>
    <w:unhideWhenUsed/>
    <w:rsid w:val="004917A0"/>
    <w:rPr>
      <w:color w:val="0000FF" w:themeColor="hyperlink"/>
      <w:u w:val="single"/>
    </w:rPr>
  </w:style>
  <w:style w:type="table" w:styleId="Grilledutableau">
    <w:name w:val="Table Grid"/>
    <w:basedOn w:val="TableauNormal"/>
    <w:uiPriority w:val="59"/>
    <w:rsid w:val="004917A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aire">
    <w:name w:val="annotation text"/>
    <w:basedOn w:val="Normal"/>
    <w:link w:val="CommentaireCar"/>
    <w:uiPriority w:val="99"/>
    <w:unhideWhenUsed/>
    <w:rsid w:val="004917A0"/>
    <w:pPr>
      <w:spacing w:line="240" w:lineRule="auto"/>
    </w:pPr>
    <w:rPr>
      <w:sz w:val="20"/>
      <w:szCs w:val="20"/>
    </w:rPr>
  </w:style>
  <w:style w:type="character" w:customStyle="1" w:styleId="CommentaireCar">
    <w:name w:val="Commentaire Car"/>
    <w:basedOn w:val="Policepardfaut"/>
    <w:link w:val="Commentaire"/>
    <w:uiPriority w:val="99"/>
    <w:rsid w:val="004917A0"/>
    <w:rPr>
      <w:sz w:val="20"/>
      <w:szCs w:val="20"/>
    </w:rPr>
  </w:style>
  <w:style w:type="paragraph" w:styleId="Textedebulles">
    <w:name w:val="Balloon Text"/>
    <w:basedOn w:val="Normal"/>
    <w:link w:val="TextedebullesCar"/>
    <w:uiPriority w:val="99"/>
    <w:semiHidden/>
    <w:unhideWhenUsed/>
    <w:rsid w:val="004917A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917A0"/>
    <w:rPr>
      <w:rFonts w:ascii="Tahoma" w:hAnsi="Tahoma" w:cs="Tahoma"/>
      <w:sz w:val="16"/>
      <w:szCs w:val="16"/>
    </w:rPr>
  </w:style>
  <w:style w:type="paragraph" w:customStyle="1" w:styleId="Default">
    <w:name w:val="Default"/>
    <w:rsid w:val="00A74616"/>
    <w:pPr>
      <w:autoSpaceDE w:val="0"/>
      <w:autoSpaceDN w:val="0"/>
      <w:adjustRightInd w:val="0"/>
      <w:spacing w:after="0" w:line="240" w:lineRule="auto"/>
    </w:pPr>
    <w:rPr>
      <w:rFonts w:ascii="Arial" w:hAnsi="Arial" w:cs="Arial"/>
      <w:color w:val="000000"/>
      <w:sz w:val="24"/>
      <w:szCs w:val="24"/>
    </w:rPr>
  </w:style>
  <w:style w:type="paragraph" w:customStyle="1" w:styleId="broodtekst">
    <w:name w:val="broodtekst"/>
    <w:basedOn w:val="Normal"/>
    <w:link w:val="broodtekstChar"/>
    <w:rsid w:val="00330419"/>
    <w:pPr>
      <w:spacing w:after="0" w:line="280" w:lineRule="atLeast"/>
      <w:ind w:firstLine="360"/>
    </w:pPr>
    <w:rPr>
      <w:rFonts w:ascii="Arial" w:eastAsiaTheme="minorEastAsia" w:hAnsi="Arial"/>
      <w:sz w:val="18"/>
      <w:lang w:eastAsia="nl-NL"/>
    </w:rPr>
  </w:style>
  <w:style w:type="character" w:customStyle="1" w:styleId="broodtekstChar">
    <w:name w:val="broodtekst Char"/>
    <w:link w:val="broodtekst"/>
    <w:locked/>
    <w:rsid w:val="00330419"/>
    <w:rPr>
      <w:rFonts w:ascii="Arial" w:eastAsiaTheme="minorEastAsia" w:hAnsi="Arial"/>
      <w:sz w:val="18"/>
      <w:lang w:eastAsia="nl-NL"/>
    </w:rPr>
  </w:style>
  <w:style w:type="paragraph" w:customStyle="1" w:styleId="TableText">
    <w:name w:val="Table Text"/>
    <w:aliases w:val="TT"/>
    <w:basedOn w:val="Normal"/>
    <w:link w:val="TableTextChar"/>
    <w:uiPriority w:val="99"/>
    <w:rsid w:val="00330419"/>
    <w:pPr>
      <w:suppressAutoHyphens/>
      <w:spacing w:after="0" w:line="280" w:lineRule="atLeast"/>
      <w:ind w:firstLine="360"/>
    </w:pPr>
    <w:rPr>
      <w:rFonts w:ascii="Arial" w:eastAsiaTheme="minorEastAsia" w:hAnsi="Arial"/>
      <w:sz w:val="16"/>
      <w:lang w:eastAsia="ar-SA"/>
    </w:rPr>
  </w:style>
  <w:style w:type="character" w:customStyle="1" w:styleId="TableTextChar">
    <w:name w:val="Table Text Char"/>
    <w:basedOn w:val="Policepardfaut"/>
    <w:link w:val="TableText"/>
    <w:uiPriority w:val="99"/>
    <w:locked/>
    <w:rsid w:val="00330419"/>
    <w:rPr>
      <w:rFonts w:ascii="Arial" w:eastAsiaTheme="minorEastAsia" w:hAnsi="Arial"/>
      <w:sz w:val="16"/>
      <w:lang w:eastAsia="ar-SA"/>
    </w:rPr>
  </w:style>
  <w:style w:type="paragraph" w:customStyle="1" w:styleId="TableHeading">
    <w:name w:val="Table Heading"/>
    <w:basedOn w:val="TableText"/>
    <w:rsid w:val="00330419"/>
    <w:pPr>
      <w:keepNext/>
    </w:pPr>
    <w:rPr>
      <w:b/>
    </w:rPr>
  </w:style>
  <w:style w:type="paragraph" w:customStyle="1" w:styleId="Institution-description">
    <w:name w:val="Institution-description"/>
    <w:basedOn w:val="Normal"/>
    <w:uiPriority w:val="99"/>
    <w:rsid w:val="00330419"/>
    <w:pPr>
      <w:spacing w:before="60" w:after="0" w:line="240" w:lineRule="auto"/>
      <w:ind w:firstLine="360"/>
      <w:jc w:val="both"/>
    </w:pPr>
    <w:rPr>
      <w:rFonts w:ascii="Times New Roman" w:eastAsiaTheme="minorEastAsia" w:hAnsi="Times New Roman"/>
      <w:szCs w:val="20"/>
      <w:lang w:eastAsia="de-DE"/>
    </w:rPr>
  </w:style>
  <w:style w:type="paragraph" w:styleId="NormalWeb">
    <w:name w:val="Normal (Web)"/>
    <w:basedOn w:val="Normal"/>
    <w:uiPriority w:val="99"/>
    <w:unhideWhenUsed/>
    <w:rsid w:val="00FE2E03"/>
    <w:pPr>
      <w:spacing w:after="0" w:line="240" w:lineRule="auto"/>
    </w:pPr>
    <w:rPr>
      <w:rFonts w:ascii="Times New Roman" w:hAnsi="Times New Roman" w:cs="Times New Roman"/>
      <w:sz w:val="24"/>
      <w:szCs w:val="24"/>
      <w:lang w:eastAsia="en-GB"/>
    </w:rPr>
  </w:style>
  <w:style w:type="paragraph" w:customStyle="1" w:styleId="Aufzhlbvorlzx">
    <w:name w:val="Aufzähl_b_vorlz &gt;x"/>
    <w:basedOn w:val="Normal"/>
    <w:rsid w:val="0077210F"/>
    <w:pPr>
      <w:keepLines/>
      <w:numPr>
        <w:numId w:val="2"/>
      </w:numPr>
      <w:tabs>
        <w:tab w:val="left" w:pos="851"/>
        <w:tab w:val="left" w:pos="1701"/>
        <w:tab w:val="left" w:pos="2552"/>
      </w:tabs>
      <w:spacing w:after="0" w:line="240" w:lineRule="auto"/>
      <w:jc w:val="both"/>
    </w:pPr>
    <w:rPr>
      <w:rFonts w:ascii="Calibri" w:eastAsia="Times New Roman" w:hAnsi="Calibri" w:cs="Times New Roman"/>
      <w:sz w:val="20"/>
      <w:szCs w:val="20"/>
      <w:lang w:val="de-DE" w:eastAsia="de-DE"/>
    </w:rPr>
  </w:style>
  <w:style w:type="paragraph" w:customStyle="1" w:styleId="table-text">
    <w:name w:val="table-text"/>
    <w:basedOn w:val="Normal"/>
    <w:rsid w:val="00C22C74"/>
    <w:pPr>
      <w:spacing w:after="0" w:line="280" w:lineRule="atLeast"/>
    </w:pPr>
    <w:rPr>
      <w:rFonts w:ascii="Arial" w:eastAsia="Times New Roman" w:hAnsi="Arial" w:cs="Times New Roman"/>
      <w:sz w:val="16"/>
      <w:szCs w:val="24"/>
      <w:lang w:eastAsia="nl-NL"/>
    </w:rPr>
  </w:style>
  <w:style w:type="paragraph" w:customStyle="1" w:styleId="tabeltekst">
    <w:name w:val="tabeltekst"/>
    <w:basedOn w:val="Normal"/>
    <w:rsid w:val="00C22C74"/>
    <w:pPr>
      <w:spacing w:after="0" w:line="280" w:lineRule="atLeast"/>
    </w:pPr>
    <w:rPr>
      <w:rFonts w:ascii="Arial" w:eastAsia="Times New Roman" w:hAnsi="Arial" w:cs="Times New Roman"/>
      <w:color w:val="000000"/>
      <w:sz w:val="16"/>
      <w:szCs w:val="24"/>
      <w:lang w:eastAsia="nl-NL"/>
    </w:rPr>
  </w:style>
  <w:style w:type="character" w:customStyle="1" w:styleId="apple-converted-space">
    <w:name w:val="apple-converted-space"/>
    <w:rsid w:val="00C22C74"/>
  </w:style>
  <w:style w:type="paragraph" w:styleId="En-tte">
    <w:name w:val="header"/>
    <w:basedOn w:val="Normal"/>
    <w:link w:val="En-tteCar"/>
    <w:unhideWhenUsed/>
    <w:rsid w:val="0090040A"/>
    <w:pPr>
      <w:tabs>
        <w:tab w:val="center" w:pos="4536"/>
        <w:tab w:val="right" w:pos="9072"/>
      </w:tabs>
      <w:spacing w:after="0" w:line="240" w:lineRule="auto"/>
    </w:pPr>
  </w:style>
  <w:style w:type="character" w:customStyle="1" w:styleId="En-tteCar">
    <w:name w:val="En-tête Car"/>
    <w:basedOn w:val="Policepardfaut"/>
    <w:link w:val="En-tte"/>
    <w:rsid w:val="0090040A"/>
  </w:style>
  <w:style w:type="paragraph" w:styleId="Pieddepage">
    <w:name w:val="footer"/>
    <w:basedOn w:val="Normal"/>
    <w:link w:val="PieddepageCar"/>
    <w:uiPriority w:val="99"/>
    <w:unhideWhenUsed/>
    <w:rsid w:val="0090040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0040A"/>
  </w:style>
  <w:style w:type="paragraph" w:styleId="Notedebasdepage">
    <w:name w:val="footnote text"/>
    <w:basedOn w:val="Normal"/>
    <w:link w:val="NotedebasdepageCar"/>
    <w:rsid w:val="002019B8"/>
    <w:pPr>
      <w:spacing w:after="0" w:line="240" w:lineRule="auto"/>
    </w:pPr>
    <w:rPr>
      <w:rFonts w:ascii="Times New Roman" w:eastAsia="Times New Roman" w:hAnsi="Times New Roman" w:cs="Times New Roman"/>
      <w:sz w:val="20"/>
      <w:szCs w:val="20"/>
    </w:rPr>
  </w:style>
  <w:style w:type="character" w:customStyle="1" w:styleId="NotedebasdepageCar">
    <w:name w:val="Note de bas de page Car"/>
    <w:basedOn w:val="Policepardfaut"/>
    <w:link w:val="Notedebasdepage"/>
    <w:rsid w:val="002019B8"/>
    <w:rPr>
      <w:rFonts w:ascii="Times New Roman" w:eastAsia="Times New Roman" w:hAnsi="Times New Roman" w:cs="Times New Roman"/>
      <w:sz w:val="20"/>
      <w:szCs w:val="20"/>
    </w:rPr>
  </w:style>
  <w:style w:type="character" w:styleId="Appelnotedebasdep">
    <w:name w:val="footnote reference"/>
    <w:rsid w:val="002019B8"/>
    <w:rPr>
      <w:vertAlign w:val="superscript"/>
    </w:rPr>
  </w:style>
  <w:style w:type="paragraph" w:customStyle="1" w:styleId="Eaoaeaa">
    <w:name w:val="Eaoae?aa"/>
    <w:basedOn w:val="Normal"/>
    <w:rsid w:val="00475A89"/>
    <w:pPr>
      <w:widowControl w:val="0"/>
      <w:tabs>
        <w:tab w:val="center" w:pos="4153"/>
        <w:tab w:val="right" w:pos="8306"/>
      </w:tabs>
      <w:spacing w:after="0" w:line="240" w:lineRule="auto"/>
    </w:pPr>
    <w:rPr>
      <w:rFonts w:ascii="Times New Roman" w:eastAsia="Times New Roman" w:hAnsi="Times New Roman" w:cs="Times New Roman"/>
      <w:sz w:val="20"/>
      <w:szCs w:val="20"/>
      <w:lang w:val="en-US"/>
    </w:rPr>
  </w:style>
  <w:style w:type="paragraph" w:styleId="Corpsdetexte">
    <w:name w:val="Body Text"/>
    <w:basedOn w:val="Normal"/>
    <w:link w:val="CorpsdetexteCar"/>
    <w:rsid w:val="00A33D7B"/>
    <w:pPr>
      <w:spacing w:after="0" w:line="240" w:lineRule="auto"/>
      <w:jc w:val="both"/>
    </w:pPr>
    <w:rPr>
      <w:rFonts w:ascii="Times New Roman" w:eastAsia="Times New Roman" w:hAnsi="Times New Roman" w:cs="Times New Roman"/>
      <w:sz w:val="24"/>
      <w:szCs w:val="24"/>
    </w:rPr>
  </w:style>
  <w:style w:type="character" w:customStyle="1" w:styleId="CorpsdetexteCar">
    <w:name w:val="Corps de texte Car"/>
    <w:basedOn w:val="Policepardfaut"/>
    <w:link w:val="Corpsdetexte"/>
    <w:rsid w:val="00A33D7B"/>
    <w:rPr>
      <w:rFonts w:ascii="Times New Roman" w:eastAsia="Times New Roman" w:hAnsi="Times New Roman" w:cs="Times New Roman"/>
      <w:sz w:val="24"/>
      <w:szCs w:val="24"/>
    </w:rPr>
  </w:style>
  <w:style w:type="paragraph" w:customStyle="1" w:styleId="tabelkop">
    <w:name w:val="tabelkop"/>
    <w:basedOn w:val="Normal"/>
    <w:rsid w:val="00B66578"/>
    <w:pPr>
      <w:keepNext/>
      <w:keepLines/>
      <w:spacing w:after="0" w:line="280" w:lineRule="atLeast"/>
    </w:pPr>
    <w:rPr>
      <w:rFonts w:ascii="Arial" w:eastAsia="Times New Roman" w:hAnsi="Arial" w:cs="Times New Roman"/>
      <w:b/>
      <w:color w:val="FFFFFF"/>
      <w:sz w:val="16"/>
      <w:szCs w:val="24"/>
      <w:lang w:eastAsia="nl-NL"/>
    </w:rPr>
  </w:style>
  <w:style w:type="paragraph" w:customStyle="1" w:styleId="Aufzhlletztery">
    <w:name w:val="Aufzähl_letzter &gt;y"/>
    <w:basedOn w:val="Normal"/>
    <w:next w:val="Normal"/>
    <w:link w:val="AufzhlletzteryChar"/>
    <w:rsid w:val="00B66578"/>
    <w:pPr>
      <w:keepLines/>
      <w:numPr>
        <w:numId w:val="4"/>
      </w:numPr>
      <w:tabs>
        <w:tab w:val="left" w:pos="284"/>
        <w:tab w:val="left" w:pos="851"/>
        <w:tab w:val="left" w:pos="1701"/>
        <w:tab w:val="left" w:pos="2552"/>
      </w:tabs>
      <w:spacing w:after="180" w:line="240" w:lineRule="auto"/>
      <w:ind w:left="284" w:hanging="284"/>
      <w:jc w:val="both"/>
    </w:pPr>
    <w:rPr>
      <w:rFonts w:ascii="Calibri" w:eastAsia="Times New Roman" w:hAnsi="Calibri" w:cs="Times New Roman"/>
      <w:sz w:val="20"/>
      <w:szCs w:val="20"/>
      <w:lang w:val="de-DE" w:eastAsia="de-DE"/>
    </w:rPr>
  </w:style>
  <w:style w:type="character" w:customStyle="1" w:styleId="AufzhlletzteryChar">
    <w:name w:val="Aufzähl_letzter &gt;y Char"/>
    <w:link w:val="Aufzhlletztery"/>
    <w:rsid w:val="00B66578"/>
    <w:rPr>
      <w:rFonts w:ascii="Calibri" w:eastAsia="Times New Roman" w:hAnsi="Calibri" w:cs="Times New Roman"/>
      <w:sz w:val="20"/>
      <w:szCs w:val="20"/>
      <w:lang w:val="de-DE" w:eastAsia="de-DE"/>
    </w:rPr>
  </w:style>
  <w:style w:type="character" w:styleId="Marquedecommentaire">
    <w:name w:val="annotation reference"/>
    <w:basedOn w:val="Policepardfaut"/>
    <w:uiPriority w:val="99"/>
    <w:semiHidden/>
    <w:unhideWhenUsed/>
    <w:rsid w:val="00720570"/>
    <w:rPr>
      <w:sz w:val="16"/>
      <w:szCs w:val="16"/>
    </w:rPr>
  </w:style>
  <w:style w:type="paragraph" w:styleId="Lgende">
    <w:name w:val="caption"/>
    <w:basedOn w:val="Normal"/>
    <w:next w:val="Normal"/>
    <w:uiPriority w:val="35"/>
    <w:unhideWhenUsed/>
    <w:qFormat/>
    <w:rsid w:val="00574769"/>
    <w:pPr>
      <w:spacing w:line="240" w:lineRule="auto"/>
    </w:pPr>
    <w:rPr>
      <w:b/>
      <w:bCs/>
      <w:color w:val="4F81BD" w:themeColor="accent1"/>
      <w:sz w:val="18"/>
      <w:szCs w:val="18"/>
    </w:rPr>
  </w:style>
  <w:style w:type="paragraph" w:customStyle="1" w:styleId="Untertitel">
    <w:name w:val="Untertitel"/>
    <w:basedOn w:val="Default"/>
    <w:next w:val="Default"/>
    <w:uiPriority w:val="99"/>
    <w:rsid w:val="00E22659"/>
    <w:rPr>
      <w:color w:val="auto"/>
    </w:rPr>
  </w:style>
  <w:style w:type="paragraph" w:customStyle="1" w:styleId="Titel">
    <w:name w:val="Titel"/>
    <w:basedOn w:val="Default"/>
    <w:next w:val="Default"/>
    <w:uiPriority w:val="99"/>
    <w:rsid w:val="00E22659"/>
    <w:rPr>
      <w:color w:val="auto"/>
    </w:rPr>
  </w:style>
  <w:style w:type="paragraph" w:customStyle="1" w:styleId="TitelErklrung">
    <w:name w:val="Titel Erklärung"/>
    <w:basedOn w:val="Default"/>
    <w:next w:val="Default"/>
    <w:uiPriority w:val="99"/>
    <w:rsid w:val="00E22659"/>
    <w:rPr>
      <w:color w:val="auto"/>
    </w:rPr>
  </w:style>
  <w:style w:type="paragraph" w:customStyle="1" w:styleId="Untertitelerklrung">
    <w:name w:val="Untertitelerklärung"/>
    <w:basedOn w:val="Default"/>
    <w:next w:val="Default"/>
    <w:uiPriority w:val="99"/>
    <w:rsid w:val="00E22659"/>
    <w:rPr>
      <w:color w:val="auto"/>
    </w:rPr>
  </w:style>
  <w:style w:type="paragraph" w:styleId="Objetducommentaire">
    <w:name w:val="annotation subject"/>
    <w:basedOn w:val="Commentaire"/>
    <w:next w:val="Commentaire"/>
    <w:link w:val="ObjetducommentaireCar"/>
    <w:uiPriority w:val="99"/>
    <w:semiHidden/>
    <w:unhideWhenUsed/>
    <w:rsid w:val="00C944DC"/>
    <w:rPr>
      <w:b/>
      <w:bCs/>
    </w:rPr>
  </w:style>
  <w:style w:type="character" w:customStyle="1" w:styleId="ObjetducommentaireCar">
    <w:name w:val="Objet du commentaire Car"/>
    <w:basedOn w:val="CommentaireCar"/>
    <w:link w:val="Objetducommentaire"/>
    <w:uiPriority w:val="99"/>
    <w:semiHidden/>
    <w:rsid w:val="00C944DC"/>
    <w:rPr>
      <w:b/>
      <w:bCs/>
      <w:sz w:val="20"/>
      <w:szCs w:val="20"/>
    </w:rPr>
  </w:style>
  <w:style w:type="character" w:styleId="Accentuation">
    <w:name w:val="Emphasis"/>
    <w:basedOn w:val="Policepardfaut"/>
    <w:uiPriority w:val="20"/>
    <w:qFormat/>
    <w:rsid w:val="00B8113E"/>
    <w:rPr>
      <w:i/>
      <w:iCs/>
    </w:rPr>
  </w:style>
  <w:style w:type="character" w:styleId="lev">
    <w:name w:val="Strong"/>
    <w:basedOn w:val="Policepardfaut"/>
    <w:uiPriority w:val="22"/>
    <w:qFormat/>
    <w:rsid w:val="00B8113E"/>
    <w:rPr>
      <w:b/>
      <w:bCs/>
    </w:rPr>
  </w:style>
  <w:style w:type="character" w:customStyle="1" w:styleId="g2">
    <w:name w:val="g2"/>
    <w:basedOn w:val="Policepardfaut"/>
    <w:rsid w:val="00A50AE2"/>
  </w:style>
  <w:style w:type="paragraph" w:styleId="Rvision">
    <w:name w:val="Revision"/>
    <w:hidden/>
    <w:uiPriority w:val="99"/>
    <w:semiHidden/>
    <w:rsid w:val="00660B2F"/>
    <w:pPr>
      <w:spacing w:after="0" w:line="240" w:lineRule="auto"/>
    </w:pPr>
  </w:style>
  <w:style w:type="paragraph" w:styleId="Sansinterligne">
    <w:name w:val="No Spacing"/>
    <w:uiPriority w:val="1"/>
    <w:qFormat/>
    <w:rsid w:val="00402E74"/>
    <w:pPr>
      <w:spacing w:after="0" w:line="240" w:lineRule="auto"/>
    </w:pPr>
    <w:rPr>
      <w:rFonts w:ascii="Times New Roman" w:eastAsia="Calibri" w:hAnsi="Times New Roman" w:cs="Times New Roman"/>
    </w:rPr>
  </w:style>
  <w:style w:type="character" w:customStyle="1" w:styleId="invisible">
    <w:name w:val="invisible"/>
    <w:basedOn w:val="Policepardfaut"/>
    <w:rsid w:val="00D84A28"/>
  </w:style>
  <w:style w:type="paragraph" w:styleId="En-ttedetabledesmatires">
    <w:name w:val="TOC Heading"/>
    <w:basedOn w:val="Titre1"/>
    <w:next w:val="Normal"/>
    <w:uiPriority w:val="39"/>
    <w:unhideWhenUsed/>
    <w:qFormat/>
    <w:rsid w:val="00963F8E"/>
    <w:pPr>
      <w:outlineLvl w:val="9"/>
    </w:pPr>
    <w:rPr>
      <w:lang w:val="en-US" w:eastAsia="ja-JP"/>
    </w:rPr>
  </w:style>
  <w:style w:type="paragraph" w:styleId="TM1">
    <w:name w:val="toc 1"/>
    <w:basedOn w:val="Normal"/>
    <w:next w:val="Normal"/>
    <w:autoRedefine/>
    <w:uiPriority w:val="39"/>
    <w:unhideWhenUsed/>
    <w:rsid w:val="00963F8E"/>
    <w:pPr>
      <w:spacing w:after="100"/>
    </w:pPr>
    <w:rPr>
      <w:rFonts w:ascii="Verdana" w:hAnsi="Verdana"/>
      <w:sz w:val="20"/>
    </w:rPr>
  </w:style>
  <w:style w:type="paragraph" w:styleId="TM2">
    <w:name w:val="toc 2"/>
    <w:basedOn w:val="Normal"/>
    <w:next w:val="Normal"/>
    <w:autoRedefine/>
    <w:uiPriority w:val="39"/>
    <w:unhideWhenUsed/>
    <w:rsid w:val="00963F8E"/>
    <w:pPr>
      <w:spacing w:after="100"/>
      <w:ind w:left="200"/>
    </w:pPr>
    <w:rPr>
      <w:rFonts w:ascii="Verdana" w:hAnsi="Verdana"/>
      <w:sz w:val="20"/>
    </w:rPr>
  </w:style>
  <w:style w:type="character" w:customStyle="1" w:styleId="reference-text">
    <w:name w:val="reference-text"/>
    <w:basedOn w:val="Policepardfaut"/>
    <w:rsid w:val="001C55F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5C2E0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nhideWhenUsed/>
    <w:qFormat/>
    <w:rsid w:val="005C2E0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qFormat/>
    <w:rsid w:val="00B80B98"/>
    <w:pPr>
      <w:keepNext/>
      <w:tabs>
        <w:tab w:val="num" w:pos="720"/>
      </w:tabs>
      <w:spacing w:before="240" w:after="60" w:line="240" w:lineRule="auto"/>
      <w:ind w:left="720" w:hanging="720"/>
      <w:jc w:val="both"/>
      <w:outlineLvl w:val="2"/>
    </w:pPr>
    <w:rPr>
      <w:rFonts w:ascii="Times New Roman" w:eastAsia="Times New Roman" w:hAnsi="Times New Roman" w:cs="Arial"/>
      <w:b/>
      <w:bCs/>
      <w:i/>
      <w:sz w:val="24"/>
      <w:szCs w:val="26"/>
    </w:rPr>
  </w:style>
  <w:style w:type="paragraph" w:styleId="Titre5">
    <w:name w:val="heading 5"/>
    <w:basedOn w:val="Normal"/>
    <w:next w:val="Normal"/>
    <w:link w:val="Titre5Car"/>
    <w:qFormat/>
    <w:rsid w:val="00B80B98"/>
    <w:pPr>
      <w:tabs>
        <w:tab w:val="num" w:pos="1008"/>
      </w:tabs>
      <w:spacing w:before="240" w:after="60" w:line="240" w:lineRule="auto"/>
      <w:ind w:left="1008" w:hanging="1008"/>
      <w:jc w:val="both"/>
      <w:outlineLvl w:val="4"/>
    </w:pPr>
    <w:rPr>
      <w:rFonts w:ascii="Times New Roman" w:eastAsia="Times New Roman" w:hAnsi="Times New Roman" w:cs="Times New Roman"/>
      <w:b/>
      <w:bCs/>
      <w:i/>
      <w:iCs/>
      <w:sz w:val="26"/>
      <w:szCs w:val="26"/>
    </w:rPr>
  </w:style>
  <w:style w:type="paragraph" w:styleId="Titre6">
    <w:name w:val="heading 6"/>
    <w:basedOn w:val="Normal"/>
    <w:next w:val="Normal"/>
    <w:link w:val="Titre6Car"/>
    <w:qFormat/>
    <w:rsid w:val="00B80B98"/>
    <w:pPr>
      <w:tabs>
        <w:tab w:val="num" w:pos="1152"/>
      </w:tabs>
      <w:spacing w:before="240" w:after="60" w:line="240" w:lineRule="auto"/>
      <w:ind w:left="1152" w:hanging="1152"/>
      <w:jc w:val="both"/>
      <w:outlineLvl w:val="5"/>
    </w:pPr>
    <w:rPr>
      <w:rFonts w:ascii="Times New Roman" w:eastAsia="Times New Roman" w:hAnsi="Times New Roman" w:cs="Times New Roman"/>
      <w:b/>
      <w:bCs/>
      <w:sz w:val="24"/>
    </w:rPr>
  </w:style>
  <w:style w:type="paragraph" w:styleId="Titre7">
    <w:name w:val="heading 7"/>
    <w:basedOn w:val="Normal"/>
    <w:next w:val="Normal"/>
    <w:link w:val="Titre7Car"/>
    <w:qFormat/>
    <w:rsid w:val="00B80B98"/>
    <w:pPr>
      <w:tabs>
        <w:tab w:val="num" w:pos="1296"/>
      </w:tabs>
      <w:spacing w:before="240" w:after="60" w:line="240" w:lineRule="auto"/>
      <w:ind w:left="1296" w:hanging="1296"/>
      <w:jc w:val="both"/>
      <w:outlineLvl w:val="6"/>
    </w:pPr>
    <w:rPr>
      <w:rFonts w:ascii="Times New Roman" w:eastAsia="Times New Roman" w:hAnsi="Times New Roman" w:cs="Times New Roman"/>
      <w:sz w:val="24"/>
      <w:szCs w:val="24"/>
    </w:rPr>
  </w:style>
  <w:style w:type="paragraph" w:styleId="Titre8">
    <w:name w:val="heading 8"/>
    <w:basedOn w:val="Normal"/>
    <w:next w:val="Normal"/>
    <w:link w:val="Titre8Car"/>
    <w:qFormat/>
    <w:rsid w:val="00B80B98"/>
    <w:pPr>
      <w:tabs>
        <w:tab w:val="num" w:pos="1440"/>
      </w:tabs>
      <w:spacing w:before="240" w:after="60" w:line="240" w:lineRule="auto"/>
      <w:ind w:left="1440" w:hanging="1440"/>
      <w:jc w:val="both"/>
      <w:outlineLvl w:val="7"/>
    </w:pPr>
    <w:rPr>
      <w:rFonts w:ascii="Times New Roman" w:eastAsia="Times New Roman" w:hAnsi="Times New Roman" w:cs="Times New Roman"/>
      <w:i/>
      <w:i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99"/>
    <w:qFormat/>
    <w:rsid w:val="00C874F5"/>
    <w:pPr>
      <w:ind w:left="720"/>
      <w:contextualSpacing/>
    </w:pPr>
  </w:style>
  <w:style w:type="character" w:customStyle="1" w:styleId="Titre2Car">
    <w:name w:val="Titre 2 Car"/>
    <w:basedOn w:val="Policepardfaut"/>
    <w:link w:val="Titre2"/>
    <w:uiPriority w:val="9"/>
    <w:rsid w:val="005C2E0E"/>
    <w:rPr>
      <w:rFonts w:asciiTheme="majorHAnsi" w:eastAsiaTheme="majorEastAsia" w:hAnsiTheme="majorHAnsi" w:cstheme="majorBidi"/>
      <w:b/>
      <w:bCs/>
      <w:color w:val="4F81BD" w:themeColor="accent1"/>
      <w:sz w:val="26"/>
      <w:szCs w:val="26"/>
    </w:rPr>
  </w:style>
  <w:style w:type="character" w:customStyle="1" w:styleId="Titre1Car">
    <w:name w:val="Titre 1 Car"/>
    <w:basedOn w:val="Policepardfaut"/>
    <w:link w:val="Titre1"/>
    <w:uiPriority w:val="9"/>
    <w:rsid w:val="005C2E0E"/>
    <w:rPr>
      <w:rFonts w:asciiTheme="majorHAnsi" w:eastAsiaTheme="majorEastAsia" w:hAnsiTheme="majorHAnsi" w:cstheme="majorBidi"/>
      <w:b/>
      <w:bCs/>
      <w:color w:val="365F91" w:themeColor="accent1" w:themeShade="BF"/>
      <w:sz w:val="28"/>
      <w:szCs w:val="28"/>
    </w:rPr>
  </w:style>
  <w:style w:type="character" w:styleId="Lienhypertexte">
    <w:name w:val="Hyperlink"/>
    <w:basedOn w:val="Policepardfaut"/>
    <w:uiPriority w:val="99"/>
    <w:unhideWhenUsed/>
    <w:rsid w:val="004917A0"/>
    <w:rPr>
      <w:color w:val="0000FF" w:themeColor="hyperlink"/>
      <w:u w:val="single"/>
    </w:rPr>
  </w:style>
  <w:style w:type="table" w:styleId="Grilledutableau">
    <w:name w:val="Table Grid"/>
    <w:basedOn w:val="TableauNormal"/>
    <w:rsid w:val="004917A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aire">
    <w:name w:val="annotation text"/>
    <w:basedOn w:val="Normal"/>
    <w:link w:val="CommentaireCar"/>
    <w:uiPriority w:val="99"/>
    <w:unhideWhenUsed/>
    <w:rsid w:val="004917A0"/>
    <w:pPr>
      <w:spacing w:line="240" w:lineRule="auto"/>
    </w:pPr>
    <w:rPr>
      <w:sz w:val="20"/>
      <w:szCs w:val="20"/>
    </w:rPr>
  </w:style>
  <w:style w:type="character" w:customStyle="1" w:styleId="CommentaireCar">
    <w:name w:val="Commentaire Car"/>
    <w:basedOn w:val="Policepardfaut"/>
    <w:link w:val="Commentaire"/>
    <w:uiPriority w:val="99"/>
    <w:rsid w:val="004917A0"/>
    <w:rPr>
      <w:sz w:val="20"/>
      <w:szCs w:val="20"/>
    </w:rPr>
  </w:style>
  <w:style w:type="paragraph" w:styleId="Textedebulles">
    <w:name w:val="Balloon Text"/>
    <w:basedOn w:val="Normal"/>
    <w:link w:val="TextedebullesCar"/>
    <w:uiPriority w:val="99"/>
    <w:semiHidden/>
    <w:unhideWhenUsed/>
    <w:rsid w:val="004917A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917A0"/>
    <w:rPr>
      <w:rFonts w:ascii="Tahoma" w:hAnsi="Tahoma" w:cs="Tahoma"/>
      <w:sz w:val="16"/>
      <w:szCs w:val="16"/>
    </w:rPr>
  </w:style>
  <w:style w:type="paragraph" w:customStyle="1" w:styleId="Default">
    <w:name w:val="Default"/>
    <w:rsid w:val="00A74616"/>
    <w:pPr>
      <w:autoSpaceDE w:val="0"/>
      <w:autoSpaceDN w:val="0"/>
      <w:adjustRightInd w:val="0"/>
      <w:spacing w:after="0" w:line="240" w:lineRule="auto"/>
    </w:pPr>
    <w:rPr>
      <w:rFonts w:ascii="Arial" w:hAnsi="Arial" w:cs="Arial"/>
      <w:color w:val="000000"/>
      <w:sz w:val="24"/>
      <w:szCs w:val="24"/>
    </w:rPr>
  </w:style>
  <w:style w:type="paragraph" w:customStyle="1" w:styleId="broodtekst">
    <w:name w:val="broodtekst"/>
    <w:basedOn w:val="Normal"/>
    <w:link w:val="broodtekstChar"/>
    <w:rsid w:val="00330419"/>
    <w:pPr>
      <w:spacing w:after="0" w:line="280" w:lineRule="atLeast"/>
      <w:ind w:firstLine="360"/>
    </w:pPr>
    <w:rPr>
      <w:rFonts w:ascii="Arial" w:eastAsiaTheme="minorEastAsia" w:hAnsi="Arial"/>
      <w:sz w:val="18"/>
      <w:lang w:eastAsia="nl-NL"/>
    </w:rPr>
  </w:style>
  <w:style w:type="character" w:customStyle="1" w:styleId="broodtekstChar">
    <w:name w:val="broodtekst Char"/>
    <w:link w:val="broodtekst"/>
    <w:locked/>
    <w:rsid w:val="00330419"/>
    <w:rPr>
      <w:rFonts w:ascii="Arial" w:eastAsiaTheme="minorEastAsia" w:hAnsi="Arial"/>
      <w:sz w:val="18"/>
      <w:lang w:eastAsia="nl-NL"/>
    </w:rPr>
  </w:style>
  <w:style w:type="paragraph" w:customStyle="1" w:styleId="TableText">
    <w:name w:val="Table Text"/>
    <w:aliases w:val="TT"/>
    <w:basedOn w:val="Normal"/>
    <w:link w:val="TableTextChar"/>
    <w:uiPriority w:val="99"/>
    <w:rsid w:val="00330419"/>
    <w:pPr>
      <w:suppressAutoHyphens/>
      <w:spacing w:after="0" w:line="280" w:lineRule="atLeast"/>
      <w:ind w:firstLine="360"/>
    </w:pPr>
    <w:rPr>
      <w:rFonts w:ascii="Arial" w:eastAsiaTheme="minorEastAsia" w:hAnsi="Arial"/>
      <w:sz w:val="16"/>
      <w:lang w:eastAsia="ar-SA"/>
    </w:rPr>
  </w:style>
  <w:style w:type="paragraph" w:customStyle="1" w:styleId="TableHeading">
    <w:name w:val="Table Heading"/>
    <w:basedOn w:val="TableText"/>
    <w:rsid w:val="00330419"/>
    <w:pPr>
      <w:keepNext/>
    </w:pPr>
    <w:rPr>
      <w:b/>
    </w:rPr>
  </w:style>
  <w:style w:type="paragraph" w:customStyle="1" w:styleId="Institution-description">
    <w:name w:val="Institution-description"/>
    <w:basedOn w:val="Normal"/>
    <w:uiPriority w:val="99"/>
    <w:rsid w:val="00330419"/>
    <w:pPr>
      <w:spacing w:before="60" w:after="0" w:line="240" w:lineRule="auto"/>
      <w:ind w:firstLine="360"/>
      <w:jc w:val="both"/>
    </w:pPr>
    <w:rPr>
      <w:rFonts w:ascii="Times New Roman" w:eastAsiaTheme="minorEastAsia" w:hAnsi="Times New Roman"/>
      <w:szCs w:val="20"/>
      <w:lang w:eastAsia="de-DE"/>
    </w:rPr>
  </w:style>
  <w:style w:type="character" w:customStyle="1" w:styleId="TableTextChar">
    <w:name w:val="Table Text Char"/>
    <w:basedOn w:val="Policepardfaut"/>
    <w:link w:val="TableText"/>
    <w:uiPriority w:val="99"/>
    <w:locked/>
    <w:rsid w:val="00330419"/>
    <w:rPr>
      <w:rFonts w:ascii="Arial" w:eastAsiaTheme="minorEastAsia" w:hAnsi="Arial"/>
      <w:sz w:val="16"/>
      <w:lang w:eastAsia="ar-SA"/>
    </w:rPr>
  </w:style>
  <w:style w:type="paragraph" w:styleId="NormalWeb">
    <w:name w:val="Normal (Web)"/>
    <w:basedOn w:val="Normal"/>
    <w:uiPriority w:val="99"/>
    <w:unhideWhenUsed/>
    <w:rsid w:val="00FE2E03"/>
    <w:pPr>
      <w:spacing w:after="0" w:line="240" w:lineRule="auto"/>
    </w:pPr>
    <w:rPr>
      <w:rFonts w:ascii="Times New Roman" w:hAnsi="Times New Roman" w:cs="Times New Roman"/>
      <w:sz w:val="24"/>
      <w:szCs w:val="24"/>
      <w:lang w:eastAsia="en-GB"/>
    </w:rPr>
  </w:style>
  <w:style w:type="character" w:customStyle="1" w:styleId="Titre3Car">
    <w:name w:val="Titre 3 Car"/>
    <w:basedOn w:val="Policepardfaut"/>
    <w:link w:val="Titre3"/>
    <w:rsid w:val="00B80B98"/>
    <w:rPr>
      <w:rFonts w:ascii="Times New Roman" w:eastAsia="Times New Roman" w:hAnsi="Times New Roman" w:cs="Arial"/>
      <w:b/>
      <w:bCs/>
      <w:i/>
      <w:sz w:val="24"/>
      <w:szCs w:val="26"/>
    </w:rPr>
  </w:style>
  <w:style w:type="character" w:customStyle="1" w:styleId="Titre5Car">
    <w:name w:val="Titre 5 Car"/>
    <w:basedOn w:val="Policepardfaut"/>
    <w:link w:val="Titre5"/>
    <w:rsid w:val="00B80B98"/>
    <w:rPr>
      <w:rFonts w:ascii="Times New Roman" w:eastAsia="Times New Roman" w:hAnsi="Times New Roman" w:cs="Times New Roman"/>
      <w:b/>
      <w:bCs/>
      <w:i/>
      <w:iCs/>
      <w:sz w:val="26"/>
      <w:szCs w:val="26"/>
    </w:rPr>
  </w:style>
  <w:style w:type="character" w:customStyle="1" w:styleId="Titre6Car">
    <w:name w:val="Titre 6 Car"/>
    <w:basedOn w:val="Policepardfaut"/>
    <w:link w:val="Titre6"/>
    <w:rsid w:val="00B80B98"/>
    <w:rPr>
      <w:rFonts w:ascii="Times New Roman" w:eastAsia="Times New Roman" w:hAnsi="Times New Roman" w:cs="Times New Roman"/>
      <w:b/>
      <w:bCs/>
      <w:sz w:val="24"/>
    </w:rPr>
  </w:style>
  <w:style w:type="character" w:customStyle="1" w:styleId="Titre7Car">
    <w:name w:val="Titre 7 Car"/>
    <w:basedOn w:val="Policepardfaut"/>
    <w:link w:val="Titre7"/>
    <w:rsid w:val="00B80B98"/>
    <w:rPr>
      <w:rFonts w:ascii="Times New Roman" w:eastAsia="Times New Roman" w:hAnsi="Times New Roman" w:cs="Times New Roman"/>
      <w:sz w:val="24"/>
      <w:szCs w:val="24"/>
    </w:rPr>
  </w:style>
  <w:style w:type="character" w:customStyle="1" w:styleId="Titre8Car">
    <w:name w:val="Titre 8 Car"/>
    <w:basedOn w:val="Policepardfaut"/>
    <w:link w:val="Titre8"/>
    <w:rsid w:val="00B80B98"/>
    <w:rPr>
      <w:rFonts w:ascii="Times New Roman" w:eastAsia="Times New Roman" w:hAnsi="Times New Roman" w:cs="Times New Roman"/>
      <w:i/>
      <w:iCs/>
      <w:sz w:val="24"/>
      <w:szCs w:val="24"/>
    </w:rPr>
  </w:style>
  <w:style w:type="character" w:customStyle="1" w:styleId="ParagraphedelisteCar">
    <w:name w:val="Paragraphe de liste Car"/>
    <w:link w:val="Paragraphedeliste"/>
    <w:uiPriority w:val="99"/>
    <w:rsid w:val="00B80B98"/>
  </w:style>
  <w:style w:type="paragraph" w:customStyle="1" w:styleId="Aufzhlbvorlzx">
    <w:name w:val="Aufzähl_b_vorlz &gt;x"/>
    <w:basedOn w:val="Normal"/>
    <w:rsid w:val="0077210F"/>
    <w:pPr>
      <w:keepLines/>
      <w:numPr>
        <w:numId w:val="2"/>
      </w:numPr>
      <w:tabs>
        <w:tab w:val="left" w:pos="851"/>
        <w:tab w:val="left" w:pos="1701"/>
        <w:tab w:val="left" w:pos="2552"/>
      </w:tabs>
      <w:spacing w:after="0" w:line="240" w:lineRule="auto"/>
      <w:jc w:val="both"/>
    </w:pPr>
    <w:rPr>
      <w:rFonts w:ascii="Calibri" w:eastAsia="Times New Roman" w:hAnsi="Calibri" w:cs="Times New Roman"/>
      <w:sz w:val="20"/>
      <w:szCs w:val="20"/>
      <w:lang w:val="de-DE" w:eastAsia="de-DE"/>
    </w:rPr>
  </w:style>
  <w:style w:type="paragraph" w:customStyle="1" w:styleId="table-text">
    <w:name w:val="table-text"/>
    <w:basedOn w:val="Normal"/>
    <w:rsid w:val="00C22C74"/>
    <w:pPr>
      <w:spacing w:after="0" w:line="280" w:lineRule="atLeast"/>
    </w:pPr>
    <w:rPr>
      <w:rFonts w:ascii="Arial" w:eastAsia="Times New Roman" w:hAnsi="Arial" w:cs="Times New Roman"/>
      <w:sz w:val="16"/>
      <w:szCs w:val="24"/>
      <w:lang w:eastAsia="nl-NL"/>
    </w:rPr>
  </w:style>
  <w:style w:type="paragraph" w:customStyle="1" w:styleId="tabeltekst">
    <w:name w:val="tabeltekst"/>
    <w:basedOn w:val="Normal"/>
    <w:rsid w:val="00C22C74"/>
    <w:pPr>
      <w:spacing w:after="0" w:line="280" w:lineRule="atLeast"/>
    </w:pPr>
    <w:rPr>
      <w:rFonts w:ascii="Arial" w:eastAsia="Times New Roman" w:hAnsi="Arial" w:cs="Times New Roman"/>
      <w:color w:val="000000"/>
      <w:sz w:val="16"/>
      <w:szCs w:val="24"/>
      <w:lang w:eastAsia="nl-NL"/>
    </w:rPr>
  </w:style>
  <w:style w:type="character" w:customStyle="1" w:styleId="apple-converted-space">
    <w:name w:val="apple-converted-space"/>
    <w:rsid w:val="00C22C74"/>
  </w:style>
  <w:style w:type="paragraph" w:styleId="En-tte">
    <w:name w:val="header"/>
    <w:basedOn w:val="Normal"/>
    <w:link w:val="En-tteCar"/>
    <w:unhideWhenUsed/>
    <w:rsid w:val="0090040A"/>
    <w:pPr>
      <w:tabs>
        <w:tab w:val="center" w:pos="4536"/>
        <w:tab w:val="right" w:pos="9072"/>
      </w:tabs>
      <w:spacing w:after="0" w:line="240" w:lineRule="auto"/>
    </w:pPr>
  </w:style>
  <w:style w:type="character" w:customStyle="1" w:styleId="En-tteCar">
    <w:name w:val="En-tête Car"/>
    <w:basedOn w:val="Policepardfaut"/>
    <w:link w:val="En-tte"/>
    <w:rsid w:val="0090040A"/>
  </w:style>
  <w:style w:type="paragraph" w:styleId="Pieddepage">
    <w:name w:val="footer"/>
    <w:basedOn w:val="Normal"/>
    <w:link w:val="PieddepageCar"/>
    <w:uiPriority w:val="99"/>
    <w:unhideWhenUsed/>
    <w:rsid w:val="0090040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0040A"/>
  </w:style>
  <w:style w:type="paragraph" w:styleId="Notedebasdepage">
    <w:name w:val="footnote text"/>
    <w:basedOn w:val="Normal"/>
    <w:link w:val="NotedebasdepageCar"/>
    <w:rsid w:val="002019B8"/>
    <w:pPr>
      <w:spacing w:after="0" w:line="240" w:lineRule="auto"/>
    </w:pPr>
    <w:rPr>
      <w:rFonts w:ascii="Times New Roman" w:eastAsia="Times New Roman" w:hAnsi="Times New Roman" w:cs="Times New Roman"/>
      <w:sz w:val="20"/>
      <w:szCs w:val="20"/>
    </w:rPr>
  </w:style>
  <w:style w:type="character" w:customStyle="1" w:styleId="NotedebasdepageCar">
    <w:name w:val="Note de bas de page Car"/>
    <w:basedOn w:val="Policepardfaut"/>
    <w:link w:val="Notedebasdepage"/>
    <w:rsid w:val="002019B8"/>
    <w:rPr>
      <w:rFonts w:ascii="Times New Roman" w:eastAsia="Times New Roman" w:hAnsi="Times New Roman" w:cs="Times New Roman"/>
      <w:sz w:val="20"/>
      <w:szCs w:val="20"/>
    </w:rPr>
  </w:style>
  <w:style w:type="character" w:styleId="Appelnotedebasdep">
    <w:name w:val="footnote reference"/>
    <w:rsid w:val="002019B8"/>
    <w:rPr>
      <w:vertAlign w:val="superscript"/>
    </w:rPr>
  </w:style>
  <w:style w:type="paragraph" w:customStyle="1" w:styleId="Eaoaeaa">
    <w:name w:val="Eaoae?aa"/>
    <w:basedOn w:val="Normal"/>
    <w:rsid w:val="00475A89"/>
    <w:pPr>
      <w:widowControl w:val="0"/>
      <w:tabs>
        <w:tab w:val="center" w:pos="4153"/>
        <w:tab w:val="right" w:pos="8306"/>
      </w:tabs>
      <w:spacing w:after="0" w:line="240" w:lineRule="auto"/>
    </w:pPr>
    <w:rPr>
      <w:rFonts w:ascii="Times New Roman" w:eastAsia="Times New Roman" w:hAnsi="Times New Roman" w:cs="Times New Roman"/>
      <w:sz w:val="20"/>
      <w:szCs w:val="20"/>
      <w:lang w:val="en-US"/>
    </w:rPr>
  </w:style>
  <w:style w:type="paragraph" w:styleId="Corpsdetexte">
    <w:name w:val="Body Text"/>
    <w:basedOn w:val="Normal"/>
    <w:link w:val="CorpsdetexteCar"/>
    <w:rsid w:val="00A33D7B"/>
    <w:pPr>
      <w:spacing w:after="0" w:line="240" w:lineRule="auto"/>
      <w:jc w:val="both"/>
    </w:pPr>
    <w:rPr>
      <w:rFonts w:ascii="Times New Roman" w:eastAsia="Times New Roman" w:hAnsi="Times New Roman" w:cs="Times New Roman"/>
      <w:sz w:val="24"/>
      <w:szCs w:val="24"/>
    </w:rPr>
  </w:style>
  <w:style w:type="character" w:customStyle="1" w:styleId="CorpsdetexteCar">
    <w:name w:val="Corps de texte Car"/>
    <w:basedOn w:val="Policepardfaut"/>
    <w:link w:val="Corpsdetexte"/>
    <w:rsid w:val="00A33D7B"/>
    <w:rPr>
      <w:rFonts w:ascii="Times New Roman" w:eastAsia="Times New Roman" w:hAnsi="Times New Roman" w:cs="Times New Roman"/>
      <w:sz w:val="24"/>
      <w:szCs w:val="24"/>
    </w:rPr>
  </w:style>
  <w:style w:type="paragraph" w:customStyle="1" w:styleId="tabelkop">
    <w:name w:val="tabelkop"/>
    <w:basedOn w:val="Normal"/>
    <w:rsid w:val="00B66578"/>
    <w:pPr>
      <w:keepNext/>
      <w:keepLines/>
      <w:spacing w:after="0" w:line="280" w:lineRule="atLeast"/>
    </w:pPr>
    <w:rPr>
      <w:rFonts w:ascii="Arial" w:eastAsia="Times New Roman" w:hAnsi="Arial" w:cs="Times New Roman"/>
      <w:b/>
      <w:color w:val="FFFFFF"/>
      <w:sz w:val="16"/>
      <w:szCs w:val="24"/>
      <w:lang w:eastAsia="nl-NL"/>
    </w:rPr>
  </w:style>
  <w:style w:type="paragraph" w:customStyle="1" w:styleId="Aufzhlletztery">
    <w:name w:val="Aufzähl_letzter &gt;y"/>
    <w:basedOn w:val="Normal"/>
    <w:next w:val="Normal"/>
    <w:link w:val="AufzhlletzteryChar"/>
    <w:rsid w:val="00B66578"/>
    <w:pPr>
      <w:keepLines/>
      <w:numPr>
        <w:numId w:val="4"/>
      </w:numPr>
      <w:tabs>
        <w:tab w:val="left" w:pos="284"/>
        <w:tab w:val="left" w:pos="851"/>
        <w:tab w:val="left" w:pos="1701"/>
        <w:tab w:val="left" w:pos="2552"/>
      </w:tabs>
      <w:spacing w:after="180" w:line="240" w:lineRule="auto"/>
      <w:ind w:left="284" w:hanging="284"/>
      <w:jc w:val="both"/>
    </w:pPr>
    <w:rPr>
      <w:rFonts w:ascii="Calibri" w:eastAsia="Times New Roman" w:hAnsi="Calibri" w:cs="Times New Roman"/>
      <w:sz w:val="20"/>
      <w:szCs w:val="20"/>
      <w:lang w:val="de-DE" w:eastAsia="de-DE"/>
    </w:rPr>
  </w:style>
  <w:style w:type="character" w:customStyle="1" w:styleId="AufzhlletzteryChar">
    <w:name w:val="Aufzähl_letzter &gt;y Char"/>
    <w:link w:val="Aufzhlletztery"/>
    <w:rsid w:val="00B66578"/>
    <w:rPr>
      <w:rFonts w:ascii="Calibri" w:eastAsia="Times New Roman" w:hAnsi="Calibri" w:cs="Times New Roman"/>
      <w:sz w:val="20"/>
      <w:szCs w:val="20"/>
      <w:lang w:val="de-DE" w:eastAsia="de-DE"/>
    </w:rPr>
  </w:style>
  <w:style w:type="character" w:styleId="Marquedecommentaire">
    <w:name w:val="annotation reference"/>
    <w:basedOn w:val="Policepardfaut"/>
    <w:uiPriority w:val="99"/>
    <w:semiHidden/>
    <w:unhideWhenUsed/>
    <w:rsid w:val="00720570"/>
    <w:rPr>
      <w:sz w:val="16"/>
      <w:szCs w:val="16"/>
    </w:rPr>
  </w:style>
  <w:style w:type="paragraph" w:styleId="Lgende">
    <w:name w:val="caption"/>
    <w:basedOn w:val="Normal"/>
    <w:next w:val="Normal"/>
    <w:uiPriority w:val="35"/>
    <w:unhideWhenUsed/>
    <w:qFormat/>
    <w:rsid w:val="00574769"/>
    <w:pPr>
      <w:spacing w:line="240" w:lineRule="auto"/>
    </w:pPr>
    <w:rPr>
      <w:b/>
      <w:bCs/>
      <w:color w:val="4F81BD" w:themeColor="accent1"/>
      <w:sz w:val="18"/>
      <w:szCs w:val="18"/>
    </w:rPr>
  </w:style>
  <w:style w:type="paragraph" w:customStyle="1" w:styleId="Untertitel">
    <w:name w:val="Untertitel"/>
    <w:basedOn w:val="Default"/>
    <w:next w:val="Default"/>
    <w:uiPriority w:val="99"/>
    <w:rsid w:val="00E22659"/>
    <w:rPr>
      <w:color w:val="auto"/>
    </w:rPr>
  </w:style>
  <w:style w:type="paragraph" w:customStyle="1" w:styleId="Titel">
    <w:name w:val="Titel"/>
    <w:basedOn w:val="Default"/>
    <w:next w:val="Default"/>
    <w:uiPriority w:val="99"/>
    <w:rsid w:val="00E22659"/>
    <w:rPr>
      <w:color w:val="auto"/>
    </w:rPr>
  </w:style>
  <w:style w:type="paragraph" w:customStyle="1" w:styleId="TitelErklrung">
    <w:name w:val="Titel Erklärung"/>
    <w:basedOn w:val="Default"/>
    <w:next w:val="Default"/>
    <w:uiPriority w:val="99"/>
    <w:rsid w:val="00E22659"/>
    <w:rPr>
      <w:color w:val="auto"/>
    </w:rPr>
  </w:style>
  <w:style w:type="paragraph" w:customStyle="1" w:styleId="Untertitelerklrung">
    <w:name w:val="Untertitelerklärung"/>
    <w:basedOn w:val="Default"/>
    <w:next w:val="Default"/>
    <w:uiPriority w:val="99"/>
    <w:rsid w:val="00E22659"/>
    <w:rPr>
      <w:color w:val="auto"/>
    </w:rPr>
  </w:style>
  <w:style w:type="paragraph" w:styleId="Objetducommentaire">
    <w:name w:val="annotation subject"/>
    <w:basedOn w:val="Commentaire"/>
    <w:next w:val="Commentaire"/>
    <w:link w:val="ObjetducommentaireCar"/>
    <w:uiPriority w:val="99"/>
    <w:semiHidden/>
    <w:unhideWhenUsed/>
    <w:rsid w:val="00C944DC"/>
    <w:rPr>
      <w:b/>
      <w:bCs/>
    </w:rPr>
  </w:style>
  <w:style w:type="character" w:customStyle="1" w:styleId="ObjetducommentaireCar">
    <w:name w:val="Objet du commentaire Car"/>
    <w:basedOn w:val="CommentaireCar"/>
    <w:link w:val="Objetducommentaire"/>
    <w:uiPriority w:val="99"/>
    <w:semiHidden/>
    <w:rsid w:val="00C944DC"/>
    <w:rPr>
      <w:b/>
      <w:bCs/>
      <w:sz w:val="20"/>
      <w:szCs w:val="20"/>
    </w:rPr>
  </w:style>
  <w:style w:type="character" w:styleId="Accentuation">
    <w:name w:val="Emphasis"/>
    <w:basedOn w:val="Policepardfaut"/>
    <w:uiPriority w:val="20"/>
    <w:qFormat/>
    <w:rsid w:val="00B8113E"/>
    <w:rPr>
      <w:i/>
      <w:iCs/>
    </w:rPr>
  </w:style>
  <w:style w:type="character" w:styleId="lev">
    <w:name w:val="Strong"/>
    <w:basedOn w:val="Policepardfaut"/>
    <w:uiPriority w:val="22"/>
    <w:qFormat/>
    <w:rsid w:val="00B8113E"/>
    <w:rPr>
      <w:b/>
      <w:bCs/>
    </w:rPr>
  </w:style>
  <w:style w:type="character" w:customStyle="1" w:styleId="g2">
    <w:name w:val="g2"/>
    <w:basedOn w:val="Policepardfaut"/>
    <w:rsid w:val="00A50AE2"/>
  </w:style>
  <w:style w:type="paragraph" w:styleId="Rvision">
    <w:name w:val="Revision"/>
    <w:hidden/>
    <w:uiPriority w:val="99"/>
    <w:semiHidden/>
    <w:rsid w:val="00660B2F"/>
    <w:pPr>
      <w:spacing w:after="0" w:line="240" w:lineRule="auto"/>
    </w:pPr>
  </w:style>
  <w:style w:type="paragraph" w:styleId="Sansinterligne">
    <w:name w:val="No Spacing"/>
    <w:uiPriority w:val="1"/>
    <w:qFormat/>
    <w:rsid w:val="00402E74"/>
    <w:pPr>
      <w:spacing w:after="0" w:line="240" w:lineRule="auto"/>
    </w:pPr>
    <w:rPr>
      <w:rFonts w:ascii="Times New Roman" w:eastAsia="Calibri" w:hAnsi="Times New Roman" w:cs="Times New Roman"/>
    </w:rPr>
  </w:style>
  <w:style w:type="character" w:customStyle="1" w:styleId="invisible">
    <w:name w:val="invisible"/>
    <w:basedOn w:val="Policepardfaut"/>
    <w:rsid w:val="00D84A28"/>
  </w:style>
  <w:style w:type="paragraph" w:styleId="En-ttedetabledesmatires">
    <w:name w:val="TOC Heading"/>
    <w:basedOn w:val="Titre1"/>
    <w:next w:val="Normal"/>
    <w:uiPriority w:val="39"/>
    <w:unhideWhenUsed/>
    <w:qFormat/>
    <w:rsid w:val="00963F8E"/>
    <w:pPr>
      <w:outlineLvl w:val="9"/>
    </w:pPr>
    <w:rPr>
      <w:lang w:val="en-US" w:eastAsia="ja-JP"/>
    </w:rPr>
  </w:style>
  <w:style w:type="paragraph" w:styleId="TM1">
    <w:name w:val="toc 1"/>
    <w:basedOn w:val="Normal"/>
    <w:next w:val="Normal"/>
    <w:autoRedefine/>
    <w:uiPriority w:val="39"/>
    <w:unhideWhenUsed/>
    <w:rsid w:val="00963F8E"/>
    <w:pPr>
      <w:spacing w:after="100"/>
    </w:pPr>
    <w:rPr>
      <w:rFonts w:ascii="Verdana" w:hAnsi="Verdana"/>
      <w:sz w:val="20"/>
    </w:rPr>
  </w:style>
  <w:style w:type="paragraph" w:styleId="TM2">
    <w:name w:val="toc 2"/>
    <w:basedOn w:val="Normal"/>
    <w:next w:val="Normal"/>
    <w:autoRedefine/>
    <w:uiPriority w:val="39"/>
    <w:unhideWhenUsed/>
    <w:rsid w:val="00963F8E"/>
    <w:pPr>
      <w:spacing w:after="100"/>
      <w:ind w:left="200"/>
    </w:pPr>
    <w:rPr>
      <w:rFonts w:ascii="Verdana" w:hAnsi="Verdana"/>
      <w:sz w:val="20"/>
    </w:rPr>
  </w:style>
</w:styles>
</file>

<file path=word/webSettings.xml><?xml version="1.0" encoding="utf-8"?>
<w:webSettings xmlns:r="http://schemas.openxmlformats.org/officeDocument/2006/relationships" xmlns:w="http://schemas.openxmlformats.org/wordprocessingml/2006/main">
  <w:divs>
    <w:div w:id="135993617">
      <w:bodyDiv w:val="1"/>
      <w:marLeft w:val="0"/>
      <w:marRight w:val="0"/>
      <w:marTop w:val="0"/>
      <w:marBottom w:val="0"/>
      <w:divBdr>
        <w:top w:val="none" w:sz="0" w:space="0" w:color="auto"/>
        <w:left w:val="none" w:sz="0" w:space="0" w:color="auto"/>
        <w:bottom w:val="none" w:sz="0" w:space="0" w:color="auto"/>
        <w:right w:val="none" w:sz="0" w:space="0" w:color="auto"/>
      </w:divBdr>
    </w:div>
    <w:div w:id="263074045">
      <w:bodyDiv w:val="1"/>
      <w:marLeft w:val="0"/>
      <w:marRight w:val="0"/>
      <w:marTop w:val="0"/>
      <w:marBottom w:val="0"/>
      <w:divBdr>
        <w:top w:val="none" w:sz="0" w:space="0" w:color="auto"/>
        <w:left w:val="none" w:sz="0" w:space="0" w:color="auto"/>
        <w:bottom w:val="none" w:sz="0" w:space="0" w:color="auto"/>
        <w:right w:val="none" w:sz="0" w:space="0" w:color="auto"/>
      </w:divBdr>
    </w:div>
    <w:div w:id="291595236">
      <w:bodyDiv w:val="1"/>
      <w:marLeft w:val="0"/>
      <w:marRight w:val="0"/>
      <w:marTop w:val="0"/>
      <w:marBottom w:val="0"/>
      <w:divBdr>
        <w:top w:val="none" w:sz="0" w:space="0" w:color="auto"/>
        <w:left w:val="none" w:sz="0" w:space="0" w:color="auto"/>
        <w:bottom w:val="none" w:sz="0" w:space="0" w:color="auto"/>
        <w:right w:val="none" w:sz="0" w:space="0" w:color="auto"/>
      </w:divBdr>
    </w:div>
    <w:div w:id="637761904">
      <w:bodyDiv w:val="1"/>
      <w:marLeft w:val="0"/>
      <w:marRight w:val="0"/>
      <w:marTop w:val="0"/>
      <w:marBottom w:val="0"/>
      <w:divBdr>
        <w:top w:val="none" w:sz="0" w:space="0" w:color="auto"/>
        <w:left w:val="none" w:sz="0" w:space="0" w:color="auto"/>
        <w:bottom w:val="none" w:sz="0" w:space="0" w:color="auto"/>
        <w:right w:val="none" w:sz="0" w:space="0" w:color="auto"/>
      </w:divBdr>
    </w:div>
    <w:div w:id="652874092">
      <w:bodyDiv w:val="1"/>
      <w:marLeft w:val="0"/>
      <w:marRight w:val="0"/>
      <w:marTop w:val="0"/>
      <w:marBottom w:val="0"/>
      <w:divBdr>
        <w:top w:val="none" w:sz="0" w:space="0" w:color="auto"/>
        <w:left w:val="none" w:sz="0" w:space="0" w:color="auto"/>
        <w:bottom w:val="none" w:sz="0" w:space="0" w:color="auto"/>
        <w:right w:val="none" w:sz="0" w:space="0" w:color="auto"/>
      </w:divBdr>
    </w:div>
    <w:div w:id="816192444">
      <w:bodyDiv w:val="1"/>
      <w:marLeft w:val="0"/>
      <w:marRight w:val="0"/>
      <w:marTop w:val="0"/>
      <w:marBottom w:val="0"/>
      <w:divBdr>
        <w:top w:val="none" w:sz="0" w:space="0" w:color="auto"/>
        <w:left w:val="none" w:sz="0" w:space="0" w:color="auto"/>
        <w:bottom w:val="none" w:sz="0" w:space="0" w:color="auto"/>
        <w:right w:val="none" w:sz="0" w:space="0" w:color="auto"/>
      </w:divBdr>
    </w:div>
    <w:div w:id="821896737">
      <w:bodyDiv w:val="1"/>
      <w:marLeft w:val="0"/>
      <w:marRight w:val="0"/>
      <w:marTop w:val="0"/>
      <w:marBottom w:val="0"/>
      <w:divBdr>
        <w:top w:val="none" w:sz="0" w:space="0" w:color="auto"/>
        <w:left w:val="none" w:sz="0" w:space="0" w:color="auto"/>
        <w:bottom w:val="none" w:sz="0" w:space="0" w:color="auto"/>
        <w:right w:val="none" w:sz="0" w:space="0" w:color="auto"/>
      </w:divBdr>
    </w:div>
    <w:div w:id="1107430128">
      <w:bodyDiv w:val="1"/>
      <w:marLeft w:val="0"/>
      <w:marRight w:val="0"/>
      <w:marTop w:val="0"/>
      <w:marBottom w:val="0"/>
      <w:divBdr>
        <w:top w:val="none" w:sz="0" w:space="0" w:color="auto"/>
        <w:left w:val="none" w:sz="0" w:space="0" w:color="auto"/>
        <w:bottom w:val="none" w:sz="0" w:space="0" w:color="auto"/>
        <w:right w:val="none" w:sz="0" w:space="0" w:color="auto"/>
      </w:divBdr>
    </w:div>
    <w:div w:id="1130056945">
      <w:bodyDiv w:val="1"/>
      <w:marLeft w:val="0"/>
      <w:marRight w:val="0"/>
      <w:marTop w:val="0"/>
      <w:marBottom w:val="0"/>
      <w:divBdr>
        <w:top w:val="none" w:sz="0" w:space="0" w:color="auto"/>
        <w:left w:val="none" w:sz="0" w:space="0" w:color="auto"/>
        <w:bottom w:val="none" w:sz="0" w:space="0" w:color="auto"/>
        <w:right w:val="none" w:sz="0" w:space="0" w:color="auto"/>
      </w:divBdr>
      <w:divsChild>
        <w:div w:id="930428859">
          <w:marLeft w:val="403"/>
          <w:marRight w:val="0"/>
          <w:marTop w:val="240"/>
          <w:marBottom w:val="0"/>
          <w:divBdr>
            <w:top w:val="none" w:sz="0" w:space="0" w:color="auto"/>
            <w:left w:val="none" w:sz="0" w:space="0" w:color="auto"/>
            <w:bottom w:val="none" w:sz="0" w:space="0" w:color="auto"/>
            <w:right w:val="none" w:sz="0" w:space="0" w:color="auto"/>
          </w:divBdr>
        </w:div>
        <w:div w:id="709574916">
          <w:marLeft w:val="1541"/>
          <w:marRight w:val="0"/>
          <w:marTop w:val="200"/>
          <w:marBottom w:val="0"/>
          <w:divBdr>
            <w:top w:val="none" w:sz="0" w:space="0" w:color="auto"/>
            <w:left w:val="none" w:sz="0" w:space="0" w:color="auto"/>
            <w:bottom w:val="none" w:sz="0" w:space="0" w:color="auto"/>
            <w:right w:val="none" w:sz="0" w:space="0" w:color="auto"/>
          </w:divBdr>
        </w:div>
        <w:div w:id="2056927798">
          <w:marLeft w:val="1541"/>
          <w:marRight w:val="0"/>
          <w:marTop w:val="200"/>
          <w:marBottom w:val="0"/>
          <w:divBdr>
            <w:top w:val="none" w:sz="0" w:space="0" w:color="auto"/>
            <w:left w:val="none" w:sz="0" w:space="0" w:color="auto"/>
            <w:bottom w:val="none" w:sz="0" w:space="0" w:color="auto"/>
            <w:right w:val="none" w:sz="0" w:space="0" w:color="auto"/>
          </w:divBdr>
        </w:div>
        <w:div w:id="1055354949">
          <w:marLeft w:val="403"/>
          <w:marRight w:val="0"/>
          <w:marTop w:val="240"/>
          <w:marBottom w:val="0"/>
          <w:divBdr>
            <w:top w:val="none" w:sz="0" w:space="0" w:color="auto"/>
            <w:left w:val="none" w:sz="0" w:space="0" w:color="auto"/>
            <w:bottom w:val="none" w:sz="0" w:space="0" w:color="auto"/>
            <w:right w:val="none" w:sz="0" w:space="0" w:color="auto"/>
          </w:divBdr>
        </w:div>
      </w:divsChild>
    </w:div>
    <w:div w:id="1228999497">
      <w:bodyDiv w:val="1"/>
      <w:marLeft w:val="0"/>
      <w:marRight w:val="0"/>
      <w:marTop w:val="0"/>
      <w:marBottom w:val="0"/>
      <w:divBdr>
        <w:top w:val="none" w:sz="0" w:space="0" w:color="auto"/>
        <w:left w:val="none" w:sz="0" w:space="0" w:color="auto"/>
        <w:bottom w:val="none" w:sz="0" w:space="0" w:color="auto"/>
        <w:right w:val="none" w:sz="0" w:space="0" w:color="auto"/>
      </w:divBdr>
    </w:div>
    <w:div w:id="1265111924">
      <w:bodyDiv w:val="1"/>
      <w:marLeft w:val="0"/>
      <w:marRight w:val="0"/>
      <w:marTop w:val="0"/>
      <w:marBottom w:val="0"/>
      <w:divBdr>
        <w:top w:val="none" w:sz="0" w:space="0" w:color="auto"/>
        <w:left w:val="none" w:sz="0" w:space="0" w:color="auto"/>
        <w:bottom w:val="none" w:sz="0" w:space="0" w:color="auto"/>
        <w:right w:val="none" w:sz="0" w:space="0" w:color="auto"/>
      </w:divBdr>
    </w:div>
    <w:div w:id="1444227220">
      <w:bodyDiv w:val="1"/>
      <w:marLeft w:val="0"/>
      <w:marRight w:val="0"/>
      <w:marTop w:val="0"/>
      <w:marBottom w:val="0"/>
      <w:divBdr>
        <w:top w:val="none" w:sz="0" w:space="0" w:color="auto"/>
        <w:left w:val="none" w:sz="0" w:space="0" w:color="auto"/>
        <w:bottom w:val="none" w:sz="0" w:space="0" w:color="auto"/>
        <w:right w:val="none" w:sz="0" w:space="0" w:color="auto"/>
      </w:divBdr>
    </w:div>
    <w:div w:id="1615356523">
      <w:bodyDiv w:val="1"/>
      <w:marLeft w:val="0"/>
      <w:marRight w:val="0"/>
      <w:marTop w:val="0"/>
      <w:marBottom w:val="0"/>
      <w:divBdr>
        <w:top w:val="none" w:sz="0" w:space="0" w:color="auto"/>
        <w:left w:val="none" w:sz="0" w:space="0" w:color="auto"/>
        <w:bottom w:val="none" w:sz="0" w:space="0" w:color="auto"/>
        <w:right w:val="none" w:sz="0" w:space="0" w:color="auto"/>
      </w:divBdr>
      <w:divsChild>
        <w:div w:id="1564944901">
          <w:marLeft w:val="403"/>
          <w:marRight w:val="0"/>
          <w:marTop w:val="240"/>
          <w:marBottom w:val="0"/>
          <w:divBdr>
            <w:top w:val="none" w:sz="0" w:space="0" w:color="auto"/>
            <w:left w:val="none" w:sz="0" w:space="0" w:color="auto"/>
            <w:bottom w:val="none" w:sz="0" w:space="0" w:color="auto"/>
            <w:right w:val="none" w:sz="0" w:space="0" w:color="auto"/>
          </w:divBdr>
        </w:div>
        <w:div w:id="400520430">
          <w:marLeft w:val="403"/>
          <w:marRight w:val="0"/>
          <w:marTop w:val="240"/>
          <w:marBottom w:val="0"/>
          <w:divBdr>
            <w:top w:val="none" w:sz="0" w:space="0" w:color="auto"/>
            <w:left w:val="none" w:sz="0" w:space="0" w:color="auto"/>
            <w:bottom w:val="none" w:sz="0" w:space="0" w:color="auto"/>
            <w:right w:val="none" w:sz="0" w:space="0" w:color="auto"/>
          </w:divBdr>
        </w:div>
        <w:div w:id="1101487065">
          <w:marLeft w:val="403"/>
          <w:marRight w:val="0"/>
          <w:marTop w:val="240"/>
          <w:marBottom w:val="0"/>
          <w:divBdr>
            <w:top w:val="none" w:sz="0" w:space="0" w:color="auto"/>
            <w:left w:val="none" w:sz="0" w:space="0" w:color="auto"/>
            <w:bottom w:val="none" w:sz="0" w:space="0" w:color="auto"/>
            <w:right w:val="none" w:sz="0" w:space="0" w:color="auto"/>
          </w:divBdr>
        </w:div>
        <w:div w:id="1895700566">
          <w:marLeft w:val="403"/>
          <w:marRight w:val="0"/>
          <w:marTop w:val="240"/>
          <w:marBottom w:val="0"/>
          <w:divBdr>
            <w:top w:val="none" w:sz="0" w:space="0" w:color="auto"/>
            <w:left w:val="none" w:sz="0" w:space="0" w:color="auto"/>
            <w:bottom w:val="none" w:sz="0" w:space="0" w:color="auto"/>
            <w:right w:val="none" w:sz="0" w:space="0" w:color="auto"/>
          </w:divBdr>
        </w:div>
        <w:div w:id="189951674">
          <w:marLeft w:val="403"/>
          <w:marRight w:val="0"/>
          <w:marTop w:val="240"/>
          <w:marBottom w:val="0"/>
          <w:divBdr>
            <w:top w:val="none" w:sz="0" w:space="0" w:color="auto"/>
            <w:left w:val="none" w:sz="0" w:space="0" w:color="auto"/>
            <w:bottom w:val="none" w:sz="0" w:space="0" w:color="auto"/>
            <w:right w:val="none" w:sz="0" w:space="0" w:color="auto"/>
          </w:divBdr>
        </w:div>
        <w:div w:id="645092560">
          <w:marLeft w:val="403"/>
          <w:marRight w:val="0"/>
          <w:marTop w:val="240"/>
          <w:marBottom w:val="0"/>
          <w:divBdr>
            <w:top w:val="none" w:sz="0" w:space="0" w:color="auto"/>
            <w:left w:val="none" w:sz="0" w:space="0" w:color="auto"/>
            <w:bottom w:val="none" w:sz="0" w:space="0" w:color="auto"/>
            <w:right w:val="none" w:sz="0" w:space="0" w:color="auto"/>
          </w:divBdr>
        </w:div>
      </w:divsChild>
    </w:div>
    <w:div w:id="1702512079">
      <w:bodyDiv w:val="1"/>
      <w:marLeft w:val="0"/>
      <w:marRight w:val="0"/>
      <w:marTop w:val="0"/>
      <w:marBottom w:val="0"/>
      <w:divBdr>
        <w:top w:val="none" w:sz="0" w:space="0" w:color="auto"/>
        <w:left w:val="none" w:sz="0" w:space="0" w:color="auto"/>
        <w:bottom w:val="none" w:sz="0" w:space="0" w:color="auto"/>
        <w:right w:val="none" w:sz="0" w:space="0" w:color="auto"/>
      </w:divBdr>
    </w:div>
    <w:div w:id="1727530527">
      <w:bodyDiv w:val="1"/>
      <w:marLeft w:val="0"/>
      <w:marRight w:val="0"/>
      <w:marTop w:val="0"/>
      <w:marBottom w:val="0"/>
      <w:divBdr>
        <w:top w:val="none" w:sz="0" w:space="0" w:color="auto"/>
        <w:left w:val="none" w:sz="0" w:space="0" w:color="auto"/>
        <w:bottom w:val="none" w:sz="0" w:space="0" w:color="auto"/>
        <w:right w:val="none" w:sz="0" w:space="0" w:color="auto"/>
      </w:divBdr>
    </w:div>
    <w:div w:id="1752386604">
      <w:bodyDiv w:val="1"/>
      <w:marLeft w:val="0"/>
      <w:marRight w:val="0"/>
      <w:marTop w:val="0"/>
      <w:marBottom w:val="0"/>
      <w:divBdr>
        <w:top w:val="none" w:sz="0" w:space="0" w:color="auto"/>
        <w:left w:val="none" w:sz="0" w:space="0" w:color="auto"/>
        <w:bottom w:val="none" w:sz="0" w:space="0" w:color="auto"/>
        <w:right w:val="none" w:sz="0" w:space="0" w:color="auto"/>
      </w:divBdr>
      <w:divsChild>
        <w:div w:id="1727332358">
          <w:marLeft w:val="0"/>
          <w:marRight w:val="0"/>
          <w:marTop w:val="0"/>
          <w:marBottom w:val="0"/>
          <w:divBdr>
            <w:top w:val="none" w:sz="0" w:space="0" w:color="auto"/>
            <w:left w:val="none" w:sz="0" w:space="0" w:color="auto"/>
            <w:bottom w:val="none" w:sz="0" w:space="0" w:color="auto"/>
            <w:right w:val="none" w:sz="0" w:space="0" w:color="auto"/>
          </w:divBdr>
          <w:divsChild>
            <w:div w:id="731462729">
              <w:marLeft w:val="0"/>
              <w:marRight w:val="0"/>
              <w:marTop w:val="0"/>
              <w:marBottom w:val="0"/>
              <w:divBdr>
                <w:top w:val="none" w:sz="0" w:space="0" w:color="auto"/>
                <w:left w:val="none" w:sz="0" w:space="0" w:color="auto"/>
                <w:bottom w:val="none" w:sz="0" w:space="0" w:color="auto"/>
                <w:right w:val="none" w:sz="0" w:space="0" w:color="auto"/>
              </w:divBdr>
              <w:divsChild>
                <w:div w:id="1663119364">
                  <w:marLeft w:val="0"/>
                  <w:marRight w:val="0"/>
                  <w:marTop w:val="0"/>
                  <w:marBottom w:val="0"/>
                  <w:divBdr>
                    <w:top w:val="none" w:sz="0" w:space="0" w:color="auto"/>
                    <w:left w:val="none" w:sz="0" w:space="0" w:color="auto"/>
                    <w:bottom w:val="none" w:sz="0" w:space="0" w:color="auto"/>
                    <w:right w:val="none" w:sz="0" w:space="0" w:color="auto"/>
                  </w:divBdr>
                  <w:divsChild>
                    <w:div w:id="1716008082">
                      <w:marLeft w:val="0"/>
                      <w:marRight w:val="0"/>
                      <w:marTop w:val="0"/>
                      <w:marBottom w:val="0"/>
                      <w:divBdr>
                        <w:top w:val="none" w:sz="0" w:space="0" w:color="auto"/>
                        <w:left w:val="none" w:sz="0" w:space="0" w:color="auto"/>
                        <w:bottom w:val="none" w:sz="0" w:space="0" w:color="auto"/>
                        <w:right w:val="none" w:sz="0" w:space="0" w:color="auto"/>
                      </w:divBdr>
                      <w:divsChild>
                        <w:div w:id="30061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024037">
      <w:bodyDiv w:val="1"/>
      <w:marLeft w:val="0"/>
      <w:marRight w:val="0"/>
      <w:marTop w:val="0"/>
      <w:marBottom w:val="0"/>
      <w:divBdr>
        <w:top w:val="none" w:sz="0" w:space="0" w:color="auto"/>
        <w:left w:val="none" w:sz="0" w:space="0" w:color="auto"/>
        <w:bottom w:val="none" w:sz="0" w:space="0" w:color="auto"/>
        <w:right w:val="none" w:sz="0" w:space="0" w:color="auto"/>
      </w:divBdr>
    </w:div>
    <w:div w:id="1818910656">
      <w:bodyDiv w:val="1"/>
      <w:marLeft w:val="0"/>
      <w:marRight w:val="0"/>
      <w:marTop w:val="0"/>
      <w:marBottom w:val="0"/>
      <w:divBdr>
        <w:top w:val="none" w:sz="0" w:space="0" w:color="auto"/>
        <w:left w:val="none" w:sz="0" w:space="0" w:color="auto"/>
        <w:bottom w:val="none" w:sz="0" w:space="0" w:color="auto"/>
        <w:right w:val="none" w:sz="0" w:space="0" w:color="auto"/>
      </w:divBdr>
    </w:div>
    <w:div w:id="1819150175">
      <w:bodyDiv w:val="1"/>
      <w:marLeft w:val="0"/>
      <w:marRight w:val="0"/>
      <w:marTop w:val="0"/>
      <w:marBottom w:val="0"/>
      <w:divBdr>
        <w:top w:val="none" w:sz="0" w:space="0" w:color="auto"/>
        <w:left w:val="none" w:sz="0" w:space="0" w:color="auto"/>
        <w:bottom w:val="none" w:sz="0" w:space="0" w:color="auto"/>
        <w:right w:val="none" w:sz="0" w:space="0" w:color="auto"/>
      </w:divBdr>
    </w:div>
    <w:div w:id="1950047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oter" Target="footer2.xml"/><Relationship Id="rId21" Type="http://schemas.openxmlformats.org/officeDocument/2006/relationships/image" Target="media/image14.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hyperlink" Target="http://www.ecomilenio.es/wp-content/uploads/2012/03/10-R%C3%ADos-y-riberas-web.pdf" TargetMode="External"/><Relationship Id="rId68" Type="http://schemas.openxmlformats.org/officeDocument/2006/relationships/hyperlink" Target="http://www.ecomilenio.es/wp-content/uploads/2012/03/15-Insulares-macaron%C3%A9sicos-web.pdf" TargetMode="External"/><Relationship Id="rId84" Type="http://schemas.openxmlformats.org/officeDocument/2006/relationships/hyperlink" Target="http://www.ecomilenio.es/documentos/informacion-cartografica/mapas-de-servicios" TargetMode="External"/><Relationship Id="rId89" Type="http://schemas.openxmlformats.org/officeDocument/2006/relationships/hyperlink" Target="http://www.ecomilenio.es/comunicacion/el-boletin" TargetMode="External"/><Relationship Id="rId112" Type="http://schemas.openxmlformats.org/officeDocument/2006/relationships/hyperlink" Target="http://awsassets.panda.org/downloads/wwf_report_pes_serbia.pdf" TargetMode="External"/><Relationship Id="rId133" Type="http://schemas.openxmlformats.org/officeDocument/2006/relationships/image" Target="media/image52.jpeg"/><Relationship Id="rId138" Type="http://schemas.openxmlformats.org/officeDocument/2006/relationships/image" Target="media/image55.jpeg"/><Relationship Id="rId154" Type="http://schemas.openxmlformats.org/officeDocument/2006/relationships/hyperlink" Target="https://circabc.europa.eu/w/browse/dadf63ef-421e-4aa1-82c3-25b681346d95" TargetMode="External"/><Relationship Id="rId159" Type="http://schemas.openxmlformats.org/officeDocument/2006/relationships/image" Target="media/image74.jpeg"/><Relationship Id="rId175" Type="http://schemas.openxmlformats.org/officeDocument/2006/relationships/image" Target="media/image90.jpeg"/><Relationship Id="rId170" Type="http://schemas.openxmlformats.org/officeDocument/2006/relationships/image" Target="media/image85.jpeg"/><Relationship Id="rId16" Type="http://schemas.openxmlformats.org/officeDocument/2006/relationships/image" Target="media/image9.jpeg"/><Relationship Id="rId107" Type="http://schemas.openxmlformats.org/officeDocument/2006/relationships/hyperlink" Target="http://assets.panda.org/downloads/ee_final_report_2007.pdf" TargetMode="External"/><Relationship Id="rId11" Type="http://schemas.openxmlformats.org/officeDocument/2006/relationships/image" Target="media/image4.tiff"/><Relationship Id="rId32" Type="http://schemas.openxmlformats.org/officeDocument/2006/relationships/image" Target="media/image23.pn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hyperlink" Target="http://www.ecomilenio.es/informe-sintesis-eme/2321" TargetMode="External"/><Relationship Id="rId74" Type="http://schemas.openxmlformats.org/officeDocument/2006/relationships/hyperlink" Target="http://www.ecomilenio.es/wp-content/uploads/2012/03/21-G%C3%A9nero-web.pdf" TargetMode="External"/><Relationship Id="rId79" Type="http://schemas.openxmlformats.org/officeDocument/2006/relationships/hyperlink" Target="http://www.ecomilenio.es/wp-content/uploads/2012/03/Capitulo-26-Escenarios-de-Futuro-EME_web.pdf" TargetMode="External"/><Relationship Id="rId102" Type="http://schemas.openxmlformats.org/officeDocument/2006/relationships/hyperlink" Target="http://cdm.unfccc.int/filestorage/U/8/Q/U8QI4E72VH7C5R3131F8IJN5THLMAT/Albania_CDM_AR_PDD_final2.pdf?t=ZG98bWhqcW1ifDD9InTUeY7m-B0icGrODPsZ" TargetMode="External"/><Relationship Id="rId123" Type="http://schemas.openxmlformats.org/officeDocument/2006/relationships/hyperlink" Target="http://www.pbl.nl/en" TargetMode="External"/><Relationship Id="rId128" Type="http://schemas.openxmlformats.org/officeDocument/2006/relationships/hyperlink" Target="http://www.natureoutlook.be" TargetMode="External"/><Relationship Id="rId144" Type="http://schemas.openxmlformats.org/officeDocument/2006/relationships/image" Target="media/image60.emf"/><Relationship Id="rId149" Type="http://schemas.openxmlformats.org/officeDocument/2006/relationships/image" Target="media/image65.emf"/><Relationship Id="rId5" Type="http://schemas.openxmlformats.org/officeDocument/2006/relationships/webSettings" Target="webSettings.xml"/><Relationship Id="rId90" Type="http://schemas.openxmlformats.org/officeDocument/2006/relationships/hyperlink" Target="http://www.ecomilenio.es/comunicacion/videos" TargetMode="External"/><Relationship Id="rId95" Type="http://schemas.openxmlformats.org/officeDocument/2006/relationships/hyperlink" Target="http://www.lne.be/themas/beleid/milieueconomie/waardering-van-baten-enschaden/economische-waardering-van-ecosysteemdiensten-voor-mkba" TargetMode="External"/><Relationship Id="rId160" Type="http://schemas.openxmlformats.org/officeDocument/2006/relationships/image" Target="media/image75.emf"/><Relationship Id="rId165" Type="http://schemas.openxmlformats.org/officeDocument/2006/relationships/image" Target="media/image80.jpeg"/><Relationship Id="rId181"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chart" Target="charts/chart1.xml"/><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hyperlink" Target="http://www.ecomilenio.es/wp-content/uploads/2012/03/11-Lagos-y-humedales-web.pdf" TargetMode="External"/><Relationship Id="rId69" Type="http://schemas.openxmlformats.org/officeDocument/2006/relationships/hyperlink" Target="http://www.ecomilenio.es/wp-content/uploads/2012/03/16-Zonas-%C3%A1ridas-web.pdf" TargetMode="External"/><Relationship Id="rId113" Type="http://schemas.openxmlformats.org/officeDocument/2006/relationships/image" Target="media/image45.emf"/><Relationship Id="rId118" Type="http://schemas.openxmlformats.org/officeDocument/2006/relationships/image" Target="media/image48.png"/><Relationship Id="rId134" Type="http://schemas.openxmlformats.org/officeDocument/2006/relationships/image" Target="media/image53.jpeg"/><Relationship Id="rId139" Type="http://schemas.openxmlformats.org/officeDocument/2006/relationships/image" Target="media/image56.emf"/><Relationship Id="rId80" Type="http://schemas.openxmlformats.org/officeDocument/2006/relationships/hyperlink" Target="http://www.ecomilenio.es/wp-content/uploads/2012/03/27-Comunicaci%C3%B3n-Educaci%C3%B3n-Participaci%C3%B3n-EME-web.pdf" TargetMode="External"/><Relationship Id="rId85" Type="http://schemas.openxmlformats.org/officeDocument/2006/relationships/hyperlink" Target="http://www.ecomilenio.es/documentos/informacion-cartografica/mapas-de-usos-del-suelo" TargetMode="External"/><Relationship Id="rId150" Type="http://schemas.openxmlformats.org/officeDocument/2006/relationships/image" Target="media/image66.emf"/><Relationship Id="rId155" Type="http://schemas.openxmlformats.org/officeDocument/2006/relationships/image" Target="media/image70.jpeg"/><Relationship Id="rId171" Type="http://schemas.openxmlformats.org/officeDocument/2006/relationships/image" Target="media/image86.emf"/><Relationship Id="rId176" Type="http://schemas.openxmlformats.org/officeDocument/2006/relationships/image" Target="media/image91.jpeg"/><Relationship Id="rId12" Type="http://schemas.openxmlformats.org/officeDocument/2006/relationships/image" Target="media/image5.emf"/><Relationship Id="rId17" Type="http://schemas.openxmlformats.org/officeDocument/2006/relationships/image" Target="media/image10.png"/><Relationship Id="rId33" Type="http://schemas.openxmlformats.org/officeDocument/2006/relationships/hyperlink" Target="http://www.surveymonkey.com/" TargetMode="External"/><Relationship Id="rId38" Type="http://schemas.openxmlformats.org/officeDocument/2006/relationships/image" Target="media/image26.png"/><Relationship Id="rId59" Type="http://schemas.openxmlformats.org/officeDocument/2006/relationships/hyperlink" Target="http://www.ecomilenio.es/wp-content/uploads/2012/03/05-Bosque-y-matorral-escler%C3%B3filo-web.pdf" TargetMode="External"/><Relationship Id="rId103" Type="http://schemas.openxmlformats.org/officeDocument/2006/relationships/hyperlink" Target="http://balwois.com/2012/USB/papers/774.pdf" TargetMode="External"/><Relationship Id="rId108" Type="http://schemas.openxmlformats.org/officeDocument/2006/relationships/hyperlink" Target="http://www.google.nl/url?sa=t&amp;rct=j&amp;q=&amp;esrc=s&amp;source=web&amp;cd=2&amp;cad=rja&amp;ved=0CDUQFjAB&amp;url=http%3A%2F%2Fhrcak.srce.hr%2Ffile%2F113720&amp;ei=AAEJUej7BZKHhQehoYD4CQ&amp;usg=AFQjCNEX_GB1sQmNrbQ6Wzps2YNCN-CBrA&amp;bvm=bv.41642243,d.d2k" TargetMode="External"/><Relationship Id="rId124" Type="http://schemas.openxmlformats.org/officeDocument/2006/relationships/hyperlink" Target="http://www.nara.be" TargetMode="External"/><Relationship Id="rId129" Type="http://schemas.openxmlformats.org/officeDocument/2006/relationships/hyperlink" Target="http://www.biodiversityindicators.be" TargetMode="External"/><Relationship Id="rId54" Type="http://schemas.openxmlformats.org/officeDocument/2006/relationships/image" Target="media/image42.emf"/><Relationship Id="rId70" Type="http://schemas.openxmlformats.org/officeDocument/2006/relationships/hyperlink" Target="http://www.ecomilenio.es/wp-content/uploads/2012/03/17-Agroecosistemas-web.pdf" TargetMode="External"/><Relationship Id="rId75" Type="http://schemas.openxmlformats.org/officeDocument/2006/relationships/hyperlink" Target="http://www.ecomilenio.es/wp-content/uploads/2012/03/22-Ciencia-y-tecnolog%C3%ADa-web.pdf" TargetMode="External"/><Relationship Id="rId91" Type="http://schemas.openxmlformats.org/officeDocument/2006/relationships/hyperlink" Target="http://www.BEEScommunity.be" TargetMode="External"/><Relationship Id="rId96" Type="http://schemas.openxmlformats.org/officeDocument/2006/relationships/hyperlink" Target="http://www.lne.be/themas/beleid/milieueconomie/waardering-van-baten-enschaden/handleiding-waardering-ecosysteemdiensten" TargetMode="External"/><Relationship Id="rId140" Type="http://schemas.openxmlformats.org/officeDocument/2006/relationships/image" Target="media/image57.jpeg"/><Relationship Id="rId145" Type="http://schemas.openxmlformats.org/officeDocument/2006/relationships/image" Target="media/image61.png"/><Relationship Id="rId161" Type="http://schemas.openxmlformats.org/officeDocument/2006/relationships/image" Target="media/image76.emf"/><Relationship Id="rId166" Type="http://schemas.openxmlformats.org/officeDocument/2006/relationships/image" Target="media/image81.emf"/><Relationship Id="rId182"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0.png"/><Relationship Id="rId49" Type="http://schemas.openxmlformats.org/officeDocument/2006/relationships/image" Target="media/image37.jpeg"/><Relationship Id="rId114" Type="http://schemas.openxmlformats.org/officeDocument/2006/relationships/image" Target="media/image46.png"/><Relationship Id="rId119" Type="http://schemas.openxmlformats.org/officeDocument/2006/relationships/hyperlink" Target="http://edepot.wur.nl/159006" TargetMode="External"/><Relationship Id="rId44" Type="http://schemas.openxmlformats.org/officeDocument/2006/relationships/image" Target="media/image32.jpeg"/><Relationship Id="rId60" Type="http://schemas.openxmlformats.org/officeDocument/2006/relationships/hyperlink" Target="http://www.ecomilenio.es/wp-content/uploads/2012/03/07-Bosques-atlanticos-web.pdf" TargetMode="External"/><Relationship Id="rId65" Type="http://schemas.openxmlformats.org/officeDocument/2006/relationships/hyperlink" Target="http://www.ecomilenio.es/wp-content/uploads/2012/03/12-Acu%C3%ADferos-web.pdf" TargetMode="External"/><Relationship Id="rId81" Type="http://schemas.openxmlformats.org/officeDocument/2006/relationships/hyperlink" Target="http://www.ecomilenio.es/documentos/informacion-cartografica/informacion-cartografica-sobre-ecosistemas" TargetMode="External"/><Relationship Id="rId86" Type="http://schemas.openxmlformats.org/officeDocument/2006/relationships/hyperlink" Target="http://www.ecomilenio.es/documentos/informacion-cartografica/mapas-de-impulsores" TargetMode="External"/><Relationship Id="rId130" Type="http://schemas.openxmlformats.org/officeDocument/2006/relationships/image" Target="media/image49.jpeg"/><Relationship Id="rId135" Type="http://schemas.openxmlformats.org/officeDocument/2006/relationships/image" Target="media/image54.emf"/><Relationship Id="rId151" Type="http://schemas.openxmlformats.org/officeDocument/2006/relationships/image" Target="media/image67.emf"/><Relationship Id="rId156" Type="http://schemas.openxmlformats.org/officeDocument/2006/relationships/image" Target="media/image71.png"/><Relationship Id="rId177" Type="http://schemas.openxmlformats.org/officeDocument/2006/relationships/image" Target="media/image92.jpeg"/><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87.emf"/><Relationship Id="rId180"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png"/><Relationship Id="rId109" Type="http://schemas.openxmlformats.org/officeDocument/2006/relationships/hyperlink" Target="http://awsassets.panda.org/downloads/valuation_of_the_contribution_of_the_ecosystems_of_northern_velebit_national_park_and_ve.pdf" TargetMode="External"/><Relationship Id="rId34" Type="http://schemas.openxmlformats.org/officeDocument/2006/relationships/header" Target="header1.xml"/><Relationship Id="rId50" Type="http://schemas.openxmlformats.org/officeDocument/2006/relationships/image" Target="media/image38.jpeg"/><Relationship Id="rId55" Type="http://schemas.openxmlformats.org/officeDocument/2006/relationships/image" Target="media/image43.emf"/><Relationship Id="rId76" Type="http://schemas.openxmlformats.org/officeDocument/2006/relationships/hyperlink" Target="http://www.ecomilenio.es/wp-content/uploads/2012/03/23-Sociopol%C3%ADticos-web.pdf" TargetMode="External"/><Relationship Id="rId97" Type="http://schemas.openxmlformats.org/officeDocument/2006/relationships/hyperlink" Target="http://rma.vito.be/natuurwaardeverkenner/" TargetMode="External"/><Relationship Id="rId104" Type="http://schemas.openxmlformats.org/officeDocument/2006/relationships/hyperlink" Target="http://assets.panda.org/downloads/ef_report_2008.pdf" TargetMode="External"/><Relationship Id="rId120" Type="http://schemas.openxmlformats.org/officeDocument/2006/relationships/hyperlink" Target="http://www.netwerkecologischemonitoring.nl/downloads/188/Meetprogramma%20NEM%20WEB%202013.pdf" TargetMode="External"/><Relationship Id="rId125" Type="http://schemas.openxmlformats.org/officeDocument/2006/relationships/hyperlink" Target="http://www.natureoutlook.be" TargetMode="External"/><Relationship Id="rId141" Type="http://schemas.openxmlformats.org/officeDocument/2006/relationships/image" Target="media/image58.emf"/><Relationship Id="rId146" Type="http://schemas.openxmlformats.org/officeDocument/2006/relationships/image" Target="media/image62.emf"/><Relationship Id="rId167" Type="http://schemas.openxmlformats.org/officeDocument/2006/relationships/image" Target="media/image82.emf"/><Relationship Id="rId7" Type="http://schemas.openxmlformats.org/officeDocument/2006/relationships/endnotes" Target="endnotes.xml"/><Relationship Id="rId71" Type="http://schemas.openxmlformats.org/officeDocument/2006/relationships/hyperlink" Target="http://www.ecomilenio.es/wp-content/uploads/2012/03/18-Urbanos-web.pdf" TargetMode="External"/><Relationship Id="rId92" Type="http://schemas.openxmlformats.org/officeDocument/2006/relationships/hyperlink" Target="http://www.TEEBelgium.be" TargetMode="External"/><Relationship Id="rId162" Type="http://schemas.openxmlformats.org/officeDocument/2006/relationships/image" Target="media/image77.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28.emf"/><Relationship Id="rId45" Type="http://schemas.openxmlformats.org/officeDocument/2006/relationships/image" Target="media/image33.jpeg"/><Relationship Id="rId66" Type="http://schemas.openxmlformats.org/officeDocument/2006/relationships/hyperlink" Target="http://www.ecomilenio.es/wp-content/uploads/2012/03/15-Insulares-macaron%C3%A9sicos-web.pdf" TargetMode="External"/><Relationship Id="rId87" Type="http://schemas.openxmlformats.org/officeDocument/2006/relationships/hyperlink" Target="http://www.ecomilenio.es/comunicacion/eme-en-los-medios" TargetMode="External"/><Relationship Id="rId110" Type="http://schemas.openxmlformats.org/officeDocument/2006/relationships/hyperlink" Target="http://www.cnvp-wbprofor.org/documents/PUB_03-INCEPTION_PART_3_FINAL.pdf" TargetMode="External"/><Relationship Id="rId115" Type="http://schemas.openxmlformats.org/officeDocument/2006/relationships/image" Target="media/image47.png"/><Relationship Id="rId131" Type="http://schemas.openxmlformats.org/officeDocument/2006/relationships/image" Target="media/image50.emf"/><Relationship Id="rId136" Type="http://schemas.openxmlformats.org/officeDocument/2006/relationships/package" Target="embeddings/Feuille_Microsoft_Office_Excel1.xlsx"/><Relationship Id="rId157" Type="http://schemas.openxmlformats.org/officeDocument/2006/relationships/image" Target="media/image72.png"/><Relationship Id="rId178" Type="http://schemas.openxmlformats.org/officeDocument/2006/relationships/header" Target="header3.xml"/><Relationship Id="rId61" Type="http://schemas.openxmlformats.org/officeDocument/2006/relationships/hyperlink" Target="http://www.ecomilenio.es/wp-content/uploads/2012/03/08-Monta%C3%B1a-alpina-web.pdf" TargetMode="External"/><Relationship Id="rId82" Type="http://schemas.openxmlformats.org/officeDocument/2006/relationships/hyperlink" Target="http://www.ecomilenio.es/documentos/informacion-cartografica/mapas-de-biodiversidad" TargetMode="External"/><Relationship Id="rId152" Type="http://schemas.openxmlformats.org/officeDocument/2006/relationships/image" Target="media/image68.emf"/><Relationship Id="rId173" Type="http://schemas.openxmlformats.org/officeDocument/2006/relationships/image" Target="media/image88.emf"/><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chart" Target="charts/chart2.xml"/><Relationship Id="rId35" Type="http://schemas.openxmlformats.org/officeDocument/2006/relationships/footer" Target="footer1.xml"/><Relationship Id="rId56" Type="http://schemas.openxmlformats.org/officeDocument/2006/relationships/image" Target="media/image44.emf"/><Relationship Id="rId77" Type="http://schemas.openxmlformats.org/officeDocument/2006/relationships/hyperlink" Target="http://www.ecomilenio.es/wp-content/uploads/2012/03/24-Impulsores-culturales-web.pdf" TargetMode="External"/><Relationship Id="rId100" Type="http://schemas.openxmlformats.org/officeDocument/2006/relationships/hyperlink" Target="http://www.bioone.org/doi/full/10.1659/MRD-JOURNAL-D-10-00115.S1" TargetMode="External"/><Relationship Id="rId105" Type="http://schemas.openxmlformats.org/officeDocument/2006/relationships/hyperlink" Target="http://assets.panda.org/downloads/ee_final_report_2008.pdf" TargetMode="External"/><Relationship Id="rId126" Type="http://schemas.openxmlformats.org/officeDocument/2006/relationships/hyperlink" Target="http://www.biodiversityindicators.be" TargetMode="External"/><Relationship Id="rId147" Type="http://schemas.openxmlformats.org/officeDocument/2006/relationships/image" Target="media/image63.emf"/><Relationship Id="rId168" Type="http://schemas.openxmlformats.org/officeDocument/2006/relationships/image" Target="media/image83.emf"/><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hyperlink" Target="http://www.ecomilenio.es/wp-content/uploads/2012/03/19-Impulsores-econ%C3%B3micos-web.pdf" TargetMode="External"/><Relationship Id="rId93" Type="http://schemas.openxmlformats.org/officeDocument/2006/relationships/hyperlink" Target="http://hdl.handle.net/10067/841230151162165141" TargetMode="External"/><Relationship Id="rId98" Type="http://schemas.openxmlformats.org/officeDocument/2006/relationships/hyperlink" Target="http://www.lne.be/themas/beleid/milieueconomie/waardering-van-baten-enschaden/eindrapport-anb-studie-esd-in-vlaanderen" TargetMode="External"/><Relationship Id="rId121" Type="http://schemas.openxmlformats.org/officeDocument/2006/relationships/hyperlink" Target="http://www.netwerkecologischemonitoring.nl/home" TargetMode="External"/><Relationship Id="rId142" Type="http://schemas.openxmlformats.org/officeDocument/2006/relationships/package" Target="embeddings/Diapositive_Microsoft_Office_PowerPoint2.sldx"/><Relationship Id="rId163" Type="http://schemas.openxmlformats.org/officeDocument/2006/relationships/image" Target="media/image78.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4.jpeg"/><Relationship Id="rId67" Type="http://schemas.openxmlformats.org/officeDocument/2006/relationships/hyperlink" Target="http://www.ecomilenio.es/wp-content/uploads/2012/03/14-Marinos-web.pdf" TargetMode="External"/><Relationship Id="rId116" Type="http://schemas.openxmlformats.org/officeDocument/2006/relationships/header" Target="header2.xml"/><Relationship Id="rId137" Type="http://schemas.openxmlformats.org/officeDocument/2006/relationships/hyperlink" Target="http://www.teebweb.org/" TargetMode="External"/><Relationship Id="rId158" Type="http://schemas.openxmlformats.org/officeDocument/2006/relationships/image" Target="media/image73.png"/><Relationship Id="rId20" Type="http://schemas.openxmlformats.org/officeDocument/2006/relationships/image" Target="media/image13.png"/><Relationship Id="rId41" Type="http://schemas.openxmlformats.org/officeDocument/2006/relationships/image" Target="media/image29.jpeg"/><Relationship Id="rId62" Type="http://schemas.openxmlformats.org/officeDocument/2006/relationships/hyperlink" Target="http://www.ecomilenio.es/wp-content/uploads/2012/03/09-Monta%C3%B1a-mediterr%C3%A1nea-web.pdf" TargetMode="External"/><Relationship Id="rId83" Type="http://schemas.openxmlformats.org/officeDocument/2006/relationships/hyperlink" Target="http://www.ecomilenio.es/documentos/informacion-cartografica/mapas-de-enp" TargetMode="External"/><Relationship Id="rId88" Type="http://schemas.openxmlformats.org/officeDocument/2006/relationships/hyperlink" Target="http://www.ecomilenio.es/comunicacion/recursos" TargetMode="External"/><Relationship Id="rId111" Type="http://schemas.openxmlformats.org/officeDocument/2006/relationships/hyperlink" Target="http://www.cnvp-wbprofor.org/documents/project_approach.pdf" TargetMode="External"/><Relationship Id="rId132" Type="http://schemas.openxmlformats.org/officeDocument/2006/relationships/image" Target="media/image51.jpeg"/><Relationship Id="rId153" Type="http://schemas.openxmlformats.org/officeDocument/2006/relationships/image" Target="media/image69.jpeg"/><Relationship Id="rId174" Type="http://schemas.openxmlformats.org/officeDocument/2006/relationships/image" Target="media/image89.jpeg"/><Relationship Id="rId179" Type="http://schemas.openxmlformats.org/officeDocument/2006/relationships/footer" Target="footer3.xml"/><Relationship Id="rId15" Type="http://schemas.openxmlformats.org/officeDocument/2006/relationships/image" Target="media/image8.gif"/><Relationship Id="rId36" Type="http://schemas.openxmlformats.org/officeDocument/2006/relationships/image" Target="media/image24.png"/><Relationship Id="rId57" Type="http://schemas.openxmlformats.org/officeDocument/2006/relationships/hyperlink" Target="http://www.peer.eu/projects/press/" TargetMode="External"/><Relationship Id="rId106" Type="http://schemas.openxmlformats.org/officeDocument/2006/relationships/hyperlink" Target="http://assets.panda.org/downloads/hanbdbook_on_baseline_scenario.pdf" TargetMode="External"/><Relationship Id="rId127" Type="http://schemas.openxmlformats.org/officeDocument/2006/relationships/hyperlink" Target="http://www.nara.be" TargetMode="External"/><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0.jpeg"/><Relationship Id="rId73" Type="http://schemas.openxmlformats.org/officeDocument/2006/relationships/hyperlink" Target="http://www.ecomilenio.es/wp-content/uploads/2012/03/20-Impulsores-demogr%C3%A1ficos-web.pdf" TargetMode="External"/><Relationship Id="rId78" Type="http://schemas.openxmlformats.org/officeDocument/2006/relationships/hyperlink" Target="http://www.ecomilenio.es/wp-content/uploads/2012/03/25-Analisis-espacial-web.pdf" TargetMode="External"/><Relationship Id="rId94" Type="http://schemas.openxmlformats.org/officeDocument/2006/relationships/hyperlink" Target="http://www.lne.be/themas/beleid/milieueconomie/linken/publicaties/Brochure%20ESD.pdf" TargetMode="External"/><Relationship Id="rId99" Type="http://schemas.openxmlformats.org/officeDocument/2006/relationships/hyperlink" Target="http://dx.doi.org/10.1016/j.jenvman.2012.07.028" TargetMode="External"/><Relationship Id="rId101" Type="http://schemas.openxmlformats.org/officeDocument/2006/relationships/hyperlink" Target="http://www.euronatur.org/fileadmin/docs/projekte/Balkan_Rivers_Blaues_Herz_Europa/BalkanRiverAssessment29032012web.pdf" TargetMode="External"/><Relationship Id="rId122" Type="http://schemas.openxmlformats.org/officeDocument/2006/relationships/hyperlink" Target="http://www.compendiumvoordeleefomgeving.nl/" TargetMode="External"/><Relationship Id="rId143" Type="http://schemas.openxmlformats.org/officeDocument/2006/relationships/image" Target="media/image59.jpeg"/><Relationship Id="rId148" Type="http://schemas.openxmlformats.org/officeDocument/2006/relationships/image" Target="media/image64.emf"/><Relationship Id="rId164" Type="http://schemas.openxmlformats.org/officeDocument/2006/relationships/image" Target="media/image79.jpeg"/><Relationship Id="rId169" Type="http://schemas.openxmlformats.org/officeDocument/2006/relationships/image" Target="media/image84.jpeg"/></Relationships>
</file>

<file path=word/_rels/footnotes.xml.rels><?xml version="1.0" encoding="UTF-8" standalone="yes"?>
<Relationships xmlns="http://schemas.openxmlformats.org/package/2006/relationships"><Relationship Id="rId1" Type="http://schemas.openxmlformats.org/officeDocument/2006/relationships/hyperlink" Target="http://www.eea.europa.eu/publications/technical_report_2007_11"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LauraMiguelAyala\_EI_\Survey%20MONKEY\Report%20Semptember\SurveySummary_10102013.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LauraMiguelAyala\_EI_\Survey%20MONKEY\Report%20Semptember\SurveySummary_1010201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sz="1000" b="1" i="0" u="none" strike="noStrike" baseline="0">
                <a:solidFill>
                  <a:srgbClr val="000000"/>
                </a:solidFill>
                <a:latin typeface="Microsoft Sans Serif"/>
                <a:ea typeface="Microsoft Sans Serif"/>
                <a:cs typeface="Microsoft Sans Serif"/>
              </a:defRPr>
            </a:pPr>
            <a:r>
              <a:rPr lang="en-GB"/>
              <a:t>Please select the problems encountered, if any, in the organisation of your country ecosystem assessment.</a:t>
            </a:r>
          </a:p>
        </c:rich>
      </c:tx>
      <c:layout>
        <c:manualLayout>
          <c:xMode val="edge"/>
          <c:yMode val="edge"/>
          <c:x val="0.11517630416918642"/>
          <c:y val="3.3057934615545646E-2"/>
        </c:manualLayout>
      </c:layout>
      <c:spPr>
        <a:noFill/>
        <a:ln w="25400">
          <a:noFill/>
        </a:ln>
      </c:spPr>
    </c:title>
    <c:plotArea>
      <c:layout>
        <c:manualLayout>
          <c:layoutTarget val="inner"/>
          <c:xMode val="edge"/>
          <c:yMode val="edge"/>
          <c:x val="0.12059636554185403"/>
          <c:y val="0.21487657500104668"/>
          <c:w val="0.85636969688148012"/>
          <c:h val="0.53099307476220159"/>
        </c:manualLayout>
      </c:layout>
      <c:barChart>
        <c:barDir val="col"/>
        <c:grouping val="clustered"/>
        <c:ser>
          <c:idx val="0"/>
          <c:order val="0"/>
          <c:spPr>
            <a:solidFill>
              <a:srgbClr val="9999FF"/>
            </a:solidFill>
            <a:ln w="12700">
              <a:solidFill>
                <a:srgbClr val="000000"/>
              </a:solidFill>
              <a:prstDash val="solid"/>
            </a:ln>
          </c:spPr>
          <c:cat>
            <c:strRef>
              <c:f>'Question 12'!$A$4:$A$8</c:f>
              <c:strCache>
                <c:ptCount val="5"/>
                <c:pt idx="0">
                  <c:v>Capacity (few people)</c:v>
                </c:pt>
                <c:pt idx="1">
                  <c:v>Expertise (poor knowledge or little experience)</c:v>
                </c:pt>
                <c:pt idx="2">
                  <c:v>Financial (not enough resources)</c:v>
                </c:pt>
                <c:pt idx="3">
                  <c:v>Data availability (lack of data)</c:v>
                </c:pt>
                <c:pt idx="4">
                  <c:v>I don't know</c:v>
                </c:pt>
              </c:strCache>
            </c:strRef>
          </c:cat>
          <c:val>
            <c:numRef>
              <c:f>'Question 12'!$C$4:$C$8</c:f>
              <c:numCache>
                <c:formatCode>0.0%</c:formatCode>
                <c:ptCount val="5"/>
                <c:pt idx="0">
                  <c:v>0.73300000000000032</c:v>
                </c:pt>
                <c:pt idx="1">
                  <c:v>0.2</c:v>
                </c:pt>
                <c:pt idx="2">
                  <c:v>0.93299999999999994</c:v>
                </c:pt>
                <c:pt idx="3">
                  <c:v>0.73300000000000032</c:v>
                </c:pt>
                <c:pt idx="4">
                  <c:v>0</c:v>
                </c:pt>
              </c:numCache>
            </c:numRef>
          </c:val>
        </c:ser>
        <c:axId val="160919552"/>
        <c:axId val="160921088"/>
      </c:barChart>
      <c:catAx>
        <c:axId val="160919552"/>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Microsoft Sans Serif"/>
                <a:ea typeface="Microsoft Sans Serif"/>
                <a:cs typeface="Microsoft Sans Serif"/>
              </a:defRPr>
            </a:pPr>
            <a:endParaRPr lang="fr-FR"/>
          </a:p>
        </c:txPr>
        <c:crossAx val="160921088"/>
        <c:crosses val="autoZero"/>
        <c:auto val="1"/>
        <c:lblAlgn val="ctr"/>
        <c:lblOffset val="100"/>
        <c:tickLblSkip val="1"/>
        <c:tickMarkSkip val="1"/>
      </c:catAx>
      <c:valAx>
        <c:axId val="160921088"/>
        <c:scaling>
          <c:orientation val="minMax"/>
        </c:scaling>
        <c:axPos val="l"/>
        <c:majorGridlines>
          <c:spPr>
            <a:ln w="3175">
              <a:solidFill>
                <a:srgbClr val="000000"/>
              </a:solidFill>
              <a:prstDash val="solid"/>
            </a:ln>
          </c:spPr>
        </c:majorGridlines>
        <c:numFmt formatCode="0.0%" sourceLinked="1"/>
        <c:tickLblPos val="nextTo"/>
        <c:spPr>
          <a:ln w="3175">
            <a:solidFill>
              <a:srgbClr val="000000"/>
            </a:solidFill>
            <a:prstDash val="solid"/>
          </a:ln>
        </c:spPr>
        <c:txPr>
          <a:bodyPr rot="0" vert="horz"/>
          <a:lstStyle/>
          <a:p>
            <a:pPr>
              <a:defRPr sz="1000" b="0" i="0" u="none" strike="noStrike" baseline="0">
                <a:solidFill>
                  <a:srgbClr val="000000"/>
                </a:solidFill>
                <a:latin typeface="Microsoft Sans Serif"/>
                <a:ea typeface="Microsoft Sans Serif"/>
                <a:cs typeface="Microsoft Sans Serif"/>
              </a:defRPr>
            </a:pPr>
            <a:endParaRPr lang="fr-FR"/>
          </a:p>
        </c:txPr>
        <c:crossAx val="160919552"/>
        <c:crossesAt val="1"/>
        <c:crossBetween val="between"/>
      </c:valAx>
      <c:spPr>
        <a:solidFill>
          <a:srgbClr val="EEEEEE"/>
        </a:solidFill>
        <a:ln w="25400">
          <a:noFill/>
        </a:ln>
      </c:spPr>
    </c:plotArea>
    <c:plotVisOnly val="1"/>
    <c:dispBlanksAs val="gap"/>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fr-F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sz="1000" b="1" i="0" u="none" strike="noStrike" baseline="0">
                <a:solidFill>
                  <a:srgbClr val="000000"/>
                </a:solidFill>
                <a:latin typeface="Microsoft Sans Serif"/>
                <a:ea typeface="Microsoft Sans Serif"/>
                <a:cs typeface="Microsoft Sans Serif"/>
              </a:defRPr>
            </a:pPr>
            <a:r>
              <a:rPr lang="en-GB"/>
              <a:t>Some of the indicators and data used originate from the reporting of the following EU Directives</a:t>
            </a:r>
          </a:p>
        </c:rich>
      </c:tx>
      <c:layout>
        <c:manualLayout>
          <c:xMode val="edge"/>
          <c:yMode val="edge"/>
          <c:x val="0.10840122745335197"/>
          <c:y val="3.3057934615545646E-2"/>
        </c:manualLayout>
      </c:layout>
      <c:spPr>
        <a:noFill/>
        <a:ln w="25400">
          <a:noFill/>
        </a:ln>
      </c:spPr>
    </c:title>
    <c:plotArea>
      <c:layout>
        <c:manualLayout>
          <c:layoutTarget val="inner"/>
          <c:xMode val="edge"/>
          <c:yMode val="edge"/>
          <c:x val="0.10840122745335197"/>
          <c:y val="0.21487657500104668"/>
          <c:w val="0.86856483496998205"/>
          <c:h val="0.57644773485857781"/>
        </c:manualLayout>
      </c:layout>
      <c:barChart>
        <c:barDir val="col"/>
        <c:grouping val="clustered"/>
        <c:ser>
          <c:idx val="0"/>
          <c:order val="0"/>
          <c:spPr>
            <a:solidFill>
              <a:srgbClr val="9999FF"/>
            </a:solidFill>
            <a:ln w="12700">
              <a:solidFill>
                <a:srgbClr val="000000"/>
              </a:solidFill>
              <a:prstDash val="solid"/>
            </a:ln>
          </c:spPr>
          <c:cat>
            <c:strRef>
              <c:f>'Question 18'!$A$4:$A$7</c:f>
              <c:strCache>
                <c:ptCount val="4"/>
                <c:pt idx="0">
                  <c:v>Habitat Directive</c:v>
                </c:pt>
                <c:pt idx="1">
                  <c:v>Water Framework Directive</c:v>
                </c:pt>
                <c:pt idx="2">
                  <c:v>Marinestrategy Framework Directive</c:v>
                </c:pt>
                <c:pt idx="3">
                  <c:v>I don't know</c:v>
                </c:pt>
              </c:strCache>
            </c:strRef>
          </c:cat>
          <c:val>
            <c:numRef>
              <c:f>'Question 18'!$C$4:$C$7</c:f>
              <c:numCache>
                <c:formatCode>0.0%</c:formatCode>
                <c:ptCount val="4"/>
                <c:pt idx="0">
                  <c:v>0.85700000000000032</c:v>
                </c:pt>
                <c:pt idx="1">
                  <c:v>0.64300000000000035</c:v>
                </c:pt>
                <c:pt idx="2">
                  <c:v>0.2860000000000002</c:v>
                </c:pt>
                <c:pt idx="3">
                  <c:v>0.14300000000000004</c:v>
                </c:pt>
              </c:numCache>
            </c:numRef>
          </c:val>
        </c:ser>
        <c:axId val="160940800"/>
        <c:axId val="160942336"/>
      </c:barChart>
      <c:catAx>
        <c:axId val="160940800"/>
        <c:scaling>
          <c:orientation val="minMax"/>
        </c:scaling>
        <c:axPos val="b"/>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Microsoft Sans Serif"/>
                <a:ea typeface="Microsoft Sans Serif"/>
                <a:cs typeface="Microsoft Sans Serif"/>
              </a:defRPr>
            </a:pPr>
            <a:endParaRPr lang="fr-FR"/>
          </a:p>
        </c:txPr>
        <c:crossAx val="160942336"/>
        <c:crosses val="autoZero"/>
        <c:auto val="1"/>
        <c:lblAlgn val="ctr"/>
        <c:lblOffset val="100"/>
        <c:tickLblSkip val="1"/>
        <c:tickMarkSkip val="1"/>
      </c:catAx>
      <c:valAx>
        <c:axId val="160942336"/>
        <c:scaling>
          <c:orientation val="minMax"/>
        </c:scaling>
        <c:axPos val="l"/>
        <c:majorGridlines>
          <c:spPr>
            <a:ln w="3175">
              <a:solidFill>
                <a:srgbClr val="000000"/>
              </a:solidFill>
              <a:prstDash val="solid"/>
            </a:ln>
          </c:spPr>
        </c:majorGridlines>
        <c:numFmt formatCode="0.0%" sourceLinked="1"/>
        <c:tickLblPos val="nextTo"/>
        <c:spPr>
          <a:ln w="3175">
            <a:solidFill>
              <a:srgbClr val="000000"/>
            </a:solidFill>
            <a:prstDash val="solid"/>
          </a:ln>
        </c:spPr>
        <c:txPr>
          <a:bodyPr rot="0" vert="horz"/>
          <a:lstStyle/>
          <a:p>
            <a:pPr>
              <a:defRPr sz="1000" b="0" i="0" u="none" strike="noStrike" baseline="0">
                <a:solidFill>
                  <a:srgbClr val="000000"/>
                </a:solidFill>
                <a:latin typeface="Microsoft Sans Serif"/>
                <a:ea typeface="Microsoft Sans Serif"/>
                <a:cs typeface="Microsoft Sans Serif"/>
              </a:defRPr>
            </a:pPr>
            <a:endParaRPr lang="fr-FR"/>
          </a:p>
        </c:txPr>
        <c:crossAx val="160940800"/>
        <c:crossesAt val="1"/>
        <c:crossBetween val="between"/>
      </c:valAx>
      <c:spPr>
        <a:solidFill>
          <a:srgbClr val="EEEEEE"/>
        </a:solidFill>
        <a:ln w="25400">
          <a:noFill/>
        </a:ln>
      </c:spPr>
    </c:plotArea>
    <c:plotVisOnly val="1"/>
    <c:dispBlanksAs val="gap"/>
  </c:chart>
  <c:spPr>
    <a:solidFill>
      <a:srgbClr val="EEEEEE"/>
    </a:solidFill>
    <a:ln w="3175">
      <a:solidFill>
        <a:srgbClr val="000000"/>
      </a:solidFill>
      <a:prstDash val="solid"/>
    </a:ln>
  </c:spPr>
  <c:txPr>
    <a:bodyPr/>
    <a:lstStyle/>
    <a:p>
      <a:pPr>
        <a:defRPr sz="1000" b="0" i="0" u="none" strike="noStrike" baseline="0">
          <a:solidFill>
            <a:srgbClr val="000000"/>
          </a:solidFill>
          <a:latin typeface="Microsoft Sans Serif"/>
          <a:ea typeface="Microsoft Sans Serif"/>
          <a:cs typeface="Microsoft Sans Serif"/>
        </a:defRPr>
      </a:pPr>
      <a:endParaRPr lang="fr-FR"/>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10D7E3-B291-4D09-8040-17B69BCC44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Pages>
  <Words>72740</Words>
  <Characters>400070</Characters>
  <Application>Microsoft Office Word</Application>
  <DocSecurity>0</DocSecurity>
  <Lines>3333</Lines>
  <Paragraphs>943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Mapping of Ecosystems and their Services in the EU and its Member States</vt:lpstr>
      <vt:lpstr>Mapping of Ecosystems and their Services in the EU and its Member States</vt:lpstr>
    </vt:vector>
  </TitlesOfParts>
  <Company>Wageningen UR</Company>
  <LinksUpToDate>false</LinksUpToDate>
  <CharactersWithSpaces>471867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Mapping of Ecosystems and their Services in the EU and its Member States</dc:title>
  <dc:creator>Braat, Leon</dc:creator>
  <cp:lastModifiedBy>Fanny</cp:lastModifiedBy>
  <cp:revision>4</cp:revision>
  <cp:lastPrinted>2012-06-13T09:30:00Z</cp:lastPrinted>
  <dcterms:created xsi:type="dcterms:W3CDTF">2013-10-31T16:57:00Z</dcterms:created>
  <dcterms:modified xsi:type="dcterms:W3CDTF">2013-10-31T17:23:00Z</dcterms:modified>
</cp:coreProperties>
</file>